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4F86C" w14:textId="42C41E04" w:rsidR="00615692" w:rsidRDefault="00BE558D">
      <w:r>
        <w:rPr>
          <w:noProof/>
          <w:lang w:eastAsia="en-GB"/>
        </w:rPr>
        <w:drawing>
          <wp:inline distT="0" distB="0" distL="0" distR="0" wp14:anchorId="61868D8C" wp14:editId="15E88628">
            <wp:extent cx="2160000" cy="92624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926240"/>
                    </a:xfrm>
                    <a:prstGeom prst="rect">
                      <a:avLst/>
                    </a:prstGeom>
                  </pic:spPr>
                </pic:pic>
              </a:graphicData>
            </a:graphic>
          </wp:inline>
        </w:drawing>
      </w:r>
    </w:p>
    <w:p w14:paraId="21D09D2C" w14:textId="68B1D4C0" w:rsidR="00BE558D" w:rsidRPr="00BE558D" w:rsidRDefault="003B1336" w:rsidP="00BE558D">
      <w:pPr>
        <w:spacing w:after="120" w:line="240" w:lineRule="auto"/>
        <w:rPr>
          <w:b/>
          <w:sz w:val="48"/>
          <w:szCs w:val="48"/>
        </w:rPr>
      </w:pPr>
      <w:r>
        <w:rPr>
          <w:b/>
          <w:sz w:val="48"/>
          <w:szCs w:val="48"/>
        </w:rPr>
        <w:t>Controlled Drugs and Precursors</w:t>
      </w:r>
      <w:r w:rsidR="008555DA">
        <w:rPr>
          <w:b/>
          <w:sz w:val="48"/>
          <w:szCs w:val="48"/>
        </w:rPr>
        <w:t xml:space="preserve"> in Research</w:t>
      </w:r>
    </w:p>
    <w:p w14:paraId="5B2A780D" w14:textId="77777777" w:rsidR="00267970" w:rsidRPr="00515921" w:rsidRDefault="003B1336" w:rsidP="00130FF9">
      <w:pPr>
        <w:spacing w:after="120" w:line="240" w:lineRule="auto"/>
        <w:jc w:val="both"/>
        <w:rPr>
          <w:b/>
          <w:sz w:val="32"/>
        </w:rPr>
      </w:pPr>
      <w:r w:rsidRPr="00515921">
        <w:rPr>
          <w:b/>
          <w:sz w:val="32"/>
        </w:rPr>
        <w:t>Introduction</w:t>
      </w:r>
    </w:p>
    <w:p w14:paraId="074C671D" w14:textId="6872A1B4" w:rsidR="00267970" w:rsidRDefault="007E7000" w:rsidP="00130FF9">
      <w:pPr>
        <w:spacing w:after="120" w:line="240" w:lineRule="auto"/>
        <w:jc w:val="both"/>
      </w:pPr>
      <w:r>
        <w:t>The possession, use, supply and disposal of certain substances is controlled under the Misu</w:t>
      </w:r>
      <w:r w:rsidR="00A1013B">
        <w:t>s</w:t>
      </w:r>
      <w:r>
        <w:t xml:space="preserve">e of Drugs Act </w:t>
      </w:r>
      <w:r w:rsidR="00D0354F">
        <w:t xml:space="preserve">1971 and associated regulations </w:t>
      </w:r>
      <w:r w:rsidR="00AA4A2C">
        <w:t xml:space="preserve">including </w:t>
      </w:r>
      <w:r w:rsidR="007621E6">
        <w:t xml:space="preserve">the </w:t>
      </w:r>
      <w:r w:rsidR="00D0354F">
        <w:t>Misuse of Drugs Regulations 2001</w:t>
      </w:r>
      <w:r w:rsidR="00AA4A2C">
        <w:t xml:space="preserve"> and The Misuse of Drugs (Amendment) (England, Wales and Scotland) Regulations 2009</w:t>
      </w:r>
      <w:r w:rsidR="00D0354F">
        <w:t>.</w:t>
      </w:r>
      <w:r w:rsidR="00CB1FCF">
        <w:t xml:space="preserve">   Controlled drug</w:t>
      </w:r>
      <w:r w:rsidR="00A1013B">
        <w:t xml:space="preserve">s are split into five groups which are listed in </w:t>
      </w:r>
      <w:r w:rsidR="00800E54">
        <w:t xml:space="preserve">the </w:t>
      </w:r>
      <w:r w:rsidR="0056358E">
        <w:t>Schedule</w:t>
      </w:r>
      <w:r w:rsidR="00AA4A2C">
        <w:t xml:space="preserve">s </w:t>
      </w:r>
      <w:r w:rsidR="00800E54">
        <w:t>of the</w:t>
      </w:r>
      <w:r w:rsidR="00AA4A2C">
        <w:t xml:space="preserve"> the regulations</w:t>
      </w:r>
      <w:r w:rsidR="00A1013B">
        <w:t xml:space="preserve">.  Drugs listed in each </w:t>
      </w:r>
      <w:r w:rsidR="0056358E">
        <w:t>Schedule</w:t>
      </w:r>
      <w:r w:rsidR="00A1013B">
        <w:t xml:space="preserve"> share common restrictions and requirements for supply, storage and licensing.  </w:t>
      </w:r>
      <w:r w:rsidR="0056358E">
        <w:t>Schedule</w:t>
      </w:r>
      <w:r w:rsidR="00A1013B">
        <w:t xml:space="preserve"> 1 drugs are </w:t>
      </w:r>
      <w:r w:rsidR="00AA4A2C">
        <w:t xml:space="preserve">generally </w:t>
      </w:r>
      <w:r w:rsidR="00A1013B">
        <w:t xml:space="preserve">considered the most hazardous and are therefore subject to the most stringent restrictions with </w:t>
      </w:r>
      <w:r w:rsidR="0056358E">
        <w:t>Schedule</w:t>
      </w:r>
      <w:r w:rsidR="00A1013B">
        <w:t xml:space="preserve"> 5 drugs </w:t>
      </w:r>
      <w:r w:rsidR="00AA4A2C">
        <w:t>for the most part being low concentration preparations of other drugs and are</w:t>
      </w:r>
      <w:r w:rsidR="00A1013B">
        <w:t xml:space="preserve"> </w:t>
      </w:r>
      <w:proofErr w:type="gramStart"/>
      <w:r w:rsidR="00A1013B">
        <w:t>l</w:t>
      </w:r>
      <w:proofErr w:type="gramEnd"/>
      <w:r w:rsidR="00800E54">
        <w:t xml:space="preserve"> the </w:t>
      </w:r>
      <w:r w:rsidR="00A1013B">
        <w:t xml:space="preserve">east strictly controlled.  </w:t>
      </w:r>
      <w:r w:rsidR="0071654F">
        <w:t>Some e</w:t>
      </w:r>
      <w:r w:rsidR="00A1013B">
        <w:t xml:space="preserve">xamples of drugs falling into different </w:t>
      </w:r>
      <w:r w:rsidR="0056358E">
        <w:t>Schedule</w:t>
      </w:r>
      <w:r w:rsidR="00A1013B">
        <w:t>s are given below:</w:t>
      </w:r>
    </w:p>
    <w:p w14:paraId="191C7597" w14:textId="34357AE7" w:rsidR="00A1013B" w:rsidRDefault="0056358E" w:rsidP="00130FF9">
      <w:pPr>
        <w:spacing w:after="120" w:line="240" w:lineRule="auto"/>
        <w:jc w:val="both"/>
      </w:pPr>
      <w:r>
        <w:rPr>
          <w:b/>
        </w:rPr>
        <w:t>Schedule</w:t>
      </w:r>
      <w:r w:rsidR="00A1013B" w:rsidRPr="00A1013B">
        <w:rPr>
          <w:b/>
        </w:rPr>
        <w:t xml:space="preserve"> 1:</w:t>
      </w:r>
      <w:r w:rsidR="00A1013B">
        <w:tab/>
      </w:r>
      <w:r w:rsidR="00265978">
        <w:t>Cannabis (including cannabis resin), e</w:t>
      </w:r>
      <w:r w:rsidR="00A1013B">
        <w:t>cstasy,</w:t>
      </w:r>
      <w:r w:rsidR="00265978">
        <w:t xml:space="preserve"> mescaline, </w:t>
      </w:r>
      <w:r w:rsidR="00A1013B">
        <w:t>raw opium</w:t>
      </w:r>
    </w:p>
    <w:p w14:paraId="73D7E237" w14:textId="03B40516" w:rsidR="00A1013B" w:rsidRDefault="0056358E" w:rsidP="00130FF9">
      <w:pPr>
        <w:spacing w:after="120" w:line="240" w:lineRule="auto"/>
        <w:jc w:val="both"/>
      </w:pPr>
      <w:r>
        <w:rPr>
          <w:b/>
        </w:rPr>
        <w:t>Schedule</w:t>
      </w:r>
      <w:r w:rsidR="00A1013B" w:rsidRPr="00A1013B">
        <w:rPr>
          <w:b/>
        </w:rPr>
        <w:t xml:space="preserve"> 2:</w:t>
      </w:r>
      <w:r w:rsidR="00A1013B">
        <w:tab/>
        <w:t xml:space="preserve">Cocaine, morphine, fentanyl, amphetamine, </w:t>
      </w:r>
      <w:r w:rsidR="00265978">
        <w:t xml:space="preserve">methylamphetamine, </w:t>
      </w:r>
      <w:r w:rsidR="00A1013B">
        <w:t>diamorphine (heroin), ketamine</w:t>
      </w:r>
    </w:p>
    <w:p w14:paraId="3C0E594F" w14:textId="5BEB2795" w:rsidR="00A1013B" w:rsidRDefault="0056358E" w:rsidP="00130FF9">
      <w:pPr>
        <w:spacing w:after="120" w:line="240" w:lineRule="auto"/>
        <w:jc w:val="both"/>
      </w:pPr>
      <w:r>
        <w:rPr>
          <w:b/>
        </w:rPr>
        <w:t>Schedule</w:t>
      </w:r>
      <w:r w:rsidR="00A1013B" w:rsidRPr="00A1013B">
        <w:rPr>
          <w:b/>
        </w:rPr>
        <w:t xml:space="preserve"> 3:</w:t>
      </w:r>
      <w:r w:rsidR="00A1013B">
        <w:tab/>
        <w:t>Temazepam, meprobamate, barbitone, tramadol</w:t>
      </w:r>
    </w:p>
    <w:p w14:paraId="0D84F2F6" w14:textId="14D54D09" w:rsidR="00A1013B" w:rsidRDefault="0056358E" w:rsidP="00130FF9">
      <w:pPr>
        <w:spacing w:after="120" w:line="240" w:lineRule="auto"/>
        <w:jc w:val="both"/>
      </w:pPr>
      <w:r>
        <w:rPr>
          <w:b/>
        </w:rPr>
        <w:t>Schedule</w:t>
      </w:r>
      <w:r w:rsidR="00A1013B" w:rsidRPr="00A1013B">
        <w:rPr>
          <w:b/>
        </w:rPr>
        <w:t xml:space="preserve"> 4:</w:t>
      </w:r>
      <w:r w:rsidR="00A1013B">
        <w:tab/>
        <w:t>Diazepam, N-</w:t>
      </w:r>
      <w:proofErr w:type="spellStart"/>
      <w:r w:rsidR="00A1013B">
        <w:t>ethylamphetamine</w:t>
      </w:r>
      <w:proofErr w:type="spellEnd"/>
    </w:p>
    <w:p w14:paraId="406970E1" w14:textId="1E628D2A" w:rsidR="00ED1798" w:rsidRDefault="0056358E" w:rsidP="009533B8">
      <w:pPr>
        <w:spacing w:after="120" w:line="240" w:lineRule="auto"/>
        <w:ind w:left="284" w:hanging="284"/>
        <w:jc w:val="both"/>
      </w:pPr>
      <w:r>
        <w:rPr>
          <w:b/>
        </w:rPr>
        <w:t>Schedule</w:t>
      </w:r>
      <w:r w:rsidR="00A1013B" w:rsidRPr="00A1013B">
        <w:rPr>
          <w:b/>
        </w:rPr>
        <w:t xml:space="preserve"> 5:</w:t>
      </w:r>
      <w:r w:rsidR="00A1013B">
        <w:tab/>
        <w:t>Preparation</w:t>
      </w:r>
      <w:r w:rsidR="00AA4A2C">
        <w:t>s</w:t>
      </w:r>
      <w:r w:rsidR="00A1013B">
        <w:t xml:space="preserve"> containing low concentration of heroin, cocaine and other specified </w:t>
      </w:r>
      <w:r>
        <w:t>Schedule</w:t>
      </w:r>
      <w:r w:rsidR="00A1013B">
        <w:t xml:space="preserve"> 2 drugs</w:t>
      </w:r>
    </w:p>
    <w:p w14:paraId="4C63DE3B" w14:textId="3B512E9B" w:rsidR="008555DA" w:rsidRDefault="008555DA" w:rsidP="008555DA">
      <w:pPr>
        <w:spacing w:after="120" w:line="240" w:lineRule="auto"/>
        <w:jc w:val="both"/>
      </w:pPr>
      <w:r>
        <w:t xml:space="preserve">For a complete list of the drugs in each </w:t>
      </w:r>
      <w:r w:rsidR="0056358E">
        <w:t>Schedule</w:t>
      </w:r>
      <w:r>
        <w:t xml:space="preserve"> it is recommended that the following resources are used; The Misuse of Drugs Regulations 2001 (</w:t>
      </w:r>
      <w:r w:rsidR="0056358E">
        <w:t>Schedule</w:t>
      </w:r>
      <w:r>
        <w:t>s 1-5)</w:t>
      </w:r>
      <w:r w:rsidR="00296EFB">
        <w:t xml:space="preserve"> contains the full list of substances and categories of substances that are regulated.  The regulations were subsequently updated by </w:t>
      </w:r>
      <w:r>
        <w:t>the Misuse of Drugs (Amendment)</w:t>
      </w:r>
      <w:r w:rsidR="00296EFB">
        <w:t xml:space="preserve"> </w:t>
      </w:r>
      <w:r>
        <w:t xml:space="preserve">(England, Wales and Scotland) Regulations 2009 </w:t>
      </w:r>
      <w:r w:rsidR="00296EFB">
        <w:t>which includes some minor updates and reclassifications and both documents are required to correctly classify some substances.  The regulations can be difficult to interpret in some cases and to assist, the Home Office</w:t>
      </w:r>
      <w:r>
        <w:t xml:space="preserve"> </w:t>
      </w:r>
      <w:r w:rsidR="00296EFB">
        <w:t xml:space="preserve">also publish a user-friendly </w:t>
      </w:r>
      <w:r>
        <w:t xml:space="preserve">list </w:t>
      </w:r>
      <w:r w:rsidR="00296EFB">
        <w:t xml:space="preserve">of some of the most common controlled drugs and which </w:t>
      </w:r>
      <w:r w:rsidR="0056358E">
        <w:t>Schedule</w:t>
      </w:r>
      <w:r w:rsidR="00296EFB">
        <w:t xml:space="preserve"> they fall into </w:t>
      </w:r>
      <w:r>
        <w:t xml:space="preserve">which can be found online at </w:t>
      </w:r>
      <w:hyperlink r:id="rId8" w:history="1">
        <w:r w:rsidRPr="00C0653D">
          <w:rPr>
            <w:rStyle w:val="Hyperlink"/>
          </w:rPr>
          <w:t>https://www.gov.uk/government/publications/controlled-drugs-list--2</w:t>
        </w:r>
      </w:hyperlink>
    </w:p>
    <w:p w14:paraId="17752E22" w14:textId="784BB473" w:rsidR="008555DA" w:rsidRPr="008555DA" w:rsidRDefault="008555DA" w:rsidP="008555DA">
      <w:pPr>
        <w:spacing w:after="120" w:line="240" w:lineRule="auto"/>
        <w:jc w:val="both"/>
      </w:pPr>
      <w:r>
        <w:t>To help prevent the illicit production and sale of controlled drugs</w:t>
      </w:r>
      <w:r w:rsidR="00800E54">
        <w:t>,,</w:t>
      </w:r>
      <w:r>
        <w:t xml:space="preserve"> certain drug precursor compounds are also tightly regulated.  These include compounds that such as ephedrine that can be chemically altered to form controlled drugs </w:t>
      </w:r>
      <w:proofErr w:type="gramStart"/>
      <w:r>
        <w:t>and also</w:t>
      </w:r>
      <w:proofErr w:type="gramEnd"/>
      <w:r>
        <w:t xml:space="preserve"> some common laboratory chemicals used to carry out the process such as acetic anhydride (when supplied in large quantities).</w:t>
      </w:r>
    </w:p>
    <w:p w14:paraId="281C3358" w14:textId="2AE5B7D5" w:rsidR="00A1013B" w:rsidRDefault="00ED1798" w:rsidP="00670C07">
      <w:pPr>
        <w:spacing w:after="120" w:line="240" w:lineRule="auto"/>
        <w:ind w:left="720" w:hanging="720"/>
        <w:jc w:val="both"/>
      </w:pPr>
      <w:r>
        <w:rPr>
          <w:b/>
        </w:rPr>
        <w:t>Note:</w:t>
      </w:r>
      <w:r>
        <w:rPr>
          <w:b/>
        </w:rPr>
        <w:tab/>
      </w:r>
      <w:r w:rsidR="008555DA">
        <w:rPr>
          <w:b/>
        </w:rPr>
        <w:t>The c</w:t>
      </w:r>
      <w:r w:rsidRPr="008555DA">
        <w:rPr>
          <w:b/>
        </w:rPr>
        <w:t xml:space="preserve">lassifications are reviewed </w:t>
      </w:r>
      <w:r w:rsidR="008555DA">
        <w:rPr>
          <w:b/>
        </w:rPr>
        <w:t xml:space="preserve">regularly, </w:t>
      </w:r>
      <w:r w:rsidR="00DD46EC" w:rsidRPr="008555DA">
        <w:rPr>
          <w:b/>
        </w:rPr>
        <w:t xml:space="preserve">and some </w:t>
      </w:r>
      <w:r w:rsidR="008555DA" w:rsidRPr="008555DA">
        <w:rPr>
          <w:b/>
        </w:rPr>
        <w:t xml:space="preserve">controlled </w:t>
      </w:r>
      <w:r w:rsidR="00DD46EC" w:rsidRPr="008555DA">
        <w:rPr>
          <w:b/>
        </w:rPr>
        <w:t xml:space="preserve">drugs may be moved to a different </w:t>
      </w:r>
      <w:r w:rsidR="0056358E">
        <w:rPr>
          <w:b/>
        </w:rPr>
        <w:t>Schedule</w:t>
      </w:r>
      <w:r w:rsidR="00E60266" w:rsidRPr="008555DA">
        <w:rPr>
          <w:b/>
        </w:rPr>
        <w:t xml:space="preserve"> from time to time</w:t>
      </w:r>
      <w:r w:rsidR="006C16B0" w:rsidRPr="008555DA">
        <w:rPr>
          <w:b/>
        </w:rPr>
        <w:t>.  It is the responsibility</w:t>
      </w:r>
      <w:r w:rsidR="00E234B2" w:rsidRPr="008555DA">
        <w:rPr>
          <w:b/>
        </w:rPr>
        <w:t xml:space="preserve"> </w:t>
      </w:r>
      <w:r w:rsidR="006C16B0" w:rsidRPr="008555DA">
        <w:rPr>
          <w:b/>
        </w:rPr>
        <w:t xml:space="preserve">of the user to ensure that they regularly review </w:t>
      </w:r>
      <w:r w:rsidR="00800E54">
        <w:rPr>
          <w:b/>
        </w:rPr>
        <w:t xml:space="preserve">their chemical </w:t>
      </w:r>
      <w:r w:rsidR="006C16B0" w:rsidRPr="008555DA">
        <w:rPr>
          <w:b/>
        </w:rPr>
        <w:t xml:space="preserve">stocks and take appropriate action </w:t>
      </w:r>
      <w:proofErr w:type="gramStart"/>
      <w:r w:rsidR="006C16B0" w:rsidRPr="008555DA">
        <w:rPr>
          <w:b/>
        </w:rPr>
        <w:t>in the event that</w:t>
      </w:r>
      <w:proofErr w:type="gramEnd"/>
      <w:r w:rsidR="006C16B0" w:rsidRPr="008555DA">
        <w:rPr>
          <w:b/>
        </w:rPr>
        <w:t xml:space="preserve"> a substance is reclassified</w:t>
      </w:r>
      <w:r w:rsidR="00E234B2" w:rsidRPr="008555DA">
        <w:rPr>
          <w:b/>
        </w:rPr>
        <w:t xml:space="preserve"> under a different </w:t>
      </w:r>
      <w:r w:rsidR="0056358E">
        <w:rPr>
          <w:b/>
        </w:rPr>
        <w:t>Schedule</w:t>
      </w:r>
      <w:r w:rsidR="00E234B2" w:rsidRPr="008555DA">
        <w:rPr>
          <w:b/>
        </w:rPr>
        <w:t>.</w:t>
      </w:r>
    </w:p>
    <w:p w14:paraId="5A460613" w14:textId="69D8B205" w:rsidR="008555DA" w:rsidRPr="008555DA" w:rsidRDefault="008555DA" w:rsidP="00670C07">
      <w:pPr>
        <w:spacing w:after="120" w:line="240" w:lineRule="auto"/>
        <w:ind w:left="720" w:hanging="720"/>
        <w:jc w:val="both"/>
      </w:pPr>
      <w:r>
        <w:rPr>
          <w:b/>
        </w:rPr>
        <w:t>Note:</w:t>
      </w:r>
      <w:r>
        <w:rPr>
          <w:b/>
        </w:rPr>
        <w:tab/>
      </w:r>
      <w:r w:rsidRPr="008555DA">
        <w:rPr>
          <w:b/>
        </w:rPr>
        <w:t>This guidance only covers the use of</w:t>
      </w:r>
      <w:r>
        <w:t xml:space="preserve"> </w:t>
      </w:r>
      <w:r w:rsidRPr="008555DA">
        <w:rPr>
          <w:b/>
        </w:rPr>
        <w:t>controlled drugs in research projects, different requirements apply to other applications, for example the use of controlled drugs in veterinary medicine</w:t>
      </w:r>
      <w:r w:rsidR="00296EFB">
        <w:rPr>
          <w:b/>
        </w:rPr>
        <w:t>, clinical or dental work</w:t>
      </w:r>
      <w:r w:rsidRPr="008555DA">
        <w:rPr>
          <w:b/>
        </w:rPr>
        <w:t>.</w:t>
      </w:r>
      <w:r w:rsidR="00800E54">
        <w:rPr>
          <w:b/>
        </w:rPr>
        <w:t xml:space="preserve">  </w:t>
      </w:r>
    </w:p>
    <w:p w14:paraId="5CEA7502" w14:textId="5237E80F" w:rsidR="003B1336" w:rsidRPr="00515921" w:rsidRDefault="00542664" w:rsidP="00DE3511">
      <w:pPr>
        <w:spacing w:before="360" w:after="120" w:line="240" w:lineRule="auto"/>
        <w:jc w:val="both"/>
        <w:rPr>
          <w:b/>
          <w:sz w:val="32"/>
        </w:rPr>
      </w:pPr>
      <w:r w:rsidRPr="00515921">
        <w:rPr>
          <w:b/>
          <w:sz w:val="32"/>
        </w:rPr>
        <w:t xml:space="preserve">Purchase and </w:t>
      </w:r>
      <w:r w:rsidR="003B1336" w:rsidRPr="00515921">
        <w:rPr>
          <w:b/>
          <w:sz w:val="32"/>
        </w:rPr>
        <w:t>Licensing Requirements</w:t>
      </w:r>
      <w:r w:rsidR="00296EFB">
        <w:rPr>
          <w:b/>
          <w:sz w:val="32"/>
        </w:rPr>
        <w:t xml:space="preserve"> (Possession)</w:t>
      </w:r>
    </w:p>
    <w:p w14:paraId="2997B6DA" w14:textId="77777777" w:rsidR="00A1013B" w:rsidRPr="00515921" w:rsidRDefault="00A1013B" w:rsidP="003B1336">
      <w:pPr>
        <w:spacing w:after="120" w:line="240" w:lineRule="auto"/>
        <w:jc w:val="both"/>
        <w:rPr>
          <w:b/>
          <w:sz w:val="24"/>
        </w:rPr>
      </w:pPr>
      <w:r w:rsidRPr="00515921">
        <w:rPr>
          <w:b/>
          <w:sz w:val="24"/>
        </w:rPr>
        <w:t>Controlled Drugs</w:t>
      </w:r>
    </w:p>
    <w:p w14:paraId="5D22DE9C" w14:textId="77777777" w:rsidR="00800E54" w:rsidRDefault="00CB1FCF" w:rsidP="003B1336">
      <w:pPr>
        <w:spacing w:after="120" w:line="240" w:lineRule="auto"/>
        <w:jc w:val="both"/>
      </w:pPr>
      <w:r>
        <w:t xml:space="preserve">The purchase, storage and use of </w:t>
      </w:r>
      <w:r w:rsidR="008555DA">
        <w:t xml:space="preserve">controlled drugs in any </w:t>
      </w:r>
      <w:r w:rsidR="0056358E">
        <w:t>Schedule</w:t>
      </w:r>
      <w:r w:rsidR="008555DA">
        <w:t xml:space="preserve"> </w:t>
      </w:r>
      <w:r w:rsidR="007A4A51">
        <w:t>require</w:t>
      </w:r>
      <w:r w:rsidR="008555DA">
        <w:t>s</w:t>
      </w:r>
      <w:r w:rsidR="007A4A51">
        <w:t xml:space="preserve"> a specific license from the </w:t>
      </w:r>
      <w:r w:rsidR="00296EFB">
        <w:t>Home Office</w:t>
      </w:r>
      <w:r w:rsidR="007A4A51">
        <w:t xml:space="preserve">.  </w:t>
      </w:r>
      <w:r w:rsidR="008555DA">
        <w:t>However certain exemptions apply and t</w:t>
      </w:r>
      <w:r w:rsidR="008555DA" w:rsidRPr="007E7000">
        <w:t xml:space="preserve">he current guidance issued by the </w:t>
      </w:r>
      <w:r w:rsidR="00296EFB">
        <w:t>Home Office</w:t>
      </w:r>
      <w:r w:rsidR="008555DA" w:rsidRPr="007E7000">
        <w:t xml:space="preserve"> confirms that </w:t>
      </w:r>
      <w:proofErr w:type="gramStart"/>
      <w:r w:rsidR="00296EFB">
        <w:t>University</w:t>
      </w:r>
      <w:proofErr w:type="gramEnd"/>
      <w:r w:rsidR="008555DA" w:rsidRPr="007E7000">
        <w:t xml:space="preserve"> </w:t>
      </w:r>
    </w:p>
    <w:p w14:paraId="59794442" w14:textId="77777777" w:rsidR="00800E54" w:rsidRDefault="00800E54" w:rsidP="003B1336">
      <w:pPr>
        <w:spacing w:after="120" w:line="240" w:lineRule="auto"/>
        <w:jc w:val="both"/>
      </w:pPr>
    </w:p>
    <w:p w14:paraId="77C4781C" w14:textId="295AD1F7" w:rsidR="008555DA" w:rsidRDefault="008555DA" w:rsidP="003B1336">
      <w:pPr>
        <w:spacing w:after="120" w:line="240" w:lineRule="auto"/>
        <w:jc w:val="both"/>
      </w:pPr>
      <w:r w:rsidRPr="007E7000">
        <w:t xml:space="preserve">research departments </w:t>
      </w:r>
      <w:r w:rsidRPr="007E7000">
        <w:rPr>
          <w:b/>
          <w:u w:val="single"/>
        </w:rPr>
        <w:t>do not</w:t>
      </w:r>
      <w:r w:rsidRPr="007E7000">
        <w:t xml:space="preserve"> generally require a licence to possess and supply drugs in </w:t>
      </w:r>
      <w:r w:rsidR="0056358E">
        <w:t>Schedule</w:t>
      </w:r>
      <w:r w:rsidRPr="007E7000">
        <w:t xml:space="preserve">s 2,3,4 (parts I and II) and </w:t>
      </w:r>
      <w:r w:rsidR="0056358E">
        <w:t>Schedule</w:t>
      </w:r>
      <w:r w:rsidRPr="007E7000">
        <w:t xml:space="preserve"> 5.  However, a license </w:t>
      </w:r>
      <w:r w:rsidR="00800E54">
        <w:rPr>
          <w:b/>
          <w:u w:val="single"/>
        </w:rPr>
        <w:t>will</w:t>
      </w:r>
      <w:r w:rsidRPr="007E7000">
        <w:rPr>
          <w:b/>
          <w:u w:val="single"/>
        </w:rPr>
        <w:t xml:space="preserve"> be</w:t>
      </w:r>
      <w:r>
        <w:t xml:space="preserve"> required to possess or supply </w:t>
      </w:r>
      <w:r w:rsidR="00800E54">
        <w:t xml:space="preserve">and controlled </w:t>
      </w:r>
      <w:r>
        <w:t xml:space="preserve">drugs </w:t>
      </w:r>
      <w:r w:rsidR="00800E54">
        <w:t xml:space="preserve">listed </w:t>
      </w:r>
      <w:r>
        <w:t xml:space="preserve">in </w:t>
      </w:r>
      <w:r w:rsidR="0056358E">
        <w:t>Schedule</w:t>
      </w:r>
      <w:r>
        <w:t xml:space="preserve"> 1 </w:t>
      </w:r>
      <w:r w:rsidRPr="007A4A51">
        <w:rPr>
          <w:b/>
          <w:u w:val="single"/>
        </w:rPr>
        <w:t xml:space="preserve">or to produce controlled drugs listed in any </w:t>
      </w:r>
      <w:r w:rsidR="0056358E">
        <w:rPr>
          <w:b/>
          <w:u w:val="single"/>
        </w:rPr>
        <w:t>Schedule</w:t>
      </w:r>
      <w:r>
        <w:t>.</w:t>
      </w:r>
      <w:r w:rsidR="00296EFB">
        <w:t xml:space="preserve">  We recommend that anyone who wishes to engage in the production of controlled drugs contact SEPS for advice</w:t>
      </w:r>
      <w:r w:rsidR="00800E54">
        <w:t xml:space="preserve"> before work commences.</w:t>
      </w:r>
    </w:p>
    <w:p w14:paraId="3C4E9CF7" w14:textId="1C35B598" w:rsidR="003B1336" w:rsidRDefault="008555DA" w:rsidP="003B1336">
      <w:pPr>
        <w:spacing w:after="120" w:line="240" w:lineRule="auto"/>
        <w:jc w:val="both"/>
      </w:pPr>
      <w:r>
        <w:t>L</w:t>
      </w:r>
      <w:r w:rsidR="007A4A51">
        <w:t>icense</w:t>
      </w:r>
      <w:r>
        <w:t xml:space="preserve">s to possess controlled drugs in </w:t>
      </w:r>
      <w:r w:rsidR="0056358E">
        <w:t>Schedule</w:t>
      </w:r>
      <w:r>
        <w:t xml:space="preserve"> 1 are</w:t>
      </w:r>
      <w:r w:rsidR="007A4A51">
        <w:t xml:space="preserve"> not held centrally by the </w:t>
      </w:r>
      <w:r w:rsidR="00296EFB">
        <w:t>University</w:t>
      </w:r>
      <w:r w:rsidR="007A4A51">
        <w:t xml:space="preserve"> and a separate license is required by each management unit that wishes to undertake work using these substances.  </w:t>
      </w:r>
      <w:r>
        <w:t>Once obtained t</w:t>
      </w:r>
      <w:r w:rsidR="007A4A51">
        <w:t>he license covers the whole of the management unit named on the license and there is no time limitation applicable (i.e. an annual renewal is not required).</w:t>
      </w:r>
      <w:r w:rsidR="00E60266">
        <w:t xml:space="preserve">  Chemical suppliers will generally request a copy of the </w:t>
      </w:r>
      <w:r w:rsidR="00296EFB">
        <w:t>Home Office</w:t>
      </w:r>
      <w:r w:rsidR="00E60266">
        <w:t xml:space="preserve"> license before they will supply any controlled drugs.</w:t>
      </w:r>
      <w:r w:rsidR="00296EFB">
        <w:t xml:space="preserve">  Note</w:t>
      </w:r>
      <w:r w:rsidR="00800E54">
        <w:t>,</w:t>
      </w:r>
      <w:r w:rsidR="00296EFB">
        <w:t xml:space="preserve"> that </w:t>
      </w:r>
      <w:proofErr w:type="gramStart"/>
      <w:r w:rsidR="00296EFB">
        <w:t>in order to</w:t>
      </w:r>
      <w:proofErr w:type="gramEnd"/>
      <w:r w:rsidR="00296EFB">
        <w:t xml:space="preserve"> qualify for a license a fee is payable and all personnel with access to controlled drugs will be required to undergo a check by the Disclosure and Barring Service (DBS).  This means that although the license applies to the School / Unit only certain named people will be permitted to work with controlled drugs.</w:t>
      </w:r>
    </w:p>
    <w:p w14:paraId="05649EC6" w14:textId="15E06E7F" w:rsidR="00E73440" w:rsidRPr="00EB1E1E" w:rsidRDefault="00E73440" w:rsidP="00E73440">
      <w:pPr>
        <w:spacing w:after="120" w:line="240" w:lineRule="auto"/>
        <w:ind w:left="720" w:hanging="720"/>
        <w:jc w:val="both"/>
        <w:rPr>
          <w:b/>
        </w:rPr>
      </w:pPr>
      <w:r w:rsidRPr="00EB1E1E">
        <w:rPr>
          <w:b/>
        </w:rPr>
        <w:t>Note:</w:t>
      </w:r>
      <w:r w:rsidRPr="00EB1E1E">
        <w:rPr>
          <w:b/>
        </w:rPr>
        <w:tab/>
      </w:r>
      <w:r>
        <w:rPr>
          <w:b/>
        </w:rPr>
        <w:t xml:space="preserve">Any schools or units with “spin off” companies that carry out activities involving controlled drugs </w:t>
      </w:r>
      <w:r w:rsidRPr="00EB1E1E">
        <w:rPr>
          <w:b/>
          <w:u w:val="single"/>
        </w:rPr>
        <w:t>will not be covered</w:t>
      </w:r>
      <w:r>
        <w:rPr>
          <w:b/>
        </w:rPr>
        <w:t xml:space="preserve"> by licenses owned by the </w:t>
      </w:r>
      <w:r w:rsidR="00296EFB">
        <w:rPr>
          <w:b/>
        </w:rPr>
        <w:t>University</w:t>
      </w:r>
      <w:r>
        <w:rPr>
          <w:b/>
        </w:rPr>
        <w:t xml:space="preserve"> of Glasgow and </w:t>
      </w:r>
      <w:r w:rsidRPr="009C7C2C">
        <w:rPr>
          <w:b/>
        </w:rPr>
        <w:t xml:space="preserve">must </w:t>
      </w:r>
      <w:r>
        <w:rPr>
          <w:b/>
        </w:rPr>
        <w:t>ensure that they hold a separate license</w:t>
      </w:r>
      <w:r w:rsidR="00800E54">
        <w:rPr>
          <w:b/>
        </w:rPr>
        <w:t xml:space="preserve">.  See the health and safety MoU for spinout companies hosted on the SEPS website for further details  </w:t>
      </w:r>
      <w:hyperlink r:id="rId9" w:history="1">
        <w:r w:rsidR="00800E54" w:rsidRPr="00B42C11">
          <w:rPr>
            <w:rStyle w:val="Hyperlink"/>
            <w:b/>
          </w:rPr>
          <w:t>https://www.gla.ac.uk/media/Media_916875_smxx.pdf</w:t>
        </w:r>
      </w:hyperlink>
      <w:r w:rsidR="00800E54">
        <w:rPr>
          <w:b/>
        </w:rPr>
        <w:t xml:space="preserve"> </w:t>
      </w:r>
    </w:p>
    <w:p w14:paraId="7064990F" w14:textId="7AFB7B1E" w:rsidR="002059BA" w:rsidRPr="002059BA" w:rsidRDefault="002059BA" w:rsidP="00515921">
      <w:pPr>
        <w:spacing w:after="240" w:line="240" w:lineRule="auto"/>
        <w:ind w:left="720" w:hanging="720"/>
        <w:jc w:val="both"/>
      </w:pPr>
      <w:r w:rsidRPr="00E60266">
        <w:rPr>
          <w:b/>
        </w:rPr>
        <w:t>Note:</w:t>
      </w:r>
      <w:r>
        <w:tab/>
      </w:r>
      <w:r w:rsidR="00494EC7">
        <w:t>“</w:t>
      </w:r>
      <w:r w:rsidR="00B45FB3">
        <w:rPr>
          <w:b/>
        </w:rPr>
        <w:t>Production</w:t>
      </w:r>
      <w:r w:rsidR="00494EC7">
        <w:rPr>
          <w:b/>
        </w:rPr>
        <w:t xml:space="preserve">” as an activity under the Misuse of Drugs Regulations 2001 is held to mean the creation of one substance from another (containing a controlled drug), even if the molecular structure of the controlled drug element remains unchanged.  Therefore “dilution” of the drug content of a solution could be considered a “production activity” and </w:t>
      </w:r>
      <w:r w:rsidR="00800E54">
        <w:rPr>
          <w:b/>
        </w:rPr>
        <w:t>will</w:t>
      </w:r>
      <w:r w:rsidR="00494EC7">
        <w:rPr>
          <w:b/>
        </w:rPr>
        <w:t xml:space="preserve"> need to be licensed as such.  This is most likely to be required </w:t>
      </w:r>
      <w:proofErr w:type="gramStart"/>
      <w:r w:rsidR="00494EC7">
        <w:rPr>
          <w:b/>
        </w:rPr>
        <w:t>for the production of</w:t>
      </w:r>
      <w:proofErr w:type="gramEnd"/>
      <w:r w:rsidR="00494EC7">
        <w:rPr>
          <w:b/>
        </w:rPr>
        <w:t xml:space="preserve"> reference standards and/or stock solutions.  </w:t>
      </w:r>
    </w:p>
    <w:p w14:paraId="2EE88C6B" w14:textId="4C8BA602" w:rsidR="00A1013B" w:rsidRPr="00515921" w:rsidRDefault="00A1013B" w:rsidP="00DE3511">
      <w:pPr>
        <w:spacing w:before="240" w:after="120" w:line="240" w:lineRule="auto"/>
        <w:jc w:val="both"/>
        <w:rPr>
          <w:b/>
          <w:sz w:val="24"/>
        </w:rPr>
      </w:pPr>
      <w:r w:rsidRPr="00515921">
        <w:rPr>
          <w:b/>
          <w:sz w:val="24"/>
        </w:rPr>
        <w:t>Controlled Drug Precursor</w:t>
      </w:r>
      <w:r w:rsidR="00E73440">
        <w:rPr>
          <w:b/>
          <w:sz w:val="24"/>
        </w:rPr>
        <w:t xml:space="preserve"> Chemicals</w:t>
      </w:r>
    </w:p>
    <w:p w14:paraId="2A5FB2CC" w14:textId="6CC343E4" w:rsidR="00A1013B" w:rsidRDefault="00515921" w:rsidP="00A1013B">
      <w:pPr>
        <w:spacing w:after="120" w:line="240" w:lineRule="auto"/>
        <w:jc w:val="both"/>
      </w:pPr>
      <w:r>
        <w:t xml:space="preserve">The supply of precursor chemicals (i.e. substances that can be used in the manufacture of controlled drugs) is </w:t>
      </w:r>
      <w:r w:rsidR="00E73440">
        <w:t xml:space="preserve">also </w:t>
      </w:r>
      <w:r>
        <w:t xml:space="preserve">closely regulated in the UK.  </w:t>
      </w:r>
      <w:r w:rsidR="004C4D77">
        <w:t xml:space="preserve">Regulation of precursor chemicals covers 23 substances </w:t>
      </w:r>
      <w:r w:rsidR="00E73440">
        <w:t>which are further sub</w:t>
      </w:r>
      <w:r w:rsidR="004C4D77">
        <w:t>divided into three categories</w:t>
      </w:r>
      <w:r w:rsidR="00EB1E1E">
        <w:t xml:space="preserve"> </w:t>
      </w:r>
      <w:r w:rsidR="00E73440">
        <w:t xml:space="preserve">based on how they are used in the production of controlled drugs </w:t>
      </w:r>
      <w:r w:rsidR="00EB1E1E">
        <w:t>(see appendix 1</w:t>
      </w:r>
      <w:r w:rsidR="00E73440">
        <w:t xml:space="preserve"> for a complete list</w:t>
      </w:r>
      <w:r w:rsidR="00EB1E1E">
        <w:t>)</w:t>
      </w:r>
      <w:r w:rsidR="004C4D77">
        <w:t>:</w:t>
      </w:r>
    </w:p>
    <w:p w14:paraId="4A052BB6" w14:textId="1C6312A3" w:rsidR="004C4D77" w:rsidRDefault="004C4D77" w:rsidP="00A1013B">
      <w:pPr>
        <w:spacing w:after="120" w:line="240" w:lineRule="auto"/>
        <w:jc w:val="both"/>
        <w:rPr>
          <w:b/>
        </w:rPr>
      </w:pPr>
      <w:r w:rsidRPr="004C4D77">
        <w:rPr>
          <w:b/>
        </w:rPr>
        <w:t>Category 1 (Most sensitive substances)</w:t>
      </w:r>
    </w:p>
    <w:p w14:paraId="6960FDCE" w14:textId="52881E42" w:rsidR="004C4D77" w:rsidRDefault="004C4D77" w:rsidP="00A1013B">
      <w:pPr>
        <w:spacing w:after="120" w:line="240" w:lineRule="auto"/>
        <w:jc w:val="both"/>
        <w:rPr>
          <w:b/>
        </w:rPr>
      </w:pPr>
      <w:r w:rsidRPr="004C4D77">
        <w:rPr>
          <w:b/>
        </w:rPr>
        <w:t>Category 2 (Less sensitive substances and precursors)</w:t>
      </w:r>
    </w:p>
    <w:p w14:paraId="24CE985B" w14:textId="77777777" w:rsidR="004C4D77" w:rsidRDefault="004C4D77" w:rsidP="00A1013B">
      <w:pPr>
        <w:spacing w:after="120" w:line="240" w:lineRule="auto"/>
        <w:jc w:val="both"/>
        <w:rPr>
          <w:b/>
        </w:rPr>
      </w:pPr>
      <w:r w:rsidRPr="004C4D77">
        <w:rPr>
          <w:b/>
        </w:rPr>
        <w:t>Category 3 (Bulk chemicals that can be used in drug production e.g. solvents)</w:t>
      </w:r>
    </w:p>
    <w:p w14:paraId="63710510" w14:textId="2EF2E9FD" w:rsidR="004C4D77" w:rsidRDefault="004C4D77" w:rsidP="00A1013B">
      <w:pPr>
        <w:spacing w:after="120" w:line="240" w:lineRule="auto"/>
        <w:jc w:val="both"/>
      </w:pPr>
      <w:r w:rsidRPr="004C4D77">
        <w:t xml:space="preserve">The legislation excludes medicinal products for human use but covers all natural products and preparations (or mixtures) containing at least one </w:t>
      </w:r>
      <w:r w:rsidR="0056358E">
        <w:t>Schedule</w:t>
      </w:r>
      <w:r w:rsidRPr="004C4D77">
        <w:t>d substance</w:t>
      </w:r>
      <w:r w:rsidR="00800E54">
        <w:t xml:space="preserve"> (</w:t>
      </w:r>
      <w:proofErr w:type="gramStart"/>
      <w:r w:rsidRPr="004C4D77">
        <w:t>provided that</w:t>
      </w:r>
      <w:proofErr w:type="gramEnd"/>
      <w:r w:rsidRPr="004C4D77">
        <w:t xml:space="preserve"> they can be extracted by ‘readily applicable or economically viable means</w:t>
      </w:r>
      <w:r w:rsidR="00800E54">
        <w:t>)</w:t>
      </w:r>
      <w:r>
        <w:t>.</w:t>
      </w:r>
    </w:p>
    <w:p w14:paraId="59C9CE6F" w14:textId="0EAC64F2" w:rsidR="00EB1E1E" w:rsidRPr="004C4D77" w:rsidRDefault="00EB1E1E" w:rsidP="00A1013B">
      <w:pPr>
        <w:spacing w:after="120" w:line="240" w:lineRule="auto"/>
        <w:jc w:val="both"/>
      </w:pPr>
      <w:r>
        <w:t xml:space="preserve">Schools or units holding (or wishing to purchase) category 1 drug precursors </w:t>
      </w:r>
      <w:r w:rsidR="00800E54">
        <w:t>must</w:t>
      </w:r>
      <w:r>
        <w:t xml:space="preserve"> hold a license from the </w:t>
      </w:r>
      <w:r w:rsidR="00296EFB">
        <w:t>Home Office</w:t>
      </w:r>
      <w:r w:rsidR="00E73440">
        <w:t>, other precursors may or may not require a license depending on the amount held by the unit</w:t>
      </w:r>
      <w:r>
        <w:t xml:space="preserve">.  Before a supplier can provide any quantity of a category 1 precursor the School / Unit will have to complete a declaration of </w:t>
      </w:r>
      <w:r w:rsidR="00E73440">
        <w:t>s</w:t>
      </w:r>
      <w:r>
        <w:t xml:space="preserve">pecific </w:t>
      </w:r>
      <w:r w:rsidR="00E73440">
        <w:t>u</w:t>
      </w:r>
      <w:r>
        <w:t>se</w:t>
      </w:r>
      <w:r w:rsidR="00E73440">
        <w:t xml:space="preserve"> </w:t>
      </w:r>
      <w:r w:rsidR="00F47233">
        <w:t>(</w:t>
      </w:r>
      <w:proofErr w:type="gramStart"/>
      <w:r w:rsidR="00E73440">
        <w:t>whether or not</w:t>
      </w:r>
      <w:proofErr w:type="gramEnd"/>
      <w:r w:rsidR="00E73440">
        <w:t xml:space="preserve"> a license is required</w:t>
      </w:r>
      <w:r w:rsidR="00F47233">
        <w:t>)</w:t>
      </w:r>
      <w:r w:rsidR="00E73440">
        <w:t>.  These</w:t>
      </w:r>
      <w:r w:rsidR="00F47233">
        <w:t xml:space="preserve"> are</w:t>
      </w:r>
      <w:r w:rsidR="00E73440">
        <w:t xml:space="preserve"> generally </w:t>
      </w:r>
      <w:r w:rsidR="00F47233">
        <w:t xml:space="preserve">supplied as a </w:t>
      </w:r>
      <w:r w:rsidR="00E73440">
        <w:t xml:space="preserve">standard form and are </w:t>
      </w:r>
      <w:r w:rsidR="00F47233">
        <w:t xml:space="preserve">very </w:t>
      </w:r>
      <w:r w:rsidR="00E73440">
        <w:t>straightforward to complete.</w:t>
      </w:r>
    </w:p>
    <w:p w14:paraId="799E4F0F" w14:textId="4AFD0B2A" w:rsidR="00EB1E1E" w:rsidRPr="00EB1E1E" w:rsidRDefault="00EB1E1E" w:rsidP="00EB1E1E">
      <w:pPr>
        <w:spacing w:after="120" w:line="240" w:lineRule="auto"/>
        <w:ind w:left="720" w:hanging="720"/>
        <w:jc w:val="both"/>
        <w:rPr>
          <w:b/>
        </w:rPr>
      </w:pPr>
      <w:r w:rsidRPr="00EB1E1E">
        <w:rPr>
          <w:b/>
        </w:rPr>
        <w:t>Note:</w:t>
      </w:r>
      <w:r w:rsidRPr="00EB1E1E">
        <w:rPr>
          <w:b/>
        </w:rPr>
        <w:tab/>
      </w:r>
      <w:r>
        <w:rPr>
          <w:b/>
        </w:rPr>
        <w:t xml:space="preserve">Any schools or units with “spin off” companies that carry out activities involving category 1 </w:t>
      </w:r>
      <w:r w:rsidR="00F47233">
        <w:rPr>
          <w:b/>
        </w:rPr>
        <w:t xml:space="preserve">drug precursor </w:t>
      </w:r>
      <w:r>
        <w:rPr>
          <w:b/>
        </w:rPr>
        <w:t xml:space="preserve">substances </w:t>
      </w:r>
      <w:r w:rsidRPr="00EB1E1E">
        <w:rPr>
          <w:b/>
          <w:u w:val="single"/>
        </w:rPr>
        <w:t>will not be covered</w:t>
      </w:r>
      <w:r>
        <w:rPr>
          <w:b/>
        </w:rPr>
        <w:t xml:space="preserve"> by licenses owned by the </w:t>
      </w:r>
      <w:r w:rsidR="00296EFB">
        <w:rPr>
          <w:b/>
        </w:rPr>
        <w:t>University</w:t>
      </w:r>
      <w:r>
        <w:rPr>
          <w:b/>
        </w:rPr>
        <w:t xml:space="preserve"> of Glasgow and </w:t>
      </w:r>
      <w:r>
        <w:rPr>
          <w:b/>
          <w:u w:val="single"/>
        </w:rPr>
        <w:t>must</w:t>
      </w:r>
      <w:r>
        <w:rPr>
          <w:b/>
        </w:rPr>
        <w:t xml:space="preserve"> ensure that they hold a separate license.</w:t>
      </w:r>
      <w:r w:rsidR="00F47233">
        <w:rPr>
          <w:b/>
        </w:rPr>
        <w:t xml:space="preserve">  </w:t>
      </w:r>
      <w:r w:rsidR="00F47233">
        <w:rPr>
          <w:b/>
        </w:rPr>
        <w:t xml:space="preserve">See the health and safety MoU for spinout companies hosted on the SEPS website for further details  </w:t>
      </w:r>
      <w:hyperlink r:id="rId10" w:history="1">
        <w:r w:rsidR="00F47233" w:rsidRPr="00B42C11">
          <w:rPr>
            <w:rStyle w:val="Hyperlink"/>
            <w:b/>
          </w:rPr>
          <w:t>https://www.gla.ac.uk/media/Media_916875_smxx.pdf</w:t>
        </w:r>
      </w:hyperlink>
    </w:p>
    <w:p w14:paraId="4B67B3F5" w14:textId="414315FE" w:rsidR="00FB663F" w:rsidRPr="00FB663F" w:rsidRDefault="00FB663F" w:rsidP="00DE3511">
      <w:pPr>
        <w:spacing w:before="240" w:after="120" w:line="240" w:lineRule="auto"/>
        <w:rPr>
          <w:b/>
          <w:sz w:val="24"/>
        </w:rPr>
      </w:pPr>
      <w:r w:rsidRPr="00FB663F">
        <w:rPr>
          <w:b/>
          <w:sz w:val="24"/>
        </w:rPr>
        <w:t>Annual Returns</w:t>
      </w:r>
    </w:p>
    <w:p w14:paraId="2EAEABFF" w14:textId="77777777" w:rsidR="00F47233" w:rsidRDefault="00FB663F" w:rsidP="00881E5B">
      <w:pPr>
        <w:spacing w:after="120" w:line="240" w:lineRule="auto"/>
        <w:jc w:val="both"/>
      </w:pPr>
      <w:r>
        <w:t xml:space="preserve">The </w:t>
      </w:r>
      <w:r w:rsidR="00296EFB">
        <w:t>Home Office</w:t>
      </w:r>
      <w:r>
        <w:t xml:space="preserve"> requires license holders to provide them with an annual return </w:t>
      </w:r>
      <w:r w:rsidR="00881E5B">
        <w:t>by the 31</w:t>
      </w:r>
      <w:r w:rsidR="00881E5B" w:rsidRPr="00881E5B">
        <w:rPr>
          <w:vertAlign w:val="superscript"/>
        </w:rPr>
        <w:t>st</w:t>
      </w:r>
      <w:r w:rsidR="00881E5B">
        <w:t xml:space="preserve"> of January each year </w:t>
      </w:r>
      <w:r>
        <w:t xml:space="preserve">covering </w:t>
      </w:r>
      <w:r w:rsidR="00465A4A">
        <w:t xml:space="preserve">their use of controlled drugs to fulfil the government’s commitments to the UN International Narcotics </w:t>
      </w:r>
    </w:p>
    <w:p w14:paraId="4174ECBC" w14:textId="77777777" w:rsidR="00F47233" w:rsidRDefault="00F47233" w:rsidP="00881E5B">
      <w:pPr>
        <w:spacing w:after="120" w:line="240" w:lineRule="auto"/>
        <w:jc w:val="both"/>
      </w:pPr>
    </w:p>
    <w:p w14:paraId="171E114F" w14:textId="56685F63" w:rsidR="00FB663F" w:rsidRPr="00465A4A" w:rsidRDefault="00465A4A" w:rsidP="00881E5B">
      <w:pPr>
        <w:spacing w:after="120" w:line="240" w:lineRule="auto"/>
        <w:jc w:val="both"/>
        <w:rPr>
          <w:u w:val="single"/>
        </w:rPr>
      </w:pPr>
      <w:r>
        <w:t xml:space="preserve">Control Board.  </w:t>
      </w:r>
      <w:r w:rsidR="00881E5B">
        <w:t xml:space="preserve">In general </w:t>
      </w:r>
      <w:r w:rsidR="0056358E">
        <w:t xml:space="preserve">licensed </w:t>
      </w:r>
      <w:r w:rsidR="00881E5B">
        <w:t>end users will only need to submit an e-mail to the address below stating that they are providing a “nil return”.</w:t>
      </w:r>
      <w:r>
        <w:t xml:space="preserve">  </w:t>
      </w:r>
      <w:r w:rsidR="00F47233">
        <w:t>Fulfilling this requirement will be the responsibility of the licensed end user and is not undertaken centrally by the University.</w:t>
      </w:r>
    </w:p>
    <w:p w14:paraId="35D7C93A" w14:textId="56C98C9D" w:rsidR="00FB663F" w:rsidRPr="00FB663F" w:rsidRDefault="00EE7231" w:rsidP="00FB663F">
      <w:pPr>
        <w:spacing w:after="120" w:line="240" w:lineRule="auto"/>
        <w:rPr>
          <w:b/>
        </w:rPr>
      </w:pPr>
      <w:hyperlink r:id="rId11" w:history="1">
        <w:r w:rsidR="00FB663F" w:rsidRPr="00FB663F">
          <w:rPr>
            <w:rStyle w:val="Hyperlink"/>
            <w:b/>
          </w:rPr>
          <w:t>annualdrugreturns@homeoffice.gsi.gov.uk</w:t>
        </w:r>
      </w:hyperlink>
    </w:p>
    <w:p w14:paraId="49C8B1AD" w14:textId="598DC681" w:rsidR="00154FB0" w:rsidRDefault="0056358E" w:rsidP="00154FB0">
      <w:pPr>
        <w:spacing w:after="120" w:line="240" w:lineRule="auto"/>
        <w:jc w:val="both"/>
      </w:pPr>
      <w:r>
        <w:rPr>
          <w:b/>
          <w:u w:val="single"/>
        </w:rPr>
        <w:t>L</w:t>
      </w:r>
      <w:r w:rsidR="00BC5AD7" w:rsidRPr="00154FB0">
        <w:rPr>
          <w:b/>
          <w:u w:val="single"/>
        </w:rPr>
        <w:t>icen</w:t>
      </w:r>
      <w:r>
        <w:rPr>
          <w:b/>
          <w:u w:val="single"/>
        </w:rPr>
        <w:t>sed U</w:t>
      </w:r>
      <w:r w:rsidR="00BC5AD7" w:rsidRPr="00154FB0">
        <w:rPr>
          <w:b/>
          <w:u w:val="single"/>
        </w:rPr>
        <w:t>sers</w:t>
      </w:r>
      <w:r w:rsidR="00BC5AD7">
        <w:t xml:space="preserve"> </w:t>
      </w:r>
      <w:r>
        <w:t>within the University who have permission to possess controlled drugs</w:t>
      </w:r>
      <w:r w:rsidR="00BC5AD7">
        <w:t xml:space="preserve"> </w:t>
      </w:r>
      <w:r w:rsidR="00154FB0">
        <w:t xml:space="preserve">may be required to submit a more detailed annual return using the online form hosted on the </w:t>
      </w:r>
      <w:r w:rsidR="00296EFB">
        <w:t>Home Office</w:t>
      </w:r>
      <w:r w:rsidR="00154FB0">
        <w:t xml:space="preserve"> website</w:t>
      </w:r>
      <w:r>
        <w:t xml:space="preserve"> if they hold stocks of certain substances</w:t>
      </w:r>
      <w:r w:rsidR="00154FB0">
        <w:t xml:space="preserve">.  The full list is available on the form but for convenience </w:t>
      </w:r>
      <w:proofErr w:type="gramStart"/>
      <w:r w:rsidR="00154FB0">
        <w:t>all of</w:t>
      </w:r>
      <w:proofErr w:type="gramEnd"/>
      <w:r w:rsidR="00154FB0">
        <w:t xml:space="preserve"> the </w:t>
      </w:r>
      <w:r>
        <w:t>Schedule</w:t>
      </w:r>
      <w:r w:rsidR="00154FB0">
        <w:t xml:space="preserve"> 1 substances </w:t>
      </w:r>
      <w:r>
        <w:t>that require an annual return</w:t>
      </w:r>
      <w:r w:rsidR="00154FB0">
        <w:t xml:space="preserve"> have been reproduced in Appendix 2 </w:t>
      </w:r>
      <w:r>
        <w:t>other sub</w:t>
      </w:r>
      <w:r w:rsidR="00F47233">
        <w:t>s</w:t>
      </w:r>
      <w:r>
        <w:t>tances in Schedule 1 will be covered by a standar</w:t>
      </w:r>
      <w:r w:rsidR="00F47233">
        <w:t>d</w:t>
      </w:r>
      <w:r>
        <w:t xml:space="preserve"> “nil return”.  R</w:t>
      </w:r>
      <w:r w:rsidR="00154FB0">
        <w:t xml:space="preserve">emember that for research purposes in Universities licenses are not generally required for possession of substances in other </w:t>
      </w:r>
      <w:r>
        <w:t>Schedule</w:t>
      </w:r>
      <w:r w:rsidR="00154FB0">
        <w:t>s)</w:t>
      </w:r>
      <w:r>
        <w:t xml:space="preserve"> and therefore for possession of drugs in Schedules 2-5 no return will be required.</w:t>
      </w:r>
    </w:p>
    <w:p w14:paraId="00454973" w14:textId="3B0FAB61" w:rsidR="00F874CE" w:rsidRDefault="00154FB0" w:rsidP="00F874CE">
      <w:pPr>
        <w:spacing w:after="120" w:line="240" w:lineRule="auto"/>
        <w:ind w:left="720" w:hanging="720"/>
        <w:rPr>
          <w:b/>
        </w:rPr>
      </w:pPr>
      <w:r>
        <w:rPr>
          <w:b/>
        </w:rPr>
        <w:t>Note:</w:t>
      </w:r>
      <w:r>
        <w:rPr>
          <w:b/>
        </w:rPr>
        <w:tab/>
        <w:t>While annual returns may be required for manufacture</w:t>
      </w:r>
      <w:r w:rsidR="00F874CE">
        <w:rPr>
          <w:b/>
        </w:rPr>
        <w:t xml:space="preserve"> and supply of some controlled drug precursors they are generally not required for possession of these substances.</w:t>
      </w:r>
    </w:p>
    <w:p w14:paraId="3710FC2D" w14:textId="77777777" w:rsidR="00F874CE" w:rsidRPr="00F874CE" w:rsidRDefault="00F874CE" w:rsidP="00DE3511">
      <w:pPr>
        <w:spacing w:before="240" w:after="120" w:line="240" w:lineRule="auto"/>
        <w:rPr>
          <w:b/>
          <w:sz w:val="24"/>
        </w:rPr>
      </w:pPr>
      <w:r w:rsidRPr="00F874CE">
        <w:rPr>
          <w:b/>
          <w:sz w:val="24"/>
        </w:rPr>
        <w:t>Surrendering of Licenses</w:t>
      </w:r>
    </w:p>
    <w:p w14:paraId="63D56CAB" w14:textId="39850310" w:rsidR="00A66C44" w:rsidRDefault="00F874CE" w:rsidP="00A66C44">
      <w:pPr>
        <w:spacing w:after="120" w:line="240" w:lineRule="auto"/>
        <w:jc w:val="both"/>
      </w:pPr>
      <w:r>
        <w:t xml:space="preserve">Where a unit or school no longer intends to handle controlled drugs (and is unlikely to do so again in the future) the controlled drugs license should be formally surrendered.  This can be achieved by fully completing the </w:t>
      </w:r>
      <w:r w:rsidR="00296EFB">
        <w:t>Home Office</w:t>
      </w:r>
      <w:r>
        <w:t xml:space="preserve"> form which can be found using the link below.  The form should include details of any stocks held, confirmation of destruction, record keeping etc.</w:t>
      </w:r>
      <w:r w:rsidR="00A66C44">
        <w:t xml:space="preserve"> </w:t>
      </w:r>
      <w:hyperlink r:id="rId12" w:history="1">
        <w:r w:rsidR="00A66C44" w:rsidRPr="00B42C11">
          <w:rPr>
            <w:rStyle w:val="Hyperlink"/>
          </w:rPr>
          <w:t>https://www.gov.uk/government/publications/controlled-drugs-licence-return-premises-closure-statement</w:t>
        </w:r>
      </w:hyperlink>
      <w:r w:rsidR="00A66C44">
        <w:t xml:space="preserve"> </w:t>
      </w:r>
    </w:p>
    <w:p w14:paraId="22A654EB" w14:textId="71E11AFE" w:rsidR="003B1336" w:rsidRPr="00515921" w:rsidRDefault="00542664" w:rsidP="00DE3511">
      <w:pPr>
        <w:spacing w:before="360" w:after="120" w:line="240" w:lineRule="auto"/>
        <w:jc w:val="both"/>
        <w:rPr>
          <w:b/>
          <w:sz w:val="32"/>
        </w:rPr>
      </w:pPr>
      <w:r w:rsidRPr="00515921">
        <w:rPr>
          <w:b/>
          <w:sz w:val="32"/>
        </w:rPr>
        <w:t>Safe Storage and Security</w:t>
      </w:r>
    </w:p>
    <w:p w14:paraId="328E5C7F" w14:textId="7F847631" w:rsidR="006071C4" w:rsidRPr="006071C4" w:rsidRDefault="006071C4" w:rsidP="003B1336">
      <w:pPr>
        <w:spacing w:after="120" w:line="240" w:lineRule="auto"/>
        <w:jc w:val="both"/>
        <w:rPr>
          <w:b/>
          <w:sz w:val="24"/>
        </w:rPr>
      </w:pPr>
      <w:r w:rsidRPr="006071C4">
        <w:rPr>
          <w:b/>
          <w:sz w:val="24"/>
        </w:rPr>
        <w:t>Storage Areas</w:t>
      </w:r>
    </w:p>
    <w:p w14:paraId="6214779D" w14:textId="5023DA4D" w:rsidR="003B1336" w:rsidRDefault="00F64CB7" w:rsidP="003B1336">
      <w:pPr>
        <w:spacing w:after="120" w:line="240" w:lineRule="auto"/>
        <w:jc w:val="both"/>
      </w:pPr>
      <w:r>
        <w:t xml:space="preserve">All controlled drugs should be stored securely to help prevent theft, loss and to prevent unauthorised personnel having access to them.  </w:t>
      </w:r>
      <w:r w:rsidR="002059BA">
        <w:t>It is recommended that</w:t>
      </w:r>
      <w:r>
        <w:t xml:space="preserve"> controlled drugs in </w:t>
      </w:r>
      <w:r w:rsidR="0056358E">
        <w:t>Schedule</w:t>
      </w:r>
      <w:r>
        <w:t xml:space="preserve">s 1-3 (and category 1 </w:t>
      </w:r>
      <w:r w:rsidR="004E7B76">
        <w:t>p</w:t>
      </w:r>
      <w:r>
        <w:t xml:space="preserve">recursor </w:t>
      </w:r>
      <w:r w:rsidR="004D652E">
        <w:t>chemicals)</w:t>
      </w:r>
      <w:r>
        <w:t xml:space="preserve"> </w:t>
      </w:r>
      <w:r w:rsidR="004D652E">
        <w:t xml:space="preserve">should </w:t>
      </w:r>
      <w:r>
        <w:t xml:space="preserve">be stored in a secure area when not in use and that controlled drugs in </w:t>
      </w:r>
      <w:r w:rsidR="0056358E">
        <w:t>Schedule</w:t>
      </w:r>
      <w:r>
        <w:t>s 4 and 5 are subject to the same storage arrangements so far as is reasonably practicable.</w:t>
      </w:r>
      <w:r w:rsidR="004D652E">
        <w:t xml:space="preserve">  General considerations are as follows:</w:t>
      </w:r>
    </w:p>
    <w:p w14:paraId="091797AE" w14:textId="70E8C5C7" w:rsidR="004D652E" w:rsidRDefault="004D652E" w:rsidP="004D652E">
      <w:pPr>
        <w:pStyle w:val="ListParagraph"/>
        <w:numPr>
          <w:ilvl w:val="0"/>
          <w:numId w:val="9"/>
        </w:numPr>
        <w:spacing w:after="120" w:line="240" w:lineRule="auto"/>
        <w:ind w:left="714" w:hanging="357"/>
        <w:contextualSpacing w:val="0"/>
        <w:jc w:val="both"/>
      </w:pPr>
      <w:r>
        <w:t>External doors and windows should be</w:t>
      </w:r>
      <w:r w:rsidR="00A66C44">
        <w:t xml:space="preserve"> </w:t>
      </w:r>
      <w:r>
        <w:t>locked or otherwise inaccessible.  This may not be relevant in areas where windows do not open or when the laboratory is located on an upper floor but care should be taken to ensure security is not compromised by scaffolding or other access routes during maintenance</w:t>
      </w:r>
      <w:r w:rsidR="00A66C44">
        <w:t xml:space="preserve"> and construction activities.</w:t>
      </w:r>
    </w:p>
    <w:p w14:paraId="5718B165" w14:textId="0F846749" w:rsidR="004D652E" w:rsidRDefault="004D652E" w:rsidP="004D652E">
      <w:pPr>
        <w:pStyle w:val="ListParagraph"/>
        <w:numPr>
          <w:ilvl w:val="0"/>
          <w:numId w:val="9"/>
        </w:numPr>
        <w:spacing w:after="120" w:line="240" w:lineRule="auto"/>
        <w:ind w:left="714" w:hanging="357"/>
        <w:contextualSpacing w:val="0"/>
        <w:jc w:val="both"/>
      </w:pPr>
      <w:r>
        <w:t xml:space="preserve">An alarm system should be considered which is monitored locally or off-site.  Care should be taken to inform anyone monitoring the alarm of the arrangements in the event of an unexpected activation, generally this will involve informing </w:t>
      </w:r>
      <w:r w:rsidR="00A66C44">
        <w:t xml:space="preserve">the security team and </w:t>
      </w:r>
      <w:r>
        <w:t>the police</w:t>
      </w:r>
      <w:r w:rsidR="00A66C44">
        <w:t xml:space="preserve"> immediately.</w:t>
      </w:r>
    </w:p>
    <w:p w14:paraId="5E5CED0E" w14:textId="11B45FC1" w:rsidR="004D652E" w:rsidRDefault="004D652E" w:rsidP="004D652E">
      <w:pPr>
        <w:pStyle w:val="ListParagraph"/>
        <w:numPr>
          <w:ilvl w:val="0"/>
          <w:numId w:val="9"/>
        </w:numPr>
        <w:spacing w:after="120" w:line="240" w:lineRule="auto"/>
        <w:ind w:left="714" w:hanging="357"/>
        <w:contextualSpacing w:val="0"/>
        <w:jc w:val="both"/>
      </w:pPr>
      <w:r>
        <w:t>An agreed set of Standard Operating Procedures (SOPs) should be implemented to ensure that controlled drugs are handled and stored appropriately and that suitable management systems are in place to reduce the risk of unauthorised access, loss or theft.</w:t>
      </w:r>
    </w:p>
    <w:p w14:paraId="568D60B4" w14:textId="657B1D74" w:rsidR="00615FF4" w:rsidRDefault="002059BA" w:rsidP="003B1336">
      <w:pPr>
        <w:spacing w:after="120" w:line="240" w:lineRule="auto"/>
        <w:jc w:val="both"/>
      </w:pPr>
      <w:r>
        <w:t xml:space="preserve">While there are no specific security arrangements for storage of controlled drugs in </w:t>
      </w:r>
      <w:r w:rsidR="004D652E">
        <w:t xml:space="preserve">laboratories in </w:t>
      </w:r>
      <w:r>
        <w:t>higher education</w:t>
      </w:r>
      <w:r w:rsidR="00E60266">
        <w:t xml:space="preserve">, the guidance set out in The Misuse of Drugs (Safe Custody) Regulations 1973 and the Security Guidance published by the </w:t>
      </w:r>
      <w:r w:rsidR="00296EFB">
        <w:t>Home Office</w:t>
      </w:r>
      <w:r w:rsidR="00E60266">
        <w:t xml:space="preserve"> provide useful guidelines to prevent loss or theft of controlled drugs.  They recommend that controlled drugs are stored in a</w:t>
      </w:r>
      <w:r w:rsidR="004D652E">
        <w:t xml:space="preserve"> locked strong room, safe</w:t>
      </w:r>
      <w:r w:rsidR="00E60266">
        <w:t xml:space="preserve"> </w:t>
      </w:r>
      <w:r w:rsidR="004D652E">
        <w:t xml:space="preserve">or cabinet </w:t>
      </w:r>
      <w:r w:rsidR="00E60266">
        <w:t>depending on the quantity</w:t>
      </w:r>
      <w:r w:rsidR="0056358E">
        <w:t xml:space="preserve"> (specifications for these are available in the associated Home Office Guidance)</w:t>
      </w:r>
      <w:r w:rsidR="00E60266">
        <w:t>.  They also recommend that th</w:t>
      </w:r>
      <w:r w:rsidR="00F64CB7">
        <w:t xml:space="preserve">e door to the laboratory or storage area where controlled drugs and precursors are kept should be fitted with a lock that is operated by a </w:t>
      </w:r>
      <w:r w:rsidR="00E60266">
        <w:t xml:space="preserve">keypad, </w:t>
      </w:r>
      <w:r w:rsidR="00615FF4">
        <w:t xml:space="preserve">key or digital locking system.  The lock should be </w:t>
      </w:r>
      <w:proofErr w:type="gramStart"/>
      <w:r w:rsidR="00615FF4">
        <w:t>engaged at all times</w:t>
      </w:r>
      <w:proofErr w:type="gramEnd"/>
      <w:r w:rsidR="00615FF4">
        <w:t xml:space="preserve"> including out of hours</w:t>
      </w:r>
      <w:r w:rsidR="004D652E">
        <w:t xml:space="preserve"> to prevent unauthorised access.</w:t>
      </w:r>
    </w:p>
    <w:p w14:paraId="2BDC6AFD" w14:textId="77777777" w:rsidR="00A66C44" w:rsidRDefault="00A66C44" w:rsidP="004D652E">
      <w:pPr>
        <w:spacing w:after="120" w:line="240" w:lineRule="auto"/>
        <w:jc w:val="both"/>
      </w:pPr>
    </w:p>
    <w:p w14:paraId="43768419" w14:textId="77777777" w:rsidR="00A66C44" w:rsidRDefault="00A66C44" w:rsidP="004D652E">
      <w:pPr>
        <w:spacing w:after="120" w:line="240" w:lineRule="auto"/>
        <w:jc w:val="both"/>
      </w:pPr>
    </w:p>
    <w:p w14:paraId="4E129B0A" w14:textId="37AD0B48" w:rsidR="00615FF4" w:rsidRDefault="00615FF4" w:rsidP="004D652E">
      <w:pPr>
        <w:spacing w:after="120" w:line="240" w:lineRule="auto"/>
        <w:jc w:val="both"/>
      </w:pPr>
      <w:r>
        <w:t>Substances that are stored at reduced temperature should</w:t>
      </w:r>
      <w:r w:rsidR="00B46AC9">
        <w:t xml:space="preserve"> </w:t>
      </w:r>
      <w:r>
        <w:t xml:space="preserve">be stored in a locked fridge or freezer </w:t>
      </w:r>
      <w:r w:rsidR="00E60266">
        <w:t xml:space="preserve">or in a locked container inside </w:t>
      </w:r>
      <w:r w:rsidR="00A66C44">
        <w:t xml:space="preserve">the appliance </w:t>
      </w:r>
      <w:r w:rsidR="00E60266">
        <w:t>where practical.  Note that if a locked container is used then precautions should be put in place to prevent the theft of the container itself</w:t>
      </w:r>
      <w:r w:rsidR="0056358E">
        <w:t xml:space="preserve"> (</w:t>
      </w:r>
      <w:r w:rsidR="004D652E">
        <w:t xml:space="preserve">securing the container to an immovable part of the appliance is usually the most </w:t>
      </w:r>
      <w:r w:rsidR="00A66C44">
        <w:t>straightforward</w:t>
      </w:r>
      <w:r w:rsidR="004D652E">
        <w:t xml:space="preserve"> solution).</w:t>
      </w:r>
    </w:p>
    <w:p w14:paraId="524372B1" w14:textId="053AAB54" w:rsidR="000F6F56" w:rsidRPr="000F6F56" w:rsidRDefault="000F6F56" w:rsidP="004D652E">
      <w:pPr>
        <w:spacing w:after="120" w:line="240" w:lineRule="auto"/>
        <w:ind w:left="720" w:hanging="720"/>
        <w:jc w:val="both"/>
        <w:rPr>
          <w:b/>
        </w:rPr>
      </w:pPr>
      <w:r>
        <w:rPr>
          <w:b/>
        </w:rPr>
        <w:t>Note:</w:t>
      </w:r>
      <w:r>
        <w:rPr>
          <w:b/>
        </w:rPr>
        <w:tab/>
        <w:t xml:space="preserve">The </w:t>
      </w:r>
      <w:r w:rsidR="00296EFB">
        <w:rPr>
          <w:b/>
        </w:rPr>
        <w:t>Home Office</w:t>
      </w:r>
      <w:r>
        <w:rPr>
          <w:b/>
        </w:rPr>
        <w:t xml:space="preserve"> recommend that controlled drug cabinets</w:t>
      </w:r>
      <w:r w:rsidR="002059BA">
        <w:rPr>
          <w:b/>
        </w:rPr>
        <w:t xml:space="preserve"> / safes </w:t>
      </w:r>
      <w:r>
        <w:rPr>
          <w:b/>
        </w:rPr>
        <w:t xml:space="preserve">are </w:t>
      </w:r>
      <w:r w:rsidR="00F64CB7">
        <w:rPr>
          <w:b/>
        </w:rPr>
        <w:t xml:space="preserve">locked using a combination lock or similar system.  This helps to avoid the need to make </w:t>
      </w:r>
      <w:r w:rsidR="00A66C44">
        <w:rPr>
          <w:b/>
        </w:rPr>
        <w:t xml:space="preserve">additional </w:t>
      </w:r>
      <w:r w:rsidR="00F64CB7">
        <w:rPr>
          <w:b/>
        </w:rPr>
        <w:t xml:space="preserve">security arrangements for </w:t>
      </w:r>
      <w:proofErr w:type="spellStart"/>
      <w:r w:rsidR="00A66C44">
        <w:rPr>
          <w:b/>
        </w:rPr>
        <w:t>assocuiated</w:t>
      </w:r>
      <w:proofErr w:type="spellEnd"/>
      <w:r w:rsidR="00A66C44">
        <w:rPr>
          <w:b/>
        </w:rPr>
        <w:t xml:space="preserve"> </w:t>
      </w:r>
      <w:r w:rsidR="00F64CB7">
        <w:rPr>
          <w:b/>
        </w:rPr>
        <w:t>keys, access card etc.</w:t>
      </w:r>
    </w:p>
    <w:p w14:paraId="01F06447" w14:textId="77777777" w:rsidR="00DE3511" w:rsidRDefault="00DE3511" w:rsidP="004D652E">
      <w:pPr>
        <w:spacing w:before="240" w:after="120" w:line="240" w:lineRule="auto"/>
        <w:jc w:val="both"/>
        <w:rPr>
          <w:b/>
          <w:sz w:val="24"/>
        </w:rPr>
      </w:pPr>
      <w:r>
        <w:rPr>
          <w:b/>
          <w:sz w:val="24"/>
        </w:rPr>
        <w:t>Standard Operating Procedures (SOP)</w:t>
      </w:r>
    </w:p>
    <w:p w14:paraId="7E43BB3A" w14:textId="150CF176" w:rsidR="00DE3511" w:rsidRDefault="004D652E" w:rsidP="004D652E">
      <w:pPr>
        <w:spacing w:after="120" w:line="240" w:lineRule="auto"/>
        <w:jc w:val="both"/>
      </w:pPr>
      <w:r>
        <w:t>As noted above</w:t>
      </w:r>
      <w:r w:rsidR="00A66C44">
        <w:t>,</w:t>
      </w:r>
      <w:r>
        <w:t xml:space="preserve"> </w:t>
      </w:r>
      <w:r w:rsidR="00A66C44">
        <w:t>l</w:t>
      </w:r>
      <w:r w:rsidR="007A652B">
        <w:t>icensees will require</w:t>
      </w:r>
      <w:r w:rsidR="00FC4A68">
        <w:t xml:space="preserve"> to put in place standard operating procedures (SOPs) covering all activities involving controlled drugs.  While only </w:t>
      </w:r>
      <w:r w:rsidR="0056358E">
        <w:t>Schedule</w:t>
      </w:r>
      <w:r w:rsidR="00FC4A68">
        <w:t xml:space="preserve"> 1 drugs and </w:t>
      </w:r>
      <w:r w:rsidR="0056358E">
        <w:t>category</w:t>
      </w:r>
      <w:r w:rsidR="00FC4A68">
        <w:t xml:space="preserve"> 1 precursors require to be licensed for research</w:t>
      </w:r>
      <w:r>
        <w:t>.</w:t>
      </w:r>
      <w:r w:rsidR="00FC4A68">
        <w:t xml:space="preserve"> </w:t>
      </w:r>
      <w:r>
        <w:t xml:space="preserve"> W</w:t>
      </w:r>
      <w:r w:rsidR="00FC4A68">
        <w:t xml:space="preserve">e </w:t>
      </w:r>
      <w:r w:rsidR="00A66C44">
        <w:t xml:space="preserve">strongly </w:t>
      </w:r>
      <w:r w:rsidR="00FC4A68">
        <w:t>recommend that the</w:t>
      </w:r>
      <w:r w:rsidR="00A66C44">
        <w:t xml:space="preserve"> following</w:t>
      </w:r>
      <w:r w:rsidR="00FC4A68">
        <w:t xml:space="preserve"> procedures are applied to all activities involving controlled drugs as a matter of good practice.   </w:t>
      </w:r>
    </w:p>
    <w:p w14:paraId="27E1DE2F" w14:textId="071C21E8" w:rsidR="007A652B" w:rsidRDefault="007A652B" w:rsidP="004D652E">
      <w:pPr>
        <w:pStyle w:val="ListParagraph"/>
        <w:numPr>
          <w:ilvl w:val="0"/>
          <w:numId w:val="8"/>
        </w:numPr>
        <w:spacing w:after="120" w:line="240" w:lineRule="auto"/>
        <w:ind w:left="714" w:hanging="357"/>
        <w:contextualSpacing w:val="0"/>
        <w:jc w:val="both"/>
      </w:pPr>
      <w:r>
        <w:t>Check the application of the regulation</w:t>
      </w:r>
      <w:r w:rsidR="004D652E">
        <w:t xml:space="preserve"> to your activities to ensure that procedures and storage arrangements are compliant with the required legislation.  </w:t>
      </w:r>
      <w:proofErr w:type="gramStart"/>
      <w:r w:rsidR="004D652E">
        <w:t>In particular</w:t>
      </w:r>
      <w:r w:rsidR="00A66C44">
        <w:t>,</w:t>
      </w:r>
      <w:r w:rsidR="004D652E">
        <w:t xml:space="preserve"> care</w:t>
      </w:r>
      <w:proofErr w:type="gramEnd"/>
      <w:r w:rsidR="004D652E">
        <w:t xml:space="preserve"> should be taken to highlight any changes in the </w:t>
      </w:r>
      <w:r w:rsidR="0056358E">
        <w:t>Schedule</w:t>
      </w:r>
      <w:r w:rsidR="004D652E">
        <w:t xml:space="preserve"> to which a controlled drug has been assigned.</w:t>
      </w:r>
    </w:p>
    <w:p w14:paraId="425C0ACE" w14:textId="1C1D672A" w:rsidR="007A652B" w:rsidRDefault="007A652B" w:rsidP="004D652E">
      <w:pPr>
        <w:pStyle w:val="ListParagraph"/>
        <w:numPr>
          <w:ilvl w:val="0"/>
          <w:numId w:val="8"/>
        </w:numPr>
        <w:spacing w:after="120" w:line="240" w:lineRule="auto"/>
        <w:ind w:left="714" w:hanging="357"/>
        <w:contextualSpacing w:val="0"/>
        <w:jc w:val="both"/>
      </w:pPr>
      <w:r>
        <w:t>Orders and arrangements for receipt of controlled drugs</w:t>
      </w:r>
      <w:r w:rsidR="004D652E">
        <w:t xml:space="preserve"> should be clearly detailed along with contact details for responsible person(s) and the procedures / authorisations required to order controlled drugs or controlled precursors.</w:t>
      </w:r>
    </w:p>
    <w:p w14:paraId="22A4C19B" w14:textId="249853F2" w:rsidR="007A652B" w:rsidRDefault="00A66C44" w:rsidP="004D652E">
      <w:pPr>
        <w:pStyle w:val="ListParagraph"/>
        <w:numPr>
          <w:ilvl w:val="0"/>
          <w:numId w:val="8"/>
        </w:numPr>
        <w:spacing w:after="120" w:line="240" w:lineRule="auto"/>
        <w:ind w:left="714" w:hanging="357"/>
        <w:contextualSpacing w:val="0"/>
        <w:jc w:val="both"/>
      </w:pPr>
      <w:r>
        <w:t>Introduce c</w:t>
      </w:r>
      <w:r w:rsidR="004D652E">
        <w:t>lear processes for the a</w:t>
      </w:r>
      <w:r w:rsidR="007A652B">
        <w:t xml:space="preserve">cceptance of deliveries </w:t>
      </w:r>
      <w:r w:rsidR="004D652E">
        <w:t>including logging of deliveries and secure storage in the interim before they are transported to a secure storage area.</w:t>
      </w:r>
    </w:p>
    <w:p w14:paraId="74095FF2" w14:textId="24E2B573" w:rsidR="00C7056C" w:rsidRDefault="00C7056C" w:rsidP="008437E1">
      <w:pPr>
        <w:pStyle w:val="ListParagraph"/>
        <w:numPr>
          <w:ilvl w:val="0"/>
          <w:numId w:val="8"/>
        </w:numPr>
        <w:spacing w:after="120" w:line="240" w:lineRule="auto"/>
        <w:ind w:left="714" w:hanging="357"/>
        <w:contextualSpacing w:val="0"/>
        <w:jc w:val="both"/>
      </w:pPr>
      <w:r>
        <w:t>Detail</w:t>
      </w:r>
      <w:r w:rsidR="00A66C44">
        <w:t>ed</w:t>
      </w:r>
      <w:r>
        <w:t xml:space="preserve"> </w:t>
      </w:r>
      <w:r w:rsidR="00A66C44">
        <w:t>r</w:t>
      </w:r>
      <w:r w:rsidR="007A652B">
        <w:t>ecord</w:t>
      </w:r>
      <w:r w:rsidR="00A66C44">
        <w:t xml:space="preserve">s should be kept </w:t>
      </w:r>
      <w:r>
        <w:t>including details of the type, amount and usage of controlled drugs</w:t>
      </w:r>
      <w:r w:rsidR="007A652B">
        <w:t xml:space="preserve">, </w:t>
      </w:r>
      <w:proofErr w:type="gramStart"/>
      <w:r w:rsidR="007A652B">
        <w:t>auditing</w:t>
      </w:r>
      <w:proofErr w:type="gramEnd"/>
      <w:r w:rsidR="007A652B">
        <w:t xml:space="preserve"> and cross-checking</w:t>
      </w:r>
      <w:r>
        <w:t xml:space="preserve"> of stocks against receipt, use and disposal records.  </w:t>
      </w:r>
    </w:p>
    <w:p w14:paraId="6F1F1386" w14:textId="3BF6F265" w:rsidR="007A652B" w:rsidRDefault="00C7056C" w:rsidP="004D652E">
      <w:pPr>
        <w:pStyle w:val="ListParagraph"/>
        <w:numPr>
          <w:ilvl w:val="0"/>
          <w:numId w:val="8"/>
        </w:numPr>
        <w:spacing w:after="120" w:line="240" w:lineRule="auto"/>
        <w:ind w:left="714" w:hanging="357"/>
        <w:contextualSpacing w:val="0"/>
        <w:jc w:val="both"/>
      </w:pPr>
      <w:r>
        <w:t>Access procedures for storage areas and laboratories should be detailed including security arrangements, personnel with access, removal of access privileges and signing out procedures.</w:t>
      </w:r>
    </w:p>
    <w:p w14:paraId="7F54BCB8" w14:textId="2BAF4454" w:rsidR="00FC4A68" w:rsidRDefault="00C7056C" w:rsidP="004D652E">
      <w:pPr>
        <w:pStyle w:val="ListParagraph"/>
        <w:numPr>
          <w:ilvl w:val="0"/>
          <w:numId w:val="8"/>
        </w:numPr>
        <w:spacing w:after="120" w:line="240" w:lineRule="auto"/>
        <w:ind w:left="714" w:hanging="357"/>
        <w:contextualSpacing w:val="0"/>
        <w:jc w:val="both"/>
      </w:pPr>
      <w:r>
        <w:t>Procedure for d</w:t>
      </w:r>
      <w:r w:rsidR="00FC4A68">
        <w:t>estruction</w:t>
      </w:r>
      <w:r>
        <w:t xml:space="preserve"> / removal</w:t>
      </w:r>
      <w:r w:rsidR="00FC4A68">
        <w:t xml:space="preserve"> of controlled drugs</w:t>
      </w:r>
      <w:r w:rsidR="008437E1">
        <w:t>, this process should include a suitable record which should be countersigned by the person / organisation carrying out the destruction.</w:t>
      </w:r>
    </w:p>
    <w:p w14:paraId="7DDD1969" w14:textId="090B2DE2" w:rsidR="008437E1" w:rsidRDefault="008437E1" w:rsidP="004D652E">
      <w:pPr>
        <w:pStyle w:val="ListParagraph"/>
        <w:numPr>
          <w:ilvl w:val="0"/>
          <w:numId w:val="8"/>
        </w:numPr>
        <w:spacing w:after="120" w:line="240" w:lineRule="auto"/>
        <w:ind w:left="714" w:hanging="357"/>
        <w:contextualSpacing w:val="0"/>
        <w:jc w:val="both"/>
      </w:pPr>
      <w:r>
        <w:t>Investigation of theft, loss or other incidents</w:t>
      </w:r>
    </w:p>
    <w:p w14:paraId="43FF59F5" w14:textId="4F95F33B" w:rsidR="00FC4A68" w:rsidRDefault="00FC4A68" w:rsidP="004D652E">
      <w:pPr>
        <w:pStyle w:val="ListParagraph"/>
        <w:numPr>
          <w:ilvl w:val="0"/>
          <w:numId w:val="8"/>
        </w:numPr>
        <w:spacing w:after="120" w:line="240" w:lineRule="auto"/>
        <w:ind w:left="714" w:hanging="357"/>
        <w:contextualSpacing w:val="0"/>
        <w:jc w:val="both"/>
      </w:pPr>
      <w:r>
        <w:t xml:space="preserve">Reporting </w:t>
      </w:r>
      <w:r w:rsidR="008437E1">
        <w:t>procedures for</w:t>
      </w:r>
      <w:r>
        <w:t xml:space="preserve"> theft, loss or other incidents</w:t>
      </w:r>
    </w:p>
    <w:p w14:paraId="46A10336" w14:textId="4CAE0F7D" w:rsidR="0056358E" w:rsidRPr="0056358E" w:rsidRDefault="0056358E" w:rsidP="0056358E">
      <w:pPr>
        <w:spacing w:after="120" w:line="240" w:lineRule="auto"/>
        <w:ind w:left="714" w:hanging="714"/>
        <w:jc w:val="both"/>
        <w:rPr>
          <w:b/>
        </w:rPr>
      </w:pPr>
      <w:r>
        <w:rPr>
          <w:b/>
        </w:rPr>
        <w:t>Note:</w:t>
      </w:r>
      <w:r>
        <w:rPr>
          <w:b/>
        </w:rPr>
        <w:tab/>
        <w:t>Remember to ensure that the required risk assessments and CoSHH assessments are in place for any activities involving controlled drugs in any Schedule.</w:t>
      </w:r>
    </w:p>
    <w:p w14:paraId="37C9B413" w14:textId="77777777" w:rsidR="006071C4" w:rsidRPr="006071C4" w:rsidRDefault="006071C4" w:rsidP="006071C4">
      <w:pPr>
        <w:spacing w:before="240" w:after="120" w:line="240" w:lineRule="auto"/>
        <w:jc w:val="both"/>
        <w:rPr>
          <w:b/>
          <w:sz w:val="24"/>
        </w:rPr>
      </w:pPr>
      <w:r w:rsidRPr="006071C4">
        <w:rPr>
          <w:b/>
          <w:sz w:val="24"/>
        </w:rPr>
        <w:t>Audits and Discrepancies</w:t>
      </w:r>
    </w:p>
    <w:p w14:paraId="688CA46E" w14:textId="6CC3A52F" w:rsidR="008437E1" w:rsidRDefault="00BC3EFD" w:rsidP="008437E1">
      <w:pPr>
        <w:spacing w:after="120" w:line="240" w:lineRule="auto"/>
        <w:jc w:val="both"/>
      </w:pPr>
      <w:proofErr w:type="gramStart"/>
      <w:r>
        <w:t>In order to</w:t>
      </w:r>
      <w:proofErr w:type="gramEnd"/>
      <w:r>
        <w:t xml:space="preserve"> maintain control of </w:t>
      </w:r>
      <w:r w:rsidR="008437E1">
        <w:t xml:space="preserve">controlled drugs </w:t>
      </w:r>
      <w:r w:rsidR="0056358E">
        <w:t xml:space="preserve">(and category 1 precursors) </w:t>
      </w:r>
      <w:r w:rsidR="008437E1">
        <w:t>a detailed and accurate controlled drugs register should be accurately kept and should be maintained for at least 2 years after the last disposal of any material.  The log should contain the following information for each controlled substance:</w:t>
      </w:r>
    </w:p>
    <w:p w14:paraId="768D0585" w14:textId="77777777" w:rsidR="008437E1" w:rsidRDefault="008437E1" w:rsidP="008437E1">
      <w:pPr>
        <w:pStyle w:val="ListParagraph"/>
        <w:numPr>
          <w:ilvl w:val="1"/>
          <w:numId w:val="8"/>
        </w:numPr>
        <w:spacing w:after="120" w:line="240" w:lineRule="auto"/>
        <w:contextualSpacing w:val="0"/>
        <w:jc w:val="both"/>
      </w:pPr>
      <w:r>
        <w:t>Name of substance</w:t>
      </w:r>
    </w:p>
    <w:p w14:paraId="1B19BF4C" w14:textId="77777777" w:rsidR="008437E1" w:rsidRDefault="008437E1" w:rsidP="008437E1">
      <w:pPr>
        <w:pStyle w:val="ListParagraph"/>
        <w:numPr>
          <w:ilvl w:val="1"/>
          <w:numId w:val="8"/>
        </w:numPr>
        <w:spacing w:after="120" w:line="240" w:lineRule="auto"/>
        <w:contextualSpacing w:val="0"/>
        <w:jc w:val="both"/>
      </w:pPr>
      <w:r>
        <w:t>Date of purchase and supplier</w:t>
      </w:r>
    </w:p>
    <w:p w14:paraId="45CC8360" w14:textId="77777777" w:rsidR="008437E1" w:rsidRDefault="008437E1" w:rsidP="008437E1">
      <w:pPr>
        <w:pStyle w:val="ListParagraph"/>
        <w:numPr>
          <w:ilvl w:val="1"/>
          <w:numId w:val="8"/>
        </w:numPr>
        <w:spacing w:after="120" w:line="240" w:lineRule="auto"/>
        <w:contextualSpacing w:val="0"/>
        <w:jc w:val="both"/>
      </w:pPr>
      <w:r>
        <w:t>Quantity purchased</w:t>
      </w:r>
    </w:p>
    <w:p w14:paraId="51D8DFA0" w14:textId="77777777" w:rsidR="008437E1" w:rsidRDefault="008437E1" w:rsidP="008437E1">
      <w:pPr>
        <w:pStyle w:val="ListParagraph"/>
        <w:numPr>
          <w:ilvl w:val="1"/>
          <w:numId w:val="8"/>
        </w:numPr>
        <w:spacing w:after="120" w:line="240" w:lineRule="auto"/>
        <w:contextualSpacing w:val="0"/>
        <w:jc w:val="both"/>
      </w:pPr>
      <w:r>
        <w:t>Quantity used, removed or disposed of and date of transaction</w:t>
      </w:r>
    </w:p>
    <w:p w14:paraId="0807F098" w14:textId="77777777" w:rsidR="008437E1" w:rsidRDefault="008437E1" w:rsidP="008437E1">
      <w:pPr>
        <w:pStyle w:val="ListParagraph"/>
        <w:numPr>
          <w:ilvl w:val="1"/>
          <w:numId w:val="8"/>
        </w:numPr>
        <w:spacing w:after="120" w:line="240" w:lineRule="auto"/>
        <w:contextualSpacing w:val="0"/>
        <w:jc w:val="both"/>
      </w:pPr>
      <w:r>
        <w:t>Current stock level</w:t>
      </w:r>
    </w:p>
    <w:p w14:paraId="33A5A72D" w14:textId="77777777" w:rsidR="008437E1" w:rsidRDefault="008437E1" w:rsidP="008437E1">
      <w:pPr>
        <w:pStyle w:val="ListParagraph"/>
        <w:numPr>
          <w:ilvl w:val="1"/>
          <w:numId w:val="8"/>
        </w:numPr>
        <w:spacing w:after="120" w:line="240" w:lineRule="auto"/>
        <w:contextualSpacing w:val="0"/>
        <w:jc w:val="both"/>
      </w:pPr>
      <w:r>
        <w:t>Name and signature of person using controlled drugs</w:t>
      </w:r>
    </w:p>
    <w:p w14:paraId="4A1F5C1C" w14:textId="77777777" w:rsidR="00A66C44" w:rsidRDefault="00A66C44" w:rsidP="006071C4">
      <w:pPr>
        <w:spacing w:after="120" w:line="240" w:lineRule="auto"/>
        <w:jc w:val="both"/>
      </w:pPr>
    </w:p>
    <w:p w14:paraId="500E1518" w14:textId="7F6C1879" w:rsidR="006071C4" w:rsidRDefault="006071C4" w:rsidP="006071C4">
      <w:pPr>
        <w:spacing w:after="120" w:line="240" w:lineRule="auto"/>
        <w:jc w:val="both"/>
      </w:pPr>
      <w:r>
        <w:t>Controlled drug stocks should be audited regularly</w:t>
      </w:r>
      <w:r w:rsidR="0056358E">
        <w:t xml:space="preserve"> </w:t>
      </w:r>
      <w:r>
        <w:t>to ensure that the amount held is correct after accounting for normal use and disposal.  Audits should be carried out monthly at which time the controlled drugs register will be checked to ensure that remaining stocks can be reconciled against the original quantity purchased, usage and disposal to ensure that no discrepancies are identified.</w:t>
      </w:r>
    </w:p>
    <w:p w14:paraId="31E970B4" w14:textId="0FB1AB29" w:rsidR="008437E1" w:rsidRDefault="006071C4" w:rsidP="008437E1">
      <w:pPr>
        <w:spacing w:before="240" w:after="240" w:line="240" w:lineRule="auto"/>
        <w:ind w:left="720" w:hanging="720"/>
        <w:jc w:val="both"/>
        <w:rPr>
          <w:b/>
        </w:rPr>
      </w:pPr>
      <w:r>
        <w:rPr>
          <w:b/>
        </w:rPr>
        <w:t>Note:</w:t>
      </w:r>
      <w:r>
        <w:rPr>
          <w:b/>
        </w:rPr>
        <w:tab/>
        <w:t xml:space="preserve">In the event of any discrepancies being highlighted </w:t>
      </w:r>
      <w:r w:rsidR="008437E1">
        <w:rPr>
          <w:b/>
        </w:rPr>
        <w:t xml:space="preserve">in stocks of controlled drugs (any </w:t>
      </w:r>
      <w:r w:rsidR="0056358E">
        <w:rPr>
          <w:b/>
        </w:rPr>
        <w:t>Schedule</w:t>
      </w:r>
      <w:r w:rsidR="008437E1">
        <w:rPr>
          <w:b/>
        </w:rPr>
        <w:t xml:space="preserve">) or category 1 precursors </w:t>
      </w:r>
      <w:r>
        <w:rPr>
          <w:b/>
        </w:rPr>
        <w:t>(e.g. missing substances, thefts) a</w:t>
      </w:r>
      <w:r w:rsidR="008437E1">
        <w:rPr>
          <w:b/>
        </w:rPr>
        <w:t xml:space="preserve"> local investigation should take place.  if the discrepancy cannot be resolved it should be reported to the </w:t>
      </w:r>
      <w:r w:rsidR="00296EFB">
        <w:rPr>
          <w:b/>
        </w:rPr>
        <w:t>Home Office</w:t>
      </w:r>
      <w:r w:rsidR="008437E1">
        <w:rPr>
          <w:b/>
        </w:rPr>
        <w:t xml:space="preserve"> using this form: </w:t>
      </w:r>
      <w:hyperlink r:id="rId13" w:history="1">
        <w:r w:rsidR="008437E1" w:rsidRPr="004F319D">
          <w:rPr>
            <w:rStyle w:val="Hyperlink"/>
            <w:b/>
          </w:rPr>
          <w:t>https://www.gov.uk/government/publications/thefts-and-losses-report-for</w:t>
        </w:r>
        <w:r w:rsidR="008437E1" w:rsidRPr="004F319D">
          <w:rPr>
            <w:rStyle w:val="Hyperlink"/>
            <w:b/>
          </w:rPr>
          <w:t>m</w:t>
        </w:r>
        <w:r w:rsidR="008437E1" w:rsidRPr="004F319D">
          <w:rPr>
            <w:rStyle w:val="Hyperlink"/>
            <w:b/>
          </w:rPr>
          <w:t>-december-2011</w:t>
        </w:r>
      </w:hyperlink>
    </w:p>
    <w:p w14:paraId="24A24625" w14:textId="292892A3" w:rsidR="008555DA" w:rsidRDefault="006071C4" w:rsidP="0056358E">
      <w:pPr>
        <w:spacing w:after="120" w:line="240" w:lineRule="auto"/>
        <w:ind w:left="720" w:hanging="720"/>
        <w:jc w:val="both"/>
        <w:rPr>
          <w:b/>
          <w:sz w:val="32"/>
        </w:rPr>
      </w:pPr>
      <w:r>
        <w:rPr>
          <w:b/>
        </w:rPr>
        <w:t>Note:</w:t>
      </w:r>
      <w:r>
        <w:rPr>
          <w:b/>
        </w:rPr>
        <w:tab/>
      </w:r>
      <w:proofErr w:type="gramStart"/>
      <w:r>
        <w:rPr>
          <w:b/>
        </w:rPr>
        <w:t>In the event that</w:t>
      </w:r>
      <w:proofErr w:type="gramEnd"/>
      <w:r>
        <w:rPr>
          <w:b/>
        </w:rPr>
        <w:t xml:space="preserve"> a </w:t>
      </w:r>
      <w:r w:rsidR="0056358E">
        <w:rPr>
          <w:b/>
        </w:rPr>
        <w:t>significant</w:t>
      </w:r>
      <w:r w:rsidR="008437E1">
        <w:rPr>
          <w:b/>
        </w:rPr>
        <w:t xml:space="preserve"> amount of a </w:t>
      </w:r>
      <w:r w:rsidR="0056358E">
        <w:rPr>
          <w:b/>
        </w:rPr>
        <w:t>Schedule</w:t>
      </w:r>
      <w:r>
        <w:rPr>
          <w:b/>
        </w:rPr>
        <w:t xml:space="preserve"> 1 Drug or Category 1 precursor substance is</w:t>
      </w:r>
      <w:r w:rsidR="0056358E">
        <w:rPr>
          <w:b/>
        </w:rPr>
        <w:t xml:space="preserve"> lost or stolen</w:t>
      </w:r>
      <w:r>
        <w:rPr>
          <w:b/>
        </w:rPr>
        <w:t xml:space="preserve"> the incident </w:t>
      </w:r>
      <w:r w:rsidR="008437E1">
        <w:rPr>
          <w:b/>
        </w:rPr>
        <w:t>should</w:t>
      </w:r>
      <w:r>
        <w:rPr>
          <w:b/>
        </w:rPr>
        <w:t xml:space="preserve"> be reported to the </w:t>
      </w:r>
      <w:r w:rsidR="00296EFB">
        <w:rPr>
          <w:b/>
        </w:rPr>
        <w:t>Home Office</w:t>
      </w:r>
      <w:r>
        <w:rPr>
          <w:b/>
        </w:rPr>
        <w:t xml:space="preserve"> </w:t>
      </w:r>
      <w:r w:rsidR="0056358E">
        <w:rPr>
          <w:b/>
        </w:rPr>
        <w:t xml:space="preserve">immediately.  It may also be prudent to report this to the </w:t>
      </w:r>
      <w:r w:rsidR="00A66C44">
        <w:rPr>
          <w:b/>
        </w:rPr>
        <w:t xml:space="preserve">security team and the </w:t>
      </w:r>
      <w:r w:rsidR="0056358E">
        <w:rPr>
          <w:b/>
        </w:rPr>
        <w:t>police.</w:t>
      </w:r>
    </w:p>
    <w:p w14:paraId="32E883F4" w14:textId="0069D083" w:rsidR="003B1336" w:rsidRPr="00515921" w:rsidRDefault="003B1336" w:rsidP="003B1336">
      <w:pPr>
        <w:spacing w:after="120" w:line="240" w:lineRule="auto"/>
        <w:jc w:val="both"/>
        <w:rPr>
          <w:b/>
          <w:sz w:val="32"/>
        </w:rPr>
      </w:pPr>
      <w:r w:rsidRPr="00515921">
        <w:rPr>
          <w:b/>
          <w:sz w:val="32"/>
        </w:rPr>
        <w:t>Disposal / Destruction of Controlled Drugs</w:t>
      </w:r>
    </w:p>
    <w:p w14:paraId="1D1AFD83" w14:textId="2587E8F0" w:rsidR="003B1336" w:rsidRDefault="00D0354F" w:rsidP="003B1336">
      <w:pPr>
        <w:spacing w:after="120" w:line="240" w:lineRule="auto"/>
        <w:jc w:val="both"/>
      </w:pPr>
      <w:r>
        <w:t xml:space="preserve">It is a legal requirement for stocks of controlled drugs to be </w:t>
      </w:r>
      <w:r w:rsidR="00797355">
        <w:t xml:space="preserve">managed appropriately when they are no longer required.  Specific rules apply to the destruction and/or disposal of controlled drugs depending on the </w:t>
      </w:r>
      <w:r w:rsidR="0056358E">
        <w:t>Schedule</w:t>
      </w:r>
      <w:r w:rsidR="00797355">
        <w:t xml:space="preserve"> in which they are listed.  When no longer required for research (or other uses) controlled drugs should be destroyed or disposed of as follows:</w:t>
      </w:r>
    </w:p>
    <w:p w14:paraId="699E56E3" w14:textId="1D96D834" w:rsidR="004D5FEC" w:rsidRPr="00515921" w:rsidRDefault="004D5FEC" w:rsidP="00067573">
      <w:pPr>
        <w:spacing w:before="240" w:after="120" w:line="240" w:lineRule="auto"/>
        <w:jc w:val="both"/>
        <w:rPr>
          <w:b/>
          <w:sz w:val="24"/>
        </w:rPr>
      </w:pPr>
      <w:r w:rsidRPr="00515921">
        <w:rPr>
          <w:b/>
          <w:sz w:val="24"/>
        </w:rPr>
        <w:t xml:space="preserve">Drugs Listed in </w:t>
      </w:r>
      <w:r w:rsidR="0056358E">
        <w:rPr>
          <w:b/>
          <w:sz w:val="24"/>
        </w:rPr>
        <w:t>Schedule</w:t>
      </w:r>
      <w:r w:rsidRPr="00515921">
        <w:rPr>
          <w:b/>
          <w:sz w:val="24"/>
        </w:rPr>
        <w:t xml:space="preserve"> 1</w:t>
      </w:r>
    </w:p>
    <w:p w14:paraId="5FB54ECB" w14:textId="413E96BF" w:rsidR="004D5FEC" w:rsidRDefault="004D5FEC" w:rsidP="004D5FEC">
      <w:pPr>
        <w:spacing w:after="120" w:line="240" w:lineRule="auto"/>
        <w:jc w:val="both"/>
      </w:pPr>
      <w:r>
        <w:t xml:space="preserve">Destruction of </w:t>
      </w:r>
      <w:r w:rsidR="0056358E">
        <w:t>Schedule</w:t>
      </w:r>
      <w:r>
        <w:t xml:space="preserve"> 1 drugs must be carried out within the </w:t>
      </w:r>
      <w:r w:rsidR="00296EFB">
        <w:t>University</w:t>
      </w:r>
      <w:r>
        <w:t xml:space="preserve"> as the licenses issued for their use do not permit them to be handed over to another person or organisation.  Destruction must be witnessed by a person who has been specifically authorised by the </w:t>
      </w:r>
      <w:r w:rsidR="00296EFB">
        <w:t>Home Office</w:t>
      </w:r>
      <w:r>
        <w:t xml:space="preserve"> (or by a Police Officer).  The person who witnesses the destruction </w:t>
      </w:r>
      <w:r>
        <w:rPr>
          <w:b/>
          <w:u w:val="single"/>
        </w:rPr>
        <w:t>must not</w:t>
      </w:r>
      <w:r>
        <w:t xml:space="preserve"> have any involvement of the day-to-day use or record keeping of the drugs and the process must be carried out in accordance with a written procedure.</w:t>
      </w:r>
    </w:p>
    <w:p w14:paraId="4CE6F7CD" w14:textId="148E4DC3" w:rsidR="004D5FEC" w:rsidRDefault="004D5FEC" w:rsidP="004D5FEC">
      <w:pPr>
        <w:spacing w:after="120" w:line="240" w:lineRule="auto"/>
        <w:ind w:left="720" w:hanging="720"/>
        <w:jc w:val="both"/>
        <w:rPr>
          <w:b/>
        </w:rPr>
      </w:pPr>
      <w:r>
        <w:rPr>
          <w:b/>
        </w:rPr>
        <w:t>Note:</w:t>
      </w:r>
      <w:r>
        <w:rPr>
          <w:b/>
        </w:rPr>
        <w:tab/>
        <w:t xml:space="preserve">A license to purchase, store or use drugs in </w:t>
      </w:r>
      <w:r w:rsidR="0056358E">
        <w:rPr>
          <w:b/>
        </w:rPr>
        <w:t>Schedule</w:t>
      </w:r>
      <w:r>
        <w:rPr>
          <w:b/>
        </w:rPr>
        <w:t xml:space="preserve"> 1 doe</w:t>
      </w:r>
      <w:r w:rsidR="00E321AD">
        <w:rPr>
          <w:b/>
        </w:rPr>
        <w:t>s</w:t>
      </w:r>
      <w:r>
        <w:rPr>
          <w:b/>
        </w:rPr>
        <w:t xml:space="preserve"> not convey the authority to witness their destruction.</w:t>
      </w:r>
      <w:r w:rsidR="00E73440">
        <w:rPr>
          <w:b/>
        </w:rPr>
        <w:t xml:space="preserve">  This requires specific authorisation from the </w:t>
      </w:r>
      <w:r w:rsidR="00296EFB">
        <w:rPr>
          <w:b/>
        </w:rPr>
        <w:t>Home Office</w:t>
      </w:r>
      <w:r w:rsidR="00E73440">
        <w:rPr>
          <w:b/>
        </w:rPr>
        <w:t xml:space="preserve">.  </w:t>
      </w:r>
      <w:r w:rsidR="0056358E" w:rsidRPr="00A66C44">
        <w:rPr>
          <w:b/>
          <w:u w:val="single"/>
        </w:rPr>
        <w:t>Schedule</w:t>
      </w:r>
      <w:r w:rsidR="00E73440" w:rsidRPr="00A66C44">
        <w:rPr>
          <w:b/>
          <w:u w:val="single"/>
        </w:rPr>
        <w:t xml:space="preserve"> 1 controlled drugs cannot be disposed of via a licensed waste contractor.</w:t>
      </w:r>
    </w:p>
    <w:p w14:paraId="41F0F594" w14:textId="454BAF04" w:rsidR="004D5FEC" w:rsidRPr="00515921" w:rsidRDefault="004D5FEC" w:rsidP="00067573">
      <w:pPr>
        <w:spacing w:before="240" w:after="120" w:line="240" w:lineRule="auto"/>
        <w:ind w:left="720" w:hanging="720"/>
        <w:jc w:val="both"/>
        <w:rPr>
          <w:b/>
          <w:sz w:val="24"/>
        </w:rPr>
      </w:pPr>
      <w:r w:rsidRPr="00515921">
        <w:rPr>
          <w:b/>
          <w:sz w:val="24"/>
        </w:rPr>
        <w:t xml:space="preserve">Drugs listed in </w:t>
      </w:r>
      <w:r w:rsidR="0056358E">
        <w:rPr>
          <w:b/>
          <w:sz w:val="24"/>
        </w:rPr>
        <w:t>Schedule</w:t>
      </w:r>
      <w:r w:rsidRPr="00515921">
        <w:rPr>
          <w:b/>
          <w:sz w:val="24"/>
        </w:rPr>
        <w:t xml:space="preserve"> 2</w:t>
      </w:r>
    </w:p>
    <w:p w14:paraId="660BE60F" w14:textId="49C01BFF" w:rsidR="00E321AD" w:rsidRDefault="004D5FEC" w:rsidP="00E321AD">
      <w:pPr>
        <w:spacing w:after="120" w:line="240" w:lineRule="auto"/>
        <w:jc w:val="both"/>
      </w:pPr>
      <w:r>
        <w:t xml:space="preserve">Drugs listed in </w:t>
      </w:r>
      <w:r w:rsidR="0056358E">
        <w:t>Schedule</w:t>
      </w:r>
      <w:r>
        <w:t xml:space="preserve"> 2 may be disposed of using one of two methods</w:t>
      </w:r>
      <w:r w:rsidR="00E321AD">
        <w:t>; destruction via a licensed waste contractor or destruction in house if witnessed by a police officer:</w:t>
      </w:r>
    </w:p>
    <w:p w14:paraId="6B7A673C" w14:textId="2C612E21" w:rsidR="00E321AD" w:rsidRPr="0048524E" w:rsidRDefault="00E321AD" w:rsidP="00E321AD">
      <w:pPr>
        <w:pStyle w:val="ListParagraph"/>
        <w:numPr>
          <w:ilvl w:val="0"/>
          <w:numId w:val="6"/>
        </w:numPr>
        <w:spacing w:after="120" w:line="240" w:lineRule="auto"/>
        <w:jc w:val="both"/>
      </w:pPr>
      <w:r w:rsidRPr="00E321AD">
        <w:rPr>
          <w:b/>
        </w:rPr>
        <w:t>Destruction</w:t>
      </w:r>
      <w:r>
        <w:rPr>
          <w:b/>
        </w:rPr>
        <w:t xml:space="preserve"> via a Licensed Waste Contractor</w:t>
      </w:r>
    </w:p>
    <w:p w14:paraId="27338068" w14:textId="7B03C7B2" w:rsidR="0048524E" w:rsidRPr="0048524E" w:rsidRDefault="0048524E" w:rsidP="0048524E">
      <w:pPr>
        <w:pStyle w:val="ListParagraph"/>
        <w:spacing w:after="120" w:line="240" w:lineRule="auto"/>
        <w:contextualSpacing w:val="0"/>
        <w:jc w:val="both"/>
      </w:pPr>
      <w:r>
        <w:t xml:space="preserve">The </w:t>
      </w:r>
      <w:r w:rsidR="00296EFB">
        <w:t>University</w:t>
      </w:r>
      <w:r>
        <w:t xml:space="preserve"> is permitted to transfer </w:t>
      </w:r>
      <w:r w:rsidR="0056358E">
        <w:t>Schedule</w:t>
      </w:r>
      <w:r>
        <w:t xml:space="preserve"> 2 drugs to other parties.  It is therefore permissible to engage a suitable waste contractor to remove these materials for off-site destruction.  It is essential that the contractor used to transport and destroy this material is licensed to do so.  This means that they </w:t>
      </w:r>
      <w:r>
        <w:rPr>
          <w:b/>
          <w:u w:val="single"/>
        </w:rPr>
        <w:t>must</w:t>
      </w:r>
      <w:r>
        <w:t xml:space="preserve"> hold the necessary licenses form the </w:t>
      </w:r>
      <w:r w:rsidR="00296EFB">
        <w:t>Home Office</w:t>
      </w:r>
      <w:r>
        <w:t xml:space="preserve"> to possess </w:t>
      </w:r>
      <w:r w:rsidR="0056358E">
        <w:t>Schedule</w:t>
      </w:r>
      <w:r>
        <w:t xml:space="preserve"> 2 drugs and the authority to witness their destruction.  In addition to this they must be registered waste carriers </w:t>
      </w:r>
      <w:r w:rsidR="00797355">
        <w:t xml:space="preserve">and the destruction must be carried out at a facility with the required waste management licence / permit.  This service is currently carried out by the </w:t>
      </w:r>
      <w:r w:rsidR="00296EFB">
        <w:t>University</w:t>
      </w:r>
      <w:r w:rsidR="00797355">
        <w:t xml:space="preserve"> Clinical Waste Disposal Co</w:t>
      </w:r>
      <w:r w:rsidR="00A66C44">
        <w:t>ntractor (Stericycle)</w:t>
      </w:r>
      <w:r w:rsidR="00797355">
        <w:t>.</w:t>
      </w:r>
    </w:p>
    <w:p w14:paraId="59AF1CFA" w14:textId="11C20D14" w:rsidR="00E321AD" w:rsidRPr="00E321AD" w:rsidRDefault="00E321AD" w:rsidP="00E321AD">
      <w:pPr>
        <w:pStyle w:val="ListParagraph"/>
        <w:numPr>
          <w:ilvl w:val="0"/>
          <w:numId w:val="6"/>
        </w:numPr>
        <w:spacing w:after="120" w:line="240" w:lineRule="auto"/>
        <w:jc w:val="both"/>
      </w:pPr>
      <w:r>
        <w:rPr>
          <w:b/>
        </w:rPr>
        <w:t>Destruction in house in the presence of an authorised witness.</w:t>
      </w:r>
    </w:p>
    <w:p w14:paraId="5C7C7A47" w14:textId="6EDCA6A4" w:rsidR="00E321AD" w:rsidRDefault="00E321AD" w:rsidP="00E321AD">
      <w:pPr>
        <w:pStyle w:val="ListParagraph"/>
        <w:spacing w:after="120" w:line="240" w:lineRule="auto"/>
        <w:jc w:val="both"/>
      </w:pPr>
      <w:r>
        <w:t xml:space="preserve">Destruction of </w:t>
      </w:r>
      <w:r w:rsidR="0056358E">
        <w:t>Schedule</w:t>
      </w:r>
      <w:r>
        <w:t xml:space="preserve"> 2 drugs obtained and used for research within the </w:t>
      </w:r>
      <w:r w:rsidR="00296EFB">
        <w:t>University</w:t>
      </w:r>
      <w:r>
        <w:t xml:space="preserve"> can be destroyed in-house if witnessed by a Police Officer.  As the </w:t>
      </w:r>
      <w:r w:rsidR="00296EFB">
        <w:t>University</w:t>
      </w:r>
      <w:r>
        <w:t xml:space="preserve"> does not require a license to use these drugs for research purposes the </w:t>
      </w:r>
      <w:r w:rsidR="00296EFB">
        <w:t>Home Office</w:t>
      </w:r>
      <w:r>
        <w:t xml:space="preserve"> cannot authorise a person within the </w:t>
      </w:r>
      <w:r w:rsidR="00296EFB">
        <w:t>University</w:t>
      </w:r>
      <w:r>
        <w:t xml:space="preserve"> to witness the process meaning that only a police officer may serve as the witness.</w:t>
      </w:r>
    </w:p>
    <w:p w14:paraId="338382AC" w14:textId="77777777" w:rsidR="00A66C44" w:rsidRDefault="00797355" w:rsidP="00797355">
      <w:pPr>
        <w:spacing w:after="120" w:line="240" w:lineRule="auto"/>
        <w:jc w:val="both"/>
      </w:pPr>
      <w:r>
        <w:t xml:space="preserve">It should be noted that, whilst certain professionals within the NHS / Healthcare community can be designated as authorised witnesses for the disposal of drugs in these environments this mechanism does not currently extend to </w:t>
      </w:r>
    </w:p>
    <w:p w14:paraId="3908ABC0" w14:textId="77777777" w:rsidR="00A66C44" w:rsidRDefault="00A66C44" w:rsidP="00797355">
      <w:pPr>
        <w:spacing w:after="120" w:line="240" w:lineRule="auto"/>
        <w:jc w:val="both"/>
      </w:pPr>
    </w:p>
    <w:p w14:paraId="63D5BD79" w14:textId="5738CC76" w:rsidR="00797355" w:rsidRDefault="00797355" w:rsidP="00797355">
      <w:pPr>
        <w:spacing w:after="120" w:line="240" w:lineRule="auto"/>
        <w:jc w:val="both"/>
      </w:pPr>
      <w:r>
        <w:t xml:space="preserve">the authorisation of veterinary surgeons.  As a result, veterinary surgeons are not generally permitted to witness the destruction of </w:t>
      </w:r>
      <w:r w:rsidR="0056358E">
        <w:t>Schedule</w:t>
      </w:r>
      <w:r>
        <w:t xml:space="preserve"> 2 drugs unless specifically authorised to do so.</w:t>
      </w:r>
    </w:p>
    <w:p w14:paraId="63BCEED6" w14:textId="6FD91DEC" w:rsidR="00797355" w:rsidRPr="00515921" w:rsidRDefault="00797355" w:rsidP="00067573">
      <w:pPr>
        <w:spacing w:before="240" w:after="120" w:line="240" w:lineRule="auto"/>
        <w:jc w:val="both"/>
        <w:rPr>
          <w:b/>
          <w:sz w:val="24"/>
        </w:rPr>
      </w:pPr>
      <w:r w:rsidRPr="00515921">
        <w:rPr>
          <w:b/>
          <w:sz w:val="24"/>
        </w:rPr>
        <w:t xml:space="preserve">Drugs Listed in </w:t>
      </w:r>
      <w:r w:rsidR="0056358E">
        <w:rPr>
          <w:b/>
          <w:sz w:val="24"/>
        </w:rPr>
        <w:t>Schedule</w:t>
      </w:r>
      <w:r w:rsidRPr="00515921">
        <w:rPr>
          <w:b/>
          <w:sz w:val="24"/>
        </w:rPr>
        <w:t>s 3 and 4</w:t>
      </w:r>
    </w:p>
    <w:p w14:paraId="2049275A" w14:textId="71E4969C" w:rsidR="00797355" w:rsidRDefault="00797355" w:rsidP="00797355">
      <w:pPr>
        <w:spacing w:after="120" w:line="240" w:lineRule="auto"/>
        <w:jc w:val="both"/>
      </w:pPr>
      <w:r>
        <w:t xml:space="preserve">Unless the </w:t>
      </w:r>
      <w:r w:rsidR="0056358E">
        <w:t>Schedule</w:t>
      </w:r>
      <w:r>
        <w:t xml:space="preserve"> 3 or 4 drug has been produced in-house it is permissible it is permissible for these materials to be destroyed in-house without the need for an authorised witness to be present.  These substances can also be disposed of by the </w:t>
      </w:r>
      <w:r w:rsidR="00296EFB">
        <w:t>University</w:t>
      </w:r>
      <w:r>
        <w:t xml:space="preserve">’s authorised waste contractor in the same manner as for </w:t>
      </w:r>
      <w:r w:rsidR="0056358E">
        <w:t>Schedule</w:t>
      </w:r>
      <w:r>
        <w:t xml:space="preserve"> 2 drugs.</w:t>
      </w:r>
    </w:p>
    <w:p w14:paraId="011F4C39" w14:textId="7395AEE2" w:rsidR="00797355" w:rsidRPr="00515921" w:rsidRDefault="00797355" w:rsidP="00067573">
      <w:pPr>
        <w:spacing w:before="240" w:after="120" w:line="240" w:lineRule="auto"/>
        <w:jc w:val="both"/>
        <w:rPr>
          <w:b/>
          <w:sz w:val="24"/>
        </w:rPr>
      </w:pPr>
      <w:r w:rsidRPr="00515921">
        <w:rPr>
          <w:b/>
          <w:sz w:val="24"/>
        </w:rPr>
        <w:t xml:space="preserve">Drugs in </w:t>
      </w:r>
      <w:r w:rsidR="0056358E">
        <w:rPr>
          <w:b/>
          <w:sz w:val="24"/>
        </w:rPr>
        <w:t>Schedule</w:t>
      </w:r>
      <w:r w:rsidRPr="00515921">
        <w:rPr>
          <w:b/>
          <w:sz w:val="24"/>
        </w:rPr>
        <w:t xml:space="preserve"> 5</w:t>
      </w:r>
    </w:p>
    <w:p w14:paraId="6201A720" w14:textId="032A24DB" w:rsidR="00797355" w:rsidRDefault="00797355" w:rsidP="00797355">
      <w:pPr>
        <w:spacing w:after="120" w:line="240" w:lineRule="auto"/>
        <w:jc w:val="both"/>
      </w:pPr>
      <w:r>
        <w:t xml:space="preserve">Drugs in </w:t>
      </w:r>
      <w:r w:rsidR="0056358E">
        <w:t>Schedule</w:t>
      </w:r>
      <w:r>
        <w:t xml:space="preserve"> 5 can always be destroyed in house without the need for an authorised witness to be present.  These substances can also be disposed of by the </w:t>
      </w:r>
      <w:r w:rsidR="00296EFB">
        <w:t>University</w:t>
      </w:r>
      <w:r>
        <w:t xml:space="preserve">’s authorised waste contractor in the same manner as for </w:t>
      </w:r>
      <w:r w:rsidR="0056358E">
        <w:t>Schedule</w:t>
      </w:r>
      <w:r>
        <w:t xml:space="preserve"> 2 drugs.</w:t>
      </w:r>
    </w:p>
    <w:p w14:paraId="1910672F" w14:textId="77777777" w:rsidR="0056358E" w:rsidRDefault="0056358E" w:rsidP="00797355">
      <w:pPr>
        <w:spacing w:after="120" w:line="240" w:lineRule="auto"/>
        <w:jc w:val="both"/>
      </w:pPr>
    </w:p>
    <w:tbl>
      <w:tblPr>
        <w:tblStyle w:val="TableGrid"/>
        <w:tblW w:w="0" w:type="auto"/>
        <w:tblInd w:w="108" w:type="dxa"/>
        <w:tblLook w:val="04A0" w:firstRow="1" w:lastRow="0" w:firstColumn="1" w:lastColumn="0" w:noHBand="0" w:noVBand="1"/>
      </w:tblPr>
      <w:tblGrid>
        <w:gridCol w:w="2028"/>
        <w:gridCol w:w="2115"/>
        <w:gridCol w:w="2116"/>
        <w:gridCol w:w="2115"/>
        <w:gridCol w:w="2116"/>
      </w:tblGrid>
      <w:tr w:rsidR="00D87D5F" w14:paraId="4E70C041" w14:textId="77777777" w:rsidTr="00106DD4">
        <w:trPr>
          <w:trHeight w:val="510"/>
        </w:trPr>
        <w:tc>
          <w:tcPr>
            <w:tcW w:w="2028" w:type="dxa"/>
            <w:vMerge w:val="restart"/>
            <w:shd w:val="clear" w:color="auto" w:fill="003865"/>
            <w:vAlign w:val="center"/>
          </w:tcPr>
          <w:p w14:paraId="2F7C4436" w14:textId="02FAB190" w:rsidR="00D87D5F" w:rsidRPr="00D87D5F" w:rsidRDefault="00D87D5F" w:rsidP="00D87D5F">
            <w:pPr>
              <w:jc w:val="center"/>
              <w:rPr>
                <w:b/>
              </w:rPr>
            </w:pPr>
            <w:r w:rsidRPr="00D87D5F">
              <w:rPr>
                <w:b/>
                <w:sz w:val="28"/>
              </w:rPr>
              <w:t xml:space="preserve">Drug Listed in </w:t>
            </w:r>
            <w:r w:rsidR="0056358E">
              <w:rPr>
                <w:b/>
                <w:sz w:val="28"/>
              </w:rPr>
              <w:t>Schedule</w:t>
            </w:r>
          </w:p>
        </w:tc>
        <w:tc>
          <w:tcPr>
            <w:tcW w:w="8462" w:type="dxa"/>
            <w:gridSpan w:val="4"/>
            <w:shd w:val="clear" w:color="auto" w:fill="003865"/>
            <w:vAlign w:val="center"/>
          </w:tcPr>
          <w:p w14:paraId="4D51993E" w14:textId="77777777" w:rsidR="00D87D5F" w:rsidRPr="00D87D5F" w:rsidRDefault="00D87D5F" w:rsidP="00D87D5F">
            <w:pPr>
              <w:jc w:val="center"/>
              <w:rPr>
                <w:b/>
              </w:rPr>
            </w:pPr>
            <w:r w:rsidRPr="00D87D5F">
              <w:rPr>
                <w:b/>
                <w:sz w:val="32"/>
              </w:rPr>
              <w:t xml:space="preserve">Disposal </w:t>
            </w:r>
            <w:r>
              <w:rPr>
                <w:b/>
                <w:sz w:val="32"/>
              </w:rPr>
              <w:t xml:space="preserve">/ Destruction </w:t>
            </w:r>
            <w:r w:rsidRPr="00D87D5F">
              <w:rPr>
                <w:b/>
                <w:sz w:val="32"/>
              </w:rPr>
              <w:t>Route</w:t>
            </w:r>
          </w:p>
        </w:tc>
      </w:tr>
      <w:tr w:rsidR="00D87D5F" w14:paraId="1036C0B1" w14:textId="77777777" w:rsidTr="009533B8">
        <w:tc>
          <w:tcPr>
            <w:tcW w:w="2028" w:type="dxa"/>
            <w:vMerge/>
          </w:tcPr>
          <w:p w14:paraId="568C6A8F" w14:textId="77777777" w:rsidR="00D87D5F" w:rsidRDefault="00D87D5F" w:rsidP="003B1336">
            <w:pPr>
              <w:spacing w:after="120"/>
              <w:jc w:val="both"/>
            </w:pPr>
          </w:p>
        </w:tc>
        <w:tc>
          <w:tcPr>
            <w:tcW w:w="2115" w:type="dxa"/>
            <w:shd w:val="clear" w:color="auto" w:fill="D9D9D9" w:themeFill="background1" w:themeFillShade="D9"/>
          </w:tcPr>
          <w:p w14:paraId="63E0CDD5" w14:textId="77777777" w:rsidR="00D87D5F" w:rsidRPr="00D87D5F" w:rsidRDefault="00D87D5F" w:rsidP="00D87D5F">
            <w:pPr>
              <w:spacing w:after="120"/>
              <w:rPr>
                <w:b/>
              </w:rPr>
            </w:pPr>
            <w:r w:rsidRPr="00D87D5F">
              <w:rPr>
                <w:b/>
              </w:rPr>
              <w:t>Licensed Waste Contractor</w:t>
            </w:r>
          </w:p>
        </w:tc>
        <w:tc>
          <w:tcPr>
            <w:tcW w:w="2116" w:type="dxa"/>
            <w:shd w:val="clear" w:color="auto" w:fill="D9D9D9" w:themeFill="background1" w:themeFillShade="D9"/>
          </w:tcPr>
          <w:p w14:paraId="42455512" w14:textId="64159207" w:rsidR="00D87D5F" w:rsidRPr="00D87D5F" w:rsidRDefault="00D87D5F" w:rsidP="00D87D5F">
            <w:pPr>
              <w:spacing w:after="120"/>
              <w:rPr>
                <w:b/>
              </w:rPr>
            </w:pPr>
            <w:r>
              <w:rPr>
                <w:b/>
              </w:rPr>
              <w:t xml:space="preserve">In-House with </w:t>
            </w:r>
            <w:r w:rsidR="00296EFB">
              <w:rPr>
                <w:b/>
              </w:rPr>
              <w:t>Home Office</w:t>
            </w:r>
            <w:r>
              <w:rPr>
                <w:b/>
              </w:rPr>
              <w:t xml:space="preserve"> authorised w</w:t>
            </w:r>
            <w:r w:rsidRPr="00D87D5F">
              <w:rPr>
                <w:b/>
              </w:rPr>
              <w:t>itness</w:t>
            </w:r>
          </w:p>
        </w:tc>
        <w:tc>
          <w:tcPr>
            <w:tcW w:w="2115" w:type="dxa"/>
            <w:shd w:val="clear" w:color="auto" w:fill="D9D9D9" w:themeFill="background1" w:themeFillShade="D9"/>
          </w:tcPr>
          <w:p w14:paraId="78DD7491" w14:textId="77777777" w:rsidR="00D87D5F" w:rsidRPr="00D87D5F" w:rsidRDefault="00D87D5F" w:rsidP="00D87D5F">
            <w:pPr>
              <w:spacing w:after="120"/>
              <w:rPr>
                <w:b/>
              </w:rPr>
            </w:pPr>
            <w:r w:rsidRPr="00D87D5F">
              <w:rPr>
                <w:b/>
              </w:rPr>
              <w:t>In-house with police officer as witness</w:t>
            </w:r>
          </w:p>
        </w:tc>
        <w:tc>
          <w:tcPr>
            <w:tcW w:w="2116" w:type="dxa"/>
            <w:shd w:val="clear" w:color="auto" w:fill="D9D9D9" w:themeFill="background1" w:themeFillShade="D9"/>
          </w:tcPr>
          <w:p w14:paraId="62CDE77E" w14:textId="77777777" w:rsidR="00D87D5F" w:rsidRPr="00D87D5F" w:rsidRDefault="00D87D5F" w:rsidP="00D87D5F">
            <w:pPr>
              <w:spacing w:after="120"/>
              <w:rPr>
                <w:b/>
              </w:rPr>
            </w:pPr>
            <w:r w:rsidRPr="00D87D5F">
              <w:rPr>
                <w:b/>
              </w:rPr>
              <w:t>In house, no authorised witness required</w:t>
            </w:r>
          </w:p>
        </w:tc>
      </w:tr>
      <w:tr w:rsidR="00D87D5F" w14:paraId="244F1355" w14:textId="77777777" w:rsidTr="009533B8">
        <w:trPr>
          <w:trHeight w:val="340"/>
        </w:trPr>
        <w:tc>
          <w:tcPr>
            <w:tcW w:w="2028" w:type="dxa"/>
            <w:shd w:val="clear" w:color="auto" w:fill="D9D9D9" w:themeFill="background1" w:themeFillShade="D9"/>
            <w:vAlign w:val="center"/>
          </w:tcPr>
          <w:p w14:paraId="1F8AF9B4" w14:textId="06158D4C" w:rsidR="00D87D5F" w:rsidRPr="00D87D5F" w:rsidRDefault="0056358E" w:rsidP="00D87D5F">
            <w:pPr>
              <w:rPr>
                <w:b/>
              </w:rPr>
            </w:pPr>
            <w:r>
              <w:rPr>
                <w:b/>
              </w:rPr>
              <w:t>Schedule</w:t>
            </w:r>
            <w:r w:rsidR="00D87D5F" w:rsidRPr="00D87D5F">
              <w:rPr>
                <w:b/>
              </w:rPr>
              <w:t xml:space="preserve"> 1</w:t>
            </w:r>
          </w:p>
        </w:tc>
        <w:tc>
          <w:tcPr>
            <w:tcW w:w="2115" w:type="dxa"/>
            <w:shd w:val="clear" w:color="auto" w:fill="D99594" w:themeFill="accent2" w:themeFillTint="99"/>
            <w:vAlign w:val="center"/>
          </w:tcPr>
          <w:p w14:paraId="319A3918" w14:textId="77777777" w:rsidR="00D87D5F" w:rsidRPr="00D87D5F" w:rsidRDefault="00D87D5F" w:rsidP="00D87D5F">
            <w:pPr>
              <w:jc w:val="center"/>
              <w:rPr>
                <w:b/>
              </w:rPr>
            </w:pPr>
            <w:r w:rsidRPr="00D87D5F">
              <w:rPr>
                <w:b/>
              </w:rPr>
              <w:t>No</w:t>
            </w:r>
          </w:p>
        </w:tc>
        <w:tc>
          <w:tcPr>
            <w:tcW w:w="2116" w:type="dxa"/>
            <w:shd w:val="clear" w:color="auto" w:fill="C2D69B" w:themeFill="accent3" w:themeFillTint="99"/>
            <w:vAlign w:val="center"/>
          </w:tcPr>
          <w:p w14:paraId="048D2B3C" w14:textId="77777777" w:rsidR="00D87D5F" w:rsidRPr="00D87D5F" w:rsidRDefault="00D87D5F" w:rsidP="00D87D5F">
            <w:pPr>
              <w:jc w:val="center"/>
              <w:rPr>
                <w:b/>
              </w:rPr>
            </w:pPr>
            <w:r w:rsidRPr="00D87D5F">
              <w:rPr>
                <w:b/>
              </w:rPr>
              <w:t>Yes</w:t>
            </w:r>
          </w:p>
        </w:tc>
        <w:tc>
          <w:tcPr>
            <w:tcW w:w="2115" w:type="dxa"/>
            <w:shd w:val="clear" w:color="auto" w:fill="C2D69B" w:themeFill="accent3" w:themeFillTint="99"/>
            <w:vAlign w:val="center"/>
          </w:tcPr>
          <w:p w14:paraId="36C04449" w14:textId="77777777" w:rsidR="00D87D5F" w:rsidRPr="00D87D5F" w:rsidRDefault="00D87D5F" w:rsidP="00D87D5F">
            <w:pPr>
              <w:jc w:val="center"/>
              <w:rPr>
                <w:b/>
              </w:rPr>
            </w:pPr>
            <w:r w:rsidRPr="00D87D5F">
              <w:rPr>
                <w:b/>
              </w:rPr>
              <w:t>Yes</w:t>
            </w:r>
          </w:p>
        </w:tc>
        <w:tc>
          <w:tcPr>
            <w:tcW w:w="2116" w:type="dxa"/>
            <w:shd w:val="clear" w:color="auto" w:fill="D99594" w:themeFill="accent2" w:themeFillTint="99"/>
            <w:vAlign w:val="center"/>
          </w:tcPr>
          <w:p w14:paraId="090873CC" w14:textId="77777777" w:rsidR="00D87D5F" w:rsidRPr="00D87D5F" w:rsidRDefault="00D87D5F" w:rsidP="00D87D5F">
            <w:pPr>
              <w:jc w:val="center"/>
              <w:rPr>
                <w:b/>
              </w:rPr>
            </w:pPr>
            <w:r w:rsidRPr="00D87D5F">
              <w:rPr>
                <w:b/>
              </w:rPr>
              <w:t>No</w:t>
            </w:r>
          </w:p>
        </w:tc>
      </w:tr>
      <w:tr w:rsidR="00D87D5F" w14:paraId="48FEB0CB" w14:textId="77777777" w:rsidTr="009533B8">
        <w:trPr>
          <w:trHeight w:val="340"/>
        </w:trPr>
        <w:tc>
          <w:tcPr>
            <w:tcW w:w="2028" w:type="dxa"/>
            <w:shd w:val="clear" w:color="auto" w:fill="D9D9D9" w:themeFill="background1" w:themeFillShade="D9"/>
            <w:vAlign w:val="center"/>
          </w:tcPr>
          <w:p w14:paraId="08A55C87" w14:textId="67B83F40" w:rsidR="00D87D5F" w:rsidRPr="00D87D5F" w:rsidRDefault="0056358E" w:rsidP="00D87D5F">
            <w:pPr>
              <w:rPr>
                <w:b/>
              </w:rPr>
            </w:pPr>
            <w:r>
              <w:rPr>
                <w:b/>
              </w:rPr>
              <w:t>Schedule</w:t>
            </w:r>
            <w:r w:rsidR="00D87D5F" w:rsidRPr="00D87D5F">
              <w:rPr>
                <w:b/>
              </w:rPr>
              <w:t xml:space="preserve"> 2</w:t>
            </w:r>
          </w:p>
        </w:tc>
        <w:tc>
          <w:tcPr>
            <w:tcW w:w="2115" w:type="dxa"/>
            <w:shd w:val="clear" w:color="auto" w:fill="C2D69B" w:themeFill="accent3" w:themeFillTint="99"/>
            <w:vAlign w:val="center"/>
          </w:tcPr>
          <w:p w14:paraId="4ADB66CE" w14:textId="77777777" w:rsidR="00D87D5F" w:rsidRPr="00D87D5F" w:rsidRDefault="00D87D5F" w:rsidP="00D87D5F">
            <w:pPr>
              <w:jc w:val="center"/>
              <w:rPr>
                <w:b/>
              </w:rPr>
            </w:pPr>
            <w:r w:rsidRPr="00D87D5F">
              <w:rPr>
                <w:b/>
              </w:rPr>
              <w:t>Yes</w:t>
            </w:r>
          </w:p>
        </w:tc>
        <w:tc>
          <w:tcPr>
            <w:tcW w:w="2116" w:type="dxa"/>
            <w:shd w:val="clear" w:color="auto" w:fill="D99594" w:themeFill="accent2" w:themeFillTint="99"/>
            <w:vAlign w:val="center"/>
          </w:tcPr>
          <w:p w14:paraId="5E03DCC7" w14:textId="77777777" w:rsidR="00D87D5F" w:rsidRPr="00D87D5F" w:rsidRDefault="00D87D5F" w:rsidP="00D87D5F">
            <w:pPr>
              <w:jc w:val="center"/>
              <w:rPr>
                <w:b/>
              </w:rPr>
            </w:pPr>
            <w:r w:rsidRPr="00D87D5F">
              <w:rPr>
                <w:b/>
              </w:rPr>
              <w:t>No</w:t>
            </w:r>
          </w:p>
        </w:tc>
        <w:tc>
          <w:tcPr>
            <w:tcW w:w="2115" w:type="dxa"/>
            <w:shd w:val="clear" w:color="auto" w:fill="C2D69B" w:themeFill="accent3" w:themeFillTint="99"/>
            <w:vAlign w:val="center"/>
          </w:tcPr>
          <w:p w14:paraId="5539A65E" w14:textId="77777777" w:rsidR="00D87D5F" w:rsidRPr="00D87D5F" w:rsidRDefault="00D87D5F" w:rsidP="00D87D5F">
            <w:pPr>
              <w:jc w:val="center"/>
              <w:rPr>
                <w:b/>
              </w:rPr>
            </w:pPr>
            <w:r w:rsidRPr="00D87D5F">
              <w:rPr>
                <w:b/>
              </w:rPr>
              <w:t>Yes</w:t>
            </w:r>
          </w:p>
        </w:tc>
        <w:tc>
          <w:tcPr>
            <w:tcW w:w="2116" w:type="dxa"/>
            <w:shd w:val="clear" w:color="auto" w:fill="D99594" w:themeFill="accent2" w:themeFillTint="99"/>
            <w:vAlign w:val="center"/>
          </w:tcPr>
          <w:p w14:paraId="1FB04974" w14:textId="77777777" w:rsidR="00D87D5F" w:rsidRPr="00D87D5F" w:rsidRDefault="00D87D5F" w:rsidP="00D87D5F">
            <w:pPr>
              <w:jc w:val="center"/>
              <w:rPr>
                <w:b/>
              </w:rPr>
            </w:pPr>
            <w:r w:rsidRPr="00D87D5F">
              <w:rPr>
                <w:b/>
              </w:rPr>
              <w:t>No</w:t>
            </w:r>
          </w:p>
        </w:tc>
      </w:tr>
      <w:tr w:rsidR="00D87D5F" w14:paraId="39B0FF99" w14:textId="77777777" w:rsidTr="00EB1E1E">
        <w:trPr>
          <w:trHeight w:val="340"/>
        </w:trPr>
        <w:tc>
          <w:tcPr>
            <w:tcW w:w="2028" w:type="dxa"/>
            <w:shd w:val="clear" w:color="auto" w:fill="D9D9D9" w:themeFill="background1" w:themeFillShade="D9"/>
            <w:vAlign w:val="center"/>
          </w:tcPr>
          <w:p w14:paraId="6DD14ACA" w14:textId="41996074" w:rsidR="00D87D5F" w:rsidRPr="00D87D5F" w:rsidRDefault="0056358E" w:rsidP="00D87D5F">
            <w:pPr>
              <w:rPr>
                <w:b/>
              </w:rPr>
            </w:pPr>
            <w:r>
              <w:rPr>
                <w:b/>
              </w:rPr>
              <w:t>Schedule</w:t>
            </w:r>
            <w:r w:rsidR="00D87D5F" w:rsidRPr="00D87D5F">
              <w:rPr>
                <w:b/>
              </w:rPr>
              <w:t xml:space="preserve"> 3*</w:t>
            </w:r>
          </w:p>
        </w:tc>
        <w:tc>
          <w:tcPr>
            <w:tcW w:w="2115" w:type="dxa"/>
            <w:shd w:val="clear" w:color="auto" w:fill="C2D69B" w:themeFill="accent3" w:themeFillTint="99"/>
            <w:vAlign w:val="center"/>
          </w:tcPr>
          <w:p w14:paraId="112F0891" w14:textId="77777777" w:rsidR="00D87D5F" w:rsidRPr="00D87D5F" w:rsidRDefault="00D87D5F" w:rsidP="00D87D5F">
            <w:pPr>
              <w:jc w:val="center"/>
              <w:rPr>
                <w:b/>
              </w:rPr>
            </w:pPr>
            <w:r w:rsidRPr="00D87D5F">
              <w:rPr>
                <w:b/>
              </w:rPr>
              <w:t>Yes</w:t>
            </w:r>
          </w:p>
        </w:tc>
        <w:tc>
          <w:tcPr>
            <w:tcW w:w="2116" w:type="dxa"/>
            <w:shd w:val="clear" w:color="auto" w:fill="C2D69B" w:themeFill="accent3" w:themeFillTint="99"/>
            <w:vAlign w:val="center"/>
          </w:tcPr>
          <w:p w14:paraId="54686CC7" w14:textId="0190EEDB" w:rsidR="00D87D5F" w:rsidRPr="00D87D5F" w:rsidRDefault="00EB1E1E" w:rsidP="005C0376">
            <w:pPr>
              <w:jc w:val="center"/>
              <w:rPr>
                <w:b/>
              </w:rPr>
            </w:pPr>
            <w:r w:rsidRPr="00D87D5F">
              <w:rPr>
                <w:b/>
              </w:rPr>
              <w:t>Yes</w:t>
            </w:r>
            <w:r>
              <w:rPr>
                <w:b/>
              </w:rPr>
              <w:t xml:space="preserve"> (Not required)</w:t>
            </w:r>
          </w:p>
        </w:tc>
        <w:tc>
          <w:tcPr>
            <w:tcW w:w="2115" w:type="dxa"/>
            <w:shd w:val="clear" w:color="auto" w:fill="C2D69B" w:themeFill="accent3" w:themeFillTint="99"/>
            <w:vAlign w:val="center"/>
          </w:tcPr>
          <w:p w14:paraId="452200C9" w14:textId="3027F9D6" w:rsidR="00D87D5F" w:rsidRPr="00D87D5F" w:rsidRDefault="00EB1E1E" w:rsidP="005C0376">
            <w:pPr>
              <w:jc w:val="center"/>
              <w:rPr>
                <w:b/>
              </w:rPr>
            </w:pPr>
            <w:r w:rsidRPr="00D87D5F">
              <w:rPr>
                <w:b/>
              </w:rPr>
              <w:t>Yes</w:t>
            </w:r>
            <w:r>
              <w:rPr>
                <w:b/>
              </w:rPr>
              <w:t xml:space="preserve"> (Not required)</w:t>
            </w:r>
          </w:p>
        </w:tc>
        <w:tc>
          <w:tcPr>
            <w:tcW w:w="2116" w:type="dxa"/>
            <w:shd w:val="clear" w:color="auto" w:fill="C2D69B" w:themeFill="accent3" w:themeFillTint="99"/>
            <w:vAlign w:val="center"/>
          </w:tcPr>
          <w:p w14:paraId="4484E77A" w14:textId="77777777" w:rsidR="00D87D5F" w:rsidRPr="00D87D5F" w:rsidRDefault="00D87D5F" w:rsidP="005C0376">
            <w:pPr>
              <w:jc w:val="center"/>
              <w:rPr>
                <w:b/>
              </w:rPr>
            </w:pPr>
            <w:r w:rsidRPr="00D87D5F">
              <w:rPr>
                <w:b/>
              </w:rPr>
              <w:t>Yes</w:t>
            </w:r>
          </w:p>
        </w:tc>
      </w:tr>
      <w:tr w:rsidR="00D87D5F" w14:paraId="13B62F30" w14:textId="77777777" w:rsidTr="00EB1E1E">
        <w:trPr>
          <w:trHeight w:val="340"/>
        </w:trPr>
        <w:tc>
          <w:tcPr>
            <w:tcW w:w="2028" w:type="dxa"/>
            <w:shd w:val="clear" w:color="auto" w:fill="D9D9D9" w:themeFill="background1" w:themeFillShade="D9"/>
            <w:vAlign w:val="center"/>
          </w:tcPr>
          <w:p w14:paraId="564A66F9" w14:textId="4FE8B618" w:rsidR="00D87D5F" w:rsidRPr="00D87D5F" w:rsidRDefault="0056358E" w:rsidP="00D87D5F">
            <w:pPr>
              <w:rPr>
                <w:b/>
              </w:rPr>
            </w:pPr>
            <w:r>
              <w:rPr>
                <w:b/>
              </w:rPr>
              <w:t>Schedule</w:t>
            </w:r>
            <w:r w:rsidR="00D87D5F" w:rsidRPr="00D87D5F">
              <w:rPr>
                <w:b/>
              </w:rPr>
              <w:t xml:space="preserve"> 4*</w:t>
            </w:r>
          </w:p>
        </w:tc>
        <w:tc>
          <w:tcPr>
            <w:tcW w:w="2115" w:type="dxa"/>
            <w:shd w:val="clear" w:color="auto" w:fill="C2D69B" w:themeFill="accent3" w:themeFillTint="99"/>
            <w:vAlign w:val="center"/>
          </w:tcPr>
          <w:p w14:paraId="7F5D48DA" w14:textId="77777777" w:rsidR="00D87D5F" w:rsidRPr="00D87D5F" w:rsidRDefault="00D87D5F" w:rsidP="00D87D5F">
            <w:pPr>
              <w:jc w:val="center"/>
              <w:rPr>
                <w:b/>
              </w:rPr>
            </w:pPr>
            <w:r w:rsidRPr="00D87D5F">
              <w:rPr>
                <w:b/>
              </w:rPr>
              <w:t>Yes</w:t>
            </w:r>
          </w:p>
        </w:tc>
        <w:tc>
          <w:tcPr>
            <w:tcW w:w="2116" w:type="dxa"/>
            <w:shd w:val="clear" w:color="auto" w:fill="C2D69B" w:themeFill="accent3" w:themeFillTint="99"/>
            <w:vAlign w:val="center"/>
          </w:tcPr>
          <w:p w14:paraId="38C0D0B3" w14:textId="247363AF" w:rsidR="00D87D5F" w:rsidRPr="00D87D5F" w:rsidRDefault="00EB1E1E" w:rsidP="005C0376">
            <w:pPr>
              <w:jc w:val="center"/>
              <w:rPr>
                <w:b/>
              </w:rPr>
            </w:pPr>
            <w:r w:rsidRPr="00D87D5F">
              <w:rPr>
                <w:b/>
              </w:rPr>
              <w:t>Yes</w:t>
            </w:r>
            <w:r>
              <w:rPr>
                <w:b/>
              </w:rPr>
              <w:t xml:space="preserve"> (Not required)</w:t>
            </w:r>
          </w:p>
        </w:tc>
        <w:tc>
          <w:tcPr>
            <w:tcW w:w="2115" w:type="dxa"/>
            <w:shd w:val="clear" w:color="auto" w:fill="C2D69B" w:themeFill="accent3" w:themeFillTint="99"/>
            <w:vAlign w:val="center"/>
          </w:tcPr>
          <w:p w14:paraId="58134675" w14:textId="08A85C04" w:rsidR="00D87D5F" w:rsidRPr="00D87D5F" w:rsidRDefault="00EB1E1E" w:rsidP="005C0376">
            <w:pPr>
              <w:jc w:val="center"/>
              <w:rPr>
                <w:b/>
              </w:rPr>
            </w:pPr>
            <w:r w:rsidRPr="00D87D5F">
              <w:rPr>
                <w:b/>
              </w:rPr>
              <w:t>Yes</w:t>
            </w:r>
            <w:r>
              <w:rPr>
                <w:b/>
              </w:rPr>
              <w:t xml:space="preserve"> (Not required)</w:t>
            </w:r>
          </w:p>
        </w:tc>
        <w:tc>
          <w:tcPr>
            <w:tcW w:w="2116" w:type="dxa"/>
            <w:shd w:val="clear" w:color="auto" w:fill="C2D69B" w:themeFill="accent3" w:themeFillTint="99"/>
            <w:vAlign w:val="center"/>
          </w:tcPr>
          <w:p w14:paraId="7682D1C3" w14:textId="77777777" w:rsidR="00D87D5F" w:rsidRPr="00D87D5F" w:rsidRDefault="00D87D5F" w:rsidP="005C0376">
            <w:pPr>
              <w:jc w:val="center"/>
              <w:rPr>
                <w:b/>
              </w:rPr>
            </w:pPr>
            <w:r w:rsidRPr="00D87D5F">
              <w:rPr>
                <w:b/>
              </w:rPr>
              <w:t>Yes</w:t>
            </w:r>
          </w:p>
        </w:tc>
      </w:tr>
      <w:tr w:rsidR="00D87D5F" w14:paraId="7DCCEF1B" w14:textId="77777777" w:rsidTr="00EB1E1E">
        <w:trPr>
          <w:trHeight w:val="340"/>
        </w:trPr>
        <w:tc>
          <w:tcPr>
            <w:tcW w:w="2028" w:type="dxa"/>
            <w:shd w:val="clear" w:color="auto" w:fill="D9D9D9" w:themeFill="background1" w:themeFillShade="D9"/>
            <w:vAlign w:val="center"/>
          </w:tcPr>
          <w:p w14:paraId="4F3CF5F7" w14:textId="3A3BABAB" w:rsidR="00D87D5F" w:rsidRPr="00D87D5F" w:rsidRDefault="0056358E" w:rsidP="00D87D5F">
            <w:pPr>
              <w:rPr>
                <w:b/>
              </w:rPr>
            </w:pPr>
            <w:r>
              <w:rPr>
                <w:b/>
              </w:rPr>
              <w:t>Schedule</w:t>
            </w:r>
            <w:r w:rsidR="00D87D5F" w:rsidRPr="00D87D5F">
              <w:rPr>
                <w:b/>
              </w:rPr>
              <w:t xml:space="preserve"> 5</w:t>
            </w:r>
          </w:p>
        </w:tc>
        <w:tc>
          <w:tcPr>
            <w:tcW w:w="2115" w:type="dxa"/>
            <w:shd w:val="clear" w:color="auto" w:fill="C2D69B" w:themeFill="accent3" w:themeFillTint="99"/>
            <w:vAlign w:val="center"/>
          </w:tcPr>
          <w:p w14:paraId="70B4E10A" w14:textId="77777777" w:rsidR="00D87D5F" w:rsidRPr="00D87D5F" w:rsidRDefault="00D87D5F" w:rsidP="00D87D5F">
            <w:pPr>
              <w:jc w:val="center"/>
              <w:rPr>
                <w:b/>
              </w:rPr>
            </w:pPr>
            <w:r w:rsidRPr="00D87D5F">
              <w:rPr>
                <w:b/>
              </w:rPr>
              <w:t>Yes</w:t>
            </w:r>
          </w:p>
        </w:tc>
        <w:tc>
          <w:tcPr>
            <w:tcW w:w="2116" w:type="dxa"/>
            <w:shd w:val="clear" w:color="auto" w:fill="C2D69B" w:themeFill="accent3" w:themeFillTint="99"/>
            <w:vAlign w:val="center"/>
          </w:tcPr>
          <w:p w14:paraId="662A3471" w14:textId="79C3E851" w:rsidR="00D87D5F" w:rsidRPr="00D87D5F" w:rsidRDefault="00EB1E1E" w:rsidP="005C0376">
            <w:pPr>
              <w:jc w:val="center"/>
              <w:rPr>
                <w:b/>
              </w:rPr>
            </w:pPr>
            <w:r w:rsidRPr="00D87D5F">
              <w:rPr>
                <w:b/>
              </w:rPr>
              <w:t>Yes</w:t>
            </w:r>
            <w:r>
              <w:rPr>
                <w:b/>
              </w:rPr>
              <w:t xml:space="preserve"> (Not required)</w:t>
            </w:r>
          </w:p>
        </w:tc>
        <w:tc>
          <w:tcPr>
            <w:tcW w:w="2115" w:type="dxa"/>
            <w:shd w:val="clear" w:color="auto" w:fill="C2D69B" w:themeFill="accent3" w:themeFillTint="99"/>
            <w:vAlign w:val="center"/>
          </w:tcPr>
          <w:p w14:paraId="7C2ABDF8" w14:textId="3DDEB931" w:rsidR="00D87D5F" w:rsidRPr="00D87D5F" w:rsidRDefault="00EB1E1E" w:rsidP="005C0376">
            <w:pPr>
              <w:jc w:val="center"/>
              <w:rPr>
                <w:b/>
              </w:rPr>
            </w:pPr>
            <w:r w:rsidRPr="00D87D5F">
              <w:rPr>
                <w:b/>
              </w:rPr>
              <w:t>Yes</w:t>
            </w:r>
            <w:r>
              <w:rPr>
                <w:b/>
              </w:rPr>
              <w:t xml:space="preserve"> (Not required)</w:t>
            </w:r>
          </w:p>
        </w:tc>
        <w:tc>
          <w:tcPr>
            <w:tcW w:w="2116" w:type="dxa"/>
            <w:shd w:val="clear" w:color="auto" w:fill="C2D69B" w:themeFill="accent3" w:themeFillTint="99"/>
            <w:vAlign w:val="center"/>
          </w:tcPr>
          <w:p w14:paraId="0EC6DB04" w14:textId="77777777" w:rsidR="00D87D5F" w:rsidRPr="00D87D5F" w:rsidRDefault="00D87D5F" w:rsidP="005C0376">
            <w:pPr>
              <w:jc w:val="center"/>
              <w:rPr>
                <w:b/>
              </w:rPr>
            </w:pPr>
            <w:r w:rsidRPr="00D87D5F">
              <w:rPr>
                <w:b/>
              </w:rPr>
              <w:t>Yes</w:t>
            </w:r>
          </w:p>
        </w:tc>
      </w:tr>
    </w:tbl>
    <w:p w14:paraId="39FDEA07" w14:textId="77777777" w:rsidR="00D87D5F" w:rsidRDefault="00D87D5F" w:rsidP="003B1336">
      <w:pPr>
        <w:spacing w:after="120" w:line="240" w:lineRule="auto"/>
        <w:jc w:val="both"/>
      </w:pPr>
    </w:p>
    <w:p w14:paraId="5D07D4E6" w14:textId="2F1F2706" w:rsidR="00D87D5F" w:rsidRDefault="00D87D5F" w:rsidP="003B1336">
      <w:pPr>
        <w:spacing w:after="120" w:line="240" w:lineRule="auto"/>
        <w:jc w:val="both"/>
      </w:pPr>
      <w:r>
        <w:t>*Unless</w:t>
      </w:r>
      <w:r w:rsidR="00797355">
        <w:t xml:space="preserve"> the drug has been </w:t>
      </w:r>
      <w:r>
        <w:t>produced in</w:t>
      </w:r>
      <w:r w:rsidR="00797355">
        <w:t>-</w:t>
      </w:r>
      <w:r>
        <w:t>house</w:t>
      </w:r>
      <w:r w:rsidR="00797355">
        <w:t>.</w:t>
      </w:r>
    </w:p>
    <w:p w14:paraId="107F6AE7" w14:textId="64724A73" w:rsidR="0000003D" w:rsidRPr="00515921" w:rsidRDefault="003B1336" w:rsidP="0056358E">
      <w:pPr>
        <w:spacing w:before="240" w:after="120" w:line="240" w:lineRule="auto"/>
        <w:jc w:val="both"/>
        <w:rPr>
          <w:b/>
          <w:sz w:val="32"/>
        </w:rPr>
      </w:pPr>
      <w:r w:rsidRPr="00515921">
        <w:rPr>
          <w:b/>
          <w:sz w:val="32"/>
        </w:rPr>
        <w:t>References</w:t>
      </w:r>
    </w:p>
    <w:p w14:paraId="0334D040" w14:textId="79555A12" w:rsidR="003B1336" w:rsidRDefault="0000003D" w:rsidP="0000003D">
      <w:pPr>
        <w:pStyle w:val="ListParagraph"/>
        <w:numPr>
          <w:ilvl w:val="0"/>
          <w:numId w:val="3"/>
        </w:numPr>
        <w:spacing w:after="120" w:line="240" w:lineRule="auto"/>
        <w:jc w:val="both"/>
      </w:pPr>
      <w:r>
        <w:t>Misuse of Drugs Act 1971</w:t>
      </w:r>
    </w:p>
    <w:p w14:paraId="1C25E0CC" w14:textId="77777777" w:rsidR="0000003D" w:rsidRDefault="0000003D" w:rsidP="0000003D">
      <w:pPr>
        <w:pStyle w:val="ListParagraph"/>
        <w:numPr>
          <w:ilvl w:val="0"/>
          <w:numId w:val="3"/>
        </w:numPr>
        <w:spacing w:after="120" w:line="240" w:lineRule="auto"/>
        <w:jc w:val="both"/>
      </w:pPr>
      <w:r>
        <w:t>The Misuse of Drugs (Safe Custody) Regulations 1973</w:t>
      </w:r>
    </w:p>
    <w:p w14:paraId="742DB8C4" w14:textId="0587E9CE" w:rsidR="0000003D" w:rsidRDefault="0000003D" w:rsidP="0000003D">
      <w:pPr>
        <w:pStyle w:val="ListParagraph"/>
        <w:numPr>
          <w:ilvl w:val="0"/>
          <w:numId w:val="3"/>
        </w:numPr>
        <w:spacing w:after="120" w:line="240" w:lineRule="auto"/>
        <w:jc w:val="both"/>
      </w:pPr>
      <w:r>
        <w:t>The Misuse of Drugs Regulations 2001</w:t>
      </w:r>
    </w:p>
    <w:p w14:paraId="4A2149EE" w14:textId="7049A02A" w:rsidR="0071654F" w:rsidRDefault="0071654F" w:rsidP="0000003D">
      <w:pPr>
        <w:pStyle w:val="ListParagraph"/>
        <w:numPr>
          <w:ilvl w:val="0"/>
          <w:numId w:val="3"/>
        </w:numPr>
        <w:spacing w:after="120" w:line="240" w:lineRule="auto"/>
        <w:jc w:val="both"/>
      </w:pPr>
      <w:r>
        <w:t>The Misuse of Drugs (Amendment) (England, Wales and Scotland) Regulations 2009</w:t>
      </w:r>
    </w:p>
    <w:p w14:paraId="5392629E" w14:textId="76F34BC0" w:rsidR="002059BA" w:rsidRDefault="002059BA" w:rsidP="0000003D">
      <w:pPr>
        <w:pStyle w:val="ListParagraph"/>
        <w:numPr>
          <w:ilvl w:val="0"/>
          <w:numId w:val="3"/>
        </w:numPr>
        <w:spacing w:after="120" w:line="240" w:lineRule="auto"/>
        <w:jc w:val="both"/>
      </w:pPr>
      <w:r>
        <w:t>Psychoactive Substances Act 2016</w:t>
      </w:r>
    </w:p>
    <w:p w14:paraId="19163310" w14:textId="73CB5A4F" w:rsidR="0000003D" w:rsidRDefault="0000003D" w:rsidP="0000003D">
      <w:pPr>
        <w:pStyle w:val="ListParagraph"/>
        <w:numPr>
          <w:ilvl w:val="0"/>
          <w:numId w:val="3"/>
        </w:numPr>
        <w:spacing w:after="120" w:line="240" w:lineRule="auto"/>
        <w:jc w:val="both"/>
      </w:pPr>
      <w:r>
        <w:t>Guidance for the safe custody of controlled drugs and drug precursors in transit (</w:t>
      </w:r>
      <w:r w:rsidR="00296EFB">
        <w:t>Home Office</w:t>
      </w:r>
      <w:r>
        <w:t xml:space="preserve"> DL</w:t>
      </w:r>
      <w:r w:rsidR="00AB1A5D">
        <w:t>C</w:t>
      </w:r>
      <w:r>
        <w:t>U, 2016)</w:t>
      </w:r>
    </w:p>
    <w:p w14:paraId="03B1AA08" w14:textId="4C135EC0" w:rsidR="0000003D" w:rsidRPr="00267970" w:rsidRDefault="0000003D" w:rsidP="0000003D">
      <w:pPr>
        <w:pStyle w:val="ListParagraph"/>
        <w:numPr>
          <w:ilvl w:val="0"/>
          <w:numId w:val="3"/>
        </w:numPr>
        <w:spacing w:after="120" w:line="240" w:lineRule="auto"/>
        <w:jc w:val="both"/>
      </w:pPr>
      <w:r>
        <w:t xml:space="preserve">Security guidance for all existing or prospective </w:t>
      </w:r>
      <w:r w:rsidR="00296EFB">
        <w:t>Home Office</w:t>
      </w:r>
      <w:r>
        <w:t xml:space="preserve"> controlled drug licensees and/or precursor chemical licensees or registrants (</w:t>
      </w:r>
      <w:r w:rsidR="00296EFB">
        <w:t>Home Office</w:t>
      </w:r>
      <w:r>
        <w:t xml:space="preserve"> DL</w:t>
      </w:r>
      <w:r w:rsidR="00AB1A5D">
        <w:t>C</w:t>
      </w:r>
      <w:r>
        <w:t>U, 2016)</w:t>
      </w:r>
    </w:p>
    <w:p w14:paraId="6899CEC2" w14:textId="54283005" w:rsidR="00130FF9" w:rsidRPr="0071654F" w:rsidRDefault="0071654F" w:rsidP="00BE558D">
      <w:pPr>
        <w:spacing w:after="120" w:line="240" w:lineRule="auto"/>
        <w:rPr>
          <w:b/>
          <w:sz w:val="32"/>
        </w:rPr>
      </w:pPr>
      <w:r w:rsidRPr="0071654F">
        <w:rPr>
          <w:b/>
          <w:sz w:val="32"/>
        </w:rPr>
        <w:t>Further Information</w:t>
      </w:r>
    </w:p>
    <w:p w14:paraId="6F9DE767" w14:textId="3488B95B" w:rsidR="00BE558D" w:rsidRPr="00941165" w:rsidRDefault="00BE558D" w:rsidP="00E73440">
      <w:pPr>
        <w:spacing w:after="120" w:line="240" w:lineRule="auto"/>
        <w:jc w:val="both"/>
        <w:rPr>
          <w:b/>
          <w:u w:val="single"/>
        </w:rPr>
      </w:pPr>
      <w:r>
        <w:t xml:space="preserve">Further information </w:t>
      </w:r>
      <w:r w:rsidR="00E73440">
        <w:t xml:space="preserve">on the management of controlled drugs </w:t>
      </w:r>
      <w:r w:rsidR="00D50BE7">
        <w:t xml:space="preserve">can be </w:t>
      </w:r>
      <w:r w:rsidR="00E73440">
        <w:t xml:space="preserve">found on the </w:t>
      </w:r>
      <w:r w:rsidR="00296EFB">
        <w:t>Home Office</w:t>
      </w:r>
      <w:r w:rsidR="00E73440">
        <w:t xml:space="preserve"> website but </w:t>
      </w:r>
      <w:proofErr w:type="gramStart"/>
      <w:r w:rsidR="00E73440">
        <w:t>in the event that</w:t>
      </w:r>
      <w:proofErr w:type="gramEnd"/>
      <w:r w:rsidR="00E73440">
        <w:t xml:space="preserve"> a specific issue arises not covered by the regulations or guidance please contact the appropriate adviser in </w:t>
      </w:r>
      <w:r w:rsidR="008437E1">
        <w:t xml:space="preserve">the </w:t>
      </w:r>
      <w:r w:rsidR="00D50BE7">
        <w:t>Safety and Environmental Protection Service</w:t>
      </w:r>
      <w:r w:rsidR="00E73440">
        <w:t>.</w:t>
      </w:r>
      <w:r w:rsidR="0056358E">
        <w:t xml:space="preserve">  </w:t>
      </w:r>
      <w:r w:rsidR="0056358E" w:rsidRPr="00941165">
        <w:rPr>
          <w:b/>
          <w:u w:val="single"/>
        </w:rPr>
        <w:t>If you wish to produce</w:t>
      </w:r>
      <w:r w:rsidR="00941165">
        <w:rPr>
          <w:b/>
          <w:u w:val="single"/>
        </w:rPr>
        <w:t xml:space="preserve"> controlled drugs listed in any Schedule please seek advice from SEPS.</w:t>
      </w:r>
    </w:p>
    <w:p w14:paraId="17C34F16" w14:textId="05B80E38" w:rsidR="00D50BE7" w:rsidRDefault="00D50BE7" w:rsidP="00D50BE7">
      <w:pPr>
        <w:spacing w:after="0" w:line="240" w:lineRule="auto"/>
      </w:pPr>
      <w:r w:rsidRPr="00D50BE7">
        <w:rPr>
          <w:b/>
        </w:rPr>
        <w:t>General Office:</w:t>
      </w:r>
      <w:r>
        <w:tab/>
      </w:r>
      <w:r>
        <w:tab/>
      </w:r>
      <w:r>
        <w:tab/>
        <w:t>0141 3305532</w:t>
      </w:r>
    </w:p>
    <w:p w14:paraId="0106219C" w14:textId="084885EC" w:rsidR="0071654F" w:rsidRDefault="0071654F" w:rsidP="00D50BE7">
      <w:pPr>
        <w:spacing w:after="0" w:line="240" w:lineRule="auto"/>
      </w:pPr>
      <w:r w:rsidRPr="00A40BAF">
        <w:rPr>
          <w:b/>
        </w:rPr>
        <w:t>Biological Safety Adviser:</w:t>
      </w:r>
      <w:r>
        <w:tab/>
        <w:t>0141 3307105</w:t>
      </w:r>
    </w:p>
    <w:p w14:paraId="3ABDAB6D" w14:textId="24C6FFC4" w:rsidR="00D50BE7" w:rsidRDefault="00D50BE7" w:rsidP="00D50BE7">
      <w:pPr>
        <w:spacing w:after="0" w:line="240" w:lineRule="auto"/>
      </w:pPr>
      <w:r w:rsidRPr="00D50BE7">
        <w:rPr>
          <w:b/>
        </w:rPr>
        <w:t xml:space="preserve">Chemical Safety Adviser: </w:t>
      </w:r>
      <w:r>
        <w:tab/>
        <w:t>0141 3302799</w:t>
      </w:r>
    </w:p>
    <w:p w14:paraId="1966436D" w14:textId="1CB1B946" w:rsidR="003B1336" w:rsidRDefault="0071654F" w:rsidP="00A66C44">
      <w:pPr>
        <w:spacing w:after="0" w:line="240" w:lineRule="auto"/>
      </w:pPr>
      <w:r w:rsidRPr="00A40BAF">
        <w:rPr>
          <w:b/>
        </w:rPr>
        <w:t>Environmental Adviser:</w:t>
      </w:r>
      <w:r>
        <w:tab/>
      </w:r>
      <w:r>
        <w:tab/>
        <w:t>0141 3305854</w:t>
      </w:r>
      <w:r w:rsidR="003B1336">
        <w:br w:type="page"/>
      </w:r>
    </w:p>
    <w:p w14:paraId="273A4E32" w14:textId="77777777" w:rsidR="00A66C44" w:rsidRDefault="00A66C44" w:rsidP="003B1336">
      <w:pPr>
        <w:spacing w:after="120" w:line="240" w:lineRule="auto"/>
        <w:jc w:val="both"/>
        <w:rPr>
          <w:b/>
          <w:sz w:val="32"/>
        </w:rPr>
      </w:pPr>
    </w:p>
    <w:p w14:paraId="03356360" w14:textId="691D61B5" w:rsidR="003B1336" w:rsidRPr="00757FE2" w:rsidRDefault="003B1336" w:rsidP="003B1336">
      <w:pPr>
        <w:spacing w:after="120" w:line="240" w:lineRule="auto"/>
        <w:jc w:val="both"/>
        <w:rPr>
          <w:b/>
          <w:sz w:val="32"/>
        </w:rPr>
      </w:pPr>
      <w:r w:rsidRPr="00757FE2">
        <w:rPr>
          <w:b/>
          <w:sz w:val="32"/>
        </w:rPr>
        <w:t xml:space="preserve">Appendix 1: </w:t>
      </w:r>
      <w:r w:rsidR="0000003D" w:rsidRPr="00757FE2">
        <w:rPr>
          <w:b/>
          <w:sz w:val="32"/>
        </w:rPr>
        <w:t xml:space="preserve">Drug Precursor Chemicals </w:t>
      </w:r>
    </w:p>
    <w:tbl>
      <w:tblPr>
        <w:tblStyle w:val="TableGrid"/>
        <w:tblW w:w="0" w:type="auto"/>
        <w:tblInd w:w="108" w:type="dxa"/>
        <w:tblLook w:val="04A0" w:firstRow="1" w:lastRow="0" w:firstColumn="1" w:lastColumn="0" w:noHBand="0" w:noVBand="1"/>
      </w:tblPr>
      <w:tblGrid>
        <w:gridCol w:w="1256"/>
        <w:gridCol w:w="4556"/>
        <w:gridCol w:w="1529"/>
        <w:gridCol w:w="1529"/>
        <w:gridCol w:w="1529"/>
      </w:tblGrid>
      <w:tr w:rsidR="00F175A9" w14:paraId="584256E9" w14:textId="41243E27" w:rsidTr="00F175A9">
        <w:trPr>
          <w:trHeight w:val="567"/>
        </w:trPr>
        <w:tc>
          <w:tcPr>
            <w:tcW w:w="1256" w:type="dxa"/>
            <w:shd w:val="clear" w:color="auto" w:fill="003865"/>
            <w:vAlign w:val="center"/>
          </w:tcPr>
          <w:p w14:paraId="323204E3" w14:textId="77777777" w:rsidR="00F175A9" w:rsidRPr="00F175A9" w:rsidRDefault="00F175A9" w:rsidP="004A6C99">
            <w:pPr>
              <w:rPr>
                <w:b/>
                <w:color w:val="FFFFFF" w:themeColor="background1"/>
                <w:sz w:val="26"/>
                <w:szCs w:val="26"/>
              </w:rPr>
            </w:pPr>
            <w:r w:rsidRPr="00F175A9">
              <w:rPr>
                <w:b/>
                <w:color w:val="FFFFFF" w:themeColor="background1"/>
                <w:sz w:val="26"/>
                <w:szCs w:val="26"/>
              </w:rPr>
              <w:t>Category</w:t>
            </w:r>
          </w:p>
        </w:tc>
        <w:tc>
          <w:tcPr>
            <w:tcW w:w="4556" w:type="dxa"/>
            <w:shd w:val="clear" w:color="auto" w:fill="003865"/>
            <w:vAlign w:val="center"/>
          </w:tcPr>
          <w:p w14:paraId="43F235FC" w14:textId="77777777" w:rsidR="00F175A9" w:rsidRPr="00F175A9" w:rsidRDefault="00F175A9" w:rsidP="004A6C99">
            <w:pPr>
              <w:rPr>
                <w:b/>
                <w:color w:val="FFFFFF" w:themeColor="background1"/>
                <w:sz w:val="26"/>
                <w:szCs w:val="26"/>
              </w:rPr>
            </w:pPr>
            <w:r w:rsidRPr="00F175A9">
              <w:rPr>
                <w:b/>
                <w:color w:val="FFFFFF" w:themeColor="background1"/>
                <w:sz w:val="26"/>
                <w:szCs w:val="26"/>
              </w:rPr>
              <w:t>Substance</w:t>
            </w:r>
          </w:p>
        </w:tc>
        <w:tc>
          <w:tcPr>
            <w:tcW w:w="1529" w:type="dxa"/>
            <w:shd w:val="clear" w:color="auto" w:fill="003865"/>
            <w:vAlign w:val="center"/>
          </w:tcPr>
          <w:p w14:paraId="3E0DD3E5" w14:textId="77777777" w:rsidR="00F175A9" w:rsidRPr="00F175A9" w:rsidRDefault="00F175A9" w:rsidP="004A6C99">
            <w:pPr>
              <w:rPr>
                <w:b/>
                <w:color w:val="FFFFFF" w:themeColor="background1"/>
                <w:sz w:val="26"/>
                <w:szCs w:val="26"/>
              </w:rPr>
            </w:pPr>
            <w:r w:rsidRPr="00F175A9">
              <w:rPr>
                <w:b/>
                <w:color w:val="FFFFFF" w:themeColor="background1"/>
                <w:sz w:val="26"/>
                <w:szCs w:val="26"/>
              </w:rPr>
              <w:t>End User (UK)</w:t>
            </w:r>
          </w:p>
        </w:tc>
        <w:tc>
          <w:tcPr>
            <w:tcW w:w="1529" w:type="dxa"/>
            <w:shd w:val="clear" w:color="auto" w:fill="003865"/>
            <w:vAlign w:val="center"/>
          </w:tcPr>
          <w:p w14:paraId="3386DFBE" w14:textId="0BDF6F5D" w:rsidR="00F175A9" w:rsidRPr="00F175A9" w:rsidRDefault="00F175A9" w:rsidP="004A6C99">
            <w:pPr>
              <w:rPr>
                <w:b/>
                <w:color w:val="FFFFFF" w:themeColor="background1"/>
                <w:sz w:val="26"/>
                <w:szCs w:val="26"/>
              </w:rPr>
            </w:pPr>
            <w:r w:rsidRPr="00F175A9">
              <w:rPr>
                <w:b/>
                <w:color w:val="FFFFFF" w:themeColor="background1"/>
                <w:sz w:val="26"/>
                <w:szCs w:val="26"/>
              </w:rPr>
              <w:t xml:space="preserve">Trade </w:t>
            </w:r>
            <w:r w:rsidR="001863CC">
              <w:rPr>
                <w:b/>
                <w:color w:val="FFFFFF" w:themeColor="background1"/>
                <w:sz w:val="26"/>
                <w:szCs w:val="26"/>
              </w:rPr>
              <w:t>W</w:t>
            </w:r>
            <w:r w:rsidRPr="00F175A9">
              <w:rPr>
                <w:b/>
                <w:color w:val="FFFFFF" w:themeColor="background1"/>
                <w:sz w:val="26"/>
                <w:szCs w:val="26"/>
              </w:rPr>
              <w:t>ithin EU</w:t>
            </w:r>
          </w:p>
        </w:tc>
        <w:tc>
          <w:tcPr>
            <w:tcW w:w="1529" w:type="dxa"/>
            <w:shd w:val="clear" w:color="auto" w:fill="003865"/>
          </w:tcPr>
          <w:p w14:paraId="267145B9" w14:textId="4AE1D4F3" w:rsidR="00F175A9" w:rsidRPr="00F175A9" w:rsidRDefault="00F175A9" w:rsidP="004A6C99">
            <w:pPr>
              <w:rPr>
                <w:b/>
                <w:color w:val="FFFFFF" w:themeColor="background1"/>
                <w:sz w:val="26"/>
                <w:szCs w:val="26"/>
              </w:rPr>
            </w:pPr>
            <w:r w:rsidRPr="00F175A9">
              <w:rPr>
                <w:b/>
                <w:color w:val="FFFFFF" w:themeColor="background1"/>
                <w:sz w:val="26"/>
                <w:szCs w:val="26"/>
              </w:rPr>
              <w:t>Trade Outwith EU</w:t>
            </w:r>
          </w:p>
        </w:tc>
      </w:tr>
      <w:tr w:rsidR="00F175A9" w14:paraId="15FD2AC3" w14:textId="628C7EBB" w:rsidTr="00F175A9">
        <w:tc>
          <w:tcPr>
            <w:tcW w:w="1256" w:type="dxa"/>
            <w:shd w:val="clear" w:color="auto" w:fill="F2DBDB" w:themeFill="accent2" w:themeFillTint="33"/>
          </w:tcPr>
          <w:p w14:paraId="040D0F27" w14:textId="77777777" w:rsidR="00F175A9" w:rsidRPr="004A6C99" w:rsidRDefault="00F175A9" w:rsidP="00F175A9">
            <w:pPr>
              <w:spacing w:after="120"/>
              <w:jc w:val="both"/>
              <w:rPr>
                <w:b/>
                <w:sz w:val="32"/>
              </w:rPr>
            </w:pPr>
            <w:r w:rsidRPr="004A6C99">
              <w:rPr>
                <w:b/>
                <w:sz w:val="32"/>
              </w:rPr>
              <w:t>1</w:t>
            </w:r>
          </w:p>
        </w:tc>
        <w:tc>
          <w:tcPr>
            <w:tcW w:w="4556" w:type="dxa"/>
            <w:shd w:val="clear" w:color="auto" w:fill="F2DBDB" w:themeFill="accent2" w:themeFillTint="33"/>
          </w:tcPr>
          <w:p w14:paraId="040AEADE" w14:textId="77777777" w:rsidR="00F175A9" w:rsidRDefault="00F175A9" w:rsidP="00F175A9">
            <w:pPr>
              <w:jc w:val="both"/>
            </w:pPr>
            <w:r>
              <w:t>1-phenyl-2-propanone (BMK)</w:t>
            </w:r>
          </w:p>
          <w:p w14:paraId="31E0F3C2" w14:textId="77777777" w:rsidR="00F175A9" w:rsidRDefault="00F175A9" w:rsidP="00F175A9">
            <w:pPr>
              <w:jc w:val="both"/>
            </w:pPr>
            <w:r>
              <w:t>3-4 Methylenedioxy-Phenylpropan-2-one (PMK)</w:t>
            </w:r>
          </w:p>
          <w:p w14:paraId="1DF41A4B" w14:textId="77777777" w:rsidR="00F175A9" w:rsidRDefault="00F175A9" w:rsidP="00F175A9">
            <w:pPr>
              <w:jc w:val="both"/>
            </w:pPr>
            <w:r>
              <w:t>Alpha-phenylacetoacetonitrile (APAAN)</w:t>
            </w:r>
          </w:p>
          <w:p w14:paraId="38A1674B" w14:textId="77777777" w:rsidR="00F175A9" w:rsidRDefault="00F175A9" w:rsidP="00F175A9">
            <w:pPr>
              <w:jc w:val="both"/>
            </w:pPr>
            <w:proofErr w:type="spellStart"/>
            <w:r>
              <w:t>Chloroephedrine</w:t>
            </w:r>
            <w:proofErr w:type="spellEnd"/>
          </w:p>
          <w:p w14:paraId="23047CFE" w14:textId="77777777" w:rsidR="00F175A9" w:rsidRDefault="00F175A9" w:rsidP="00F175A9">
            <w:pPr>
              <w:jc w:val="both"/>
            </w:pPr>
            <w:proofErr w:type="spellStart"/>
            <w:r>
              <w:t>Chloropseudoephedrine</w:t>
            </w:r>
            <w:proofErr w:type="spellEnd"/>
          </w:p>
          <w:p w14:paraId="7E3BE074" w14:textId="77777777" w:rsidR="00F175A9" w:rsidRDefault="00F175A9" w:rsidP="00F175A9">
            <w:pPr>
              <w:jc w:val="both"/>
            </w:pPr>
            <w:r>
              <w:t>Ephedrine</w:t>
            </w:r>
          </w:p>
          <w:p w14:paraId="5A1ECD95" w14:textId="77777777" w:rsidR="00F175A9" w:rsidRDefault="00F175A9" w:rsidP="00F175A9">
            <w:pPr>
              <w:jc w:val="both"/>
            </w:pPr>
            <w:r>
              <w:t>Ergometrine</w:t>
            </w:r>
          </w:p>
          <w:p w14:paraId="6AC1A850" w14:textId="77777777" w:rsidR="00F175A9" w:rsidRDefault="00F175A9" w:rsidP="00F175A9">
            <w:pPr>
              <w:jc w:val="both"/>
            </w:pPr>
            <w:r>
              <w:t>Ergotamine</w:t>
            </w:r>
          </w:p>
          <w:p w14:paraId="22630771" w14:textId="77777777" w:rsidR="00F175A9" w:rsidRDefault="00F175A9" w:rsidP="00F175A9">
            <w:pPr>
              <w:jc w:val="both"/>
            </w:pPr>
            <w:proofErr w:type="spellStart"/>
            <w:r>
              <w:t>Isosafrole</w:t>
            </w:r>
            <w:proofErr w:type="spellEnd"/>
          </w:p>
          <w:p w14:paraId="4C212FA0" w14:textId="77777777" w:rsidR="00F175A9" w:rsidRDefault="00F175A9" w:rsidP="00F175A9">
            <w:pPr>
              <w:jc w:val="both"/>
            </w:pPr>
            <w:r>
              <w:t>Lysergic Acid</w:t>
            </w:r>
          </w:p>
          <w:p w14:paraId="302CE218" w14:textId="77777777" w:rsidR="00F175A9" w:rsidRDefault="00F175A9" w:rsidP="00F175A9">
            <w:pPr>
              <w:jc w:val="both"/>
            </w:pPr>
            <w:r>
              <w:t>N-</w:t>
            </w:r>
            <w:proofErr w:type="spellStart"/>
            <w:r>
              <w:t>acetylanthranilic</w:t>
            </w:r>
            <w:proofErr w:type="spellEnd"/>
            <w:r>
              <w:t xml:space="preserve"> Acid</w:t>
            </w:r>
          </w:p>
          <w:p w14:paraId="44EA8BCF" w14:textId="77777777" w:rsidR="00F175A9" w:rsidRDefault="00F175A9" w:rsidP="00F175A9">
            <w:pPr>
              <w:jc w:val="both"/>
            </w:pPr>
            <w:r>
              <w:t>Norephedrine</w:t>
            </w:r>
          </w:p>
          <w:p w14:paraId="75025CE9" w14:textId="77777777" w:rsidR="00F175A9" w:rsidRDefault="00F175A9" w:rsidP="00F175A9">
            <w:pPr>
              <w:jc w:val="both"/>
            </w:pPr>
            <w:r>
              <w:t>Piperonal</w:t>
            </w:r>
          </w:p>
          <w:p w14:paraId="76B3593E" w14:textId="77777777" w:rsidR="00F175A9" w:rsidRDefault="00F175A9" w:rsidP="00F175A9">
            <w:pPr>
              <w:jc w:val="both"/>
            </w:pPr>
            <w:r>
              <w:t>Pseudoephedrine</w:t>
            </w:r>
          </w:p>
          <w:p w14:paraId="59739070" w14:textId="77777777" w:rsidR="00F175A9" w:rsidRDefault="00F175A9" w:rsidP="00F175A9">
            <w:pPr>
              <w:jc w:val="both"/>
            </w:pPr>
            <w:r>
              <w:t>Safrole</w:t>
            </w:r>
          </w:p>
        </w:tc>
        <w:tc>
          <w:tcPr>
            <w:tcW w:w="1529" w:type="dxa"/>
            <w:shd w:val="clear" w:color="auto" w:fill="F2DBDB" w:themeFill="accent2" w:themeFillTint="33"/>
          </w:tcPr>
          <w:p w14:paraId="41790EB3" w14:textId="77777777" w:rsidR="00F175A9" w:rsidRDefault="00F175A9" w:rsidP="00F175A9">
            <w:pPr>
              <w:spacing w:after="120"/>
            </w:pPr>
            <w:r>
              <w:t>License required for any quantity</w:t>
            </w:r>
          </w:p>
        </w:tc>
        <w:tc>
          <w:tcPr>
            <w:tcW w:w="1529" w:type="dxa"/>
            <w:shd w:val="clear" w:color="auto" w:fill="F2DBDB" w:themeFill="accent2" w:themeFillTint="33"/>
          </w:tcPr>
          <w:p w14:paraId="5C35C616" w14:textId="0429A6B5" w:rsidR="00F175A9" w:rsidRDefault="00F175A9" w:rsidP="00F175A9">
            <w:pPr>
              <w:spacing w:after="120"/>
            </w:pPr>
            <w:r>
              <w:t>License required for any quantity</w:t>
            </w:r>
          </w:p>
        </w:tc>
        <w:tc>
          <w:tcPr>
            <w:tcW w:w="1529" w:type="dxa"/>
            <w:shd w:val="clear" w:color="auto" w:fill="F2DBDB" w:themeFill="accent2" w:themeFillTint="33"/>
          </w:tcPr>
          <w:p w14:paraId="42E6B270" w14:textId="19B08285" w:rsidR="00F175A9" w:rsidRDefault="00F175A9" w:rsidP="00F175A9">
            <w:pPr>
              <w:spacing w:after="120"/>
            </w:pPr>
            <w:r>
              <w:t>License required for any quantity</w:t>
            </w:r>
          </w:p>
        </w:tc>
      </w:tr>
      <w:tr w:rsidR="00F175A9" w14:paraId="2D39B692" w14:textId="275838BF" w:rsidTr="00F175A9">
        <w:tc>
          <w:tcPr>
            <w:tcW w:w="1256" w:type="dxa"/>
            <w:shd w:val="clear" w:color="auto" w:fill="FBD4B4" w:themeFill="accent6" w:themeFillTint="66"/>
          </w:tcPr>
          <w:p w14:paraId="2C5E3C7B" w14:textId="77777777" w:rsidR="00F175A9" w:rsidRPr="004A6C99" w:rsidRDefault="00F175A9" w:rsidP="00F175A9">
            <w:pPr>
              <w:spacing w:after="120"/>
              <w:jc w:val="both"/>
              <w:rPr>
                <w:b/>
                <w:sz w:val="32"/>
              </w:rPr>
            </w:pPr>
            <w:r w:rsidRPr="004A6C99">
              <w:rPr>
                <w:b/>
                <w:sz w:val="32"/>
              </w:rPr>
              <w:t>2a</w:t>
            </w:r>
          </w:p>
        </w:tc>
        <w:tc>
          <w:tcPr>
            <w:tcW w:w="4556" w:type="dxa"/>
            <w:shd w:val="clear" w:color="auto" w:fill="FBD4B4" w:themeFill="accent6" w:themeFillTint="66"/>
          </w:tcPr>
          <w:p w14:paraId="3642F2A8" w14:textId="77777777" w:rsidR="00F175A9" w:rsidRDefault="00F175A9" w:rsidP="00F175A9">
            <w:pPr>
              <w:jc w:val="both"/>
            </w:pPr>
            <w:r>
              <w:t>Acetic Anhydride</w:t>
            </w:r>
          </w:p>
        </w:tc>
        <w:tc>
          <w:tcPr>
            <w:tcW w:w="1529" w:type="dxa"/>
            <w:shd w:val="clear" w:color="auto" w:fill="FBD4B4" w:themeFill="accent6" w:themeFillTint="66"/>
          </w:tcPr>
          <w:p w14:paraId="4163E4CF" w14:textId="77777777" w:rsidR="00F175A9" w:rsidRDefault="00F175A9" w:rsidP="00F175A9">
            <w:pPr>
              <w:spacing w:after="120"/>
            </w:pPr>
            <w:r>
              <w:t>Registration required for use and supply of more than 100 litres per calendar year</w:t>
            </w:r>
          </w:p>
        </w:tc>
        <w:tc>
          <w:tcPr>
            <w:tcW w:w="1529" w:type="dxa"/>
            <w:shd w:val="clear" w:color="auto" w:fill="FBD4B4" w:themeFill="accent6" w:themeFillTint="66"/>
          </w:tcPr>
          <w:p w14:paraId="304DA182" w14:textId="422EAE70" w:rsidR="00F175A9" w:rsidRDefault="00F175A9" w:rsidP="00F175A9">
            <w:pPr>
              <w:spacing w:after="120"/>
            </w:pPr>
            <w:r>
              <w:t>Registration required for use and supply of more than 100 litres per calendar year</w:t>
            </w:r>
          </w:p>
        </w:tc>
        <w:tc>
          <w:tcPr>
            <w:tcW w:w="1529" w:type="dxa"/>
            <w:shd w:val="clear" w:color="auto" w:fill="FBD4B4" w:themeFill="accent6" w:themeFillTint="66"/>
          </w:tcPr>
          <w:p w14:paraId="7E85CADA" w14:textId="1AF720FB" w:rsidR="00F175A9" w:rsidRDefault="00F175A9" w:rsidP="00F175A9">
            <w:pPr>
              <w:spacing w:after="120"/>
            </w:pPr>
            <w:r>
              <w:t>Registration required</w:t>
            </w:r>
          </w:p>
        </w:tc>
      </w:tr>
      <w:tr w:rsidR="00F175A9" w14:paraId="0CA3EECA" w14:textId="6DC41ABB" w:rsidTr="00F175A9">
        <w:tc>
          <w:tcPr>
            <w:tcW w:w="1256" w:type="dxa"/>
            <w:shd w:val="clear" w:color="auto" w:fill="FBD4B4" w:themeFill="accent6" w:themeFillTint="66"/>
          </w:tcPr>
          <w:p w14:paraId="1A1DB750" w14:textId="77777777" w:rsidR="00F175A9" w:rsidRPr="004A6C99" w:rsidRDefault="00F175A9" w:rsidP="00F175A9">
            <w:pPr>
              <w:spacing w:after="120"/>
              <w:jc w:val="both"/>
              <w:rPr>
                <w:b/>
                <w:sz w:val="32"/>
              </w:rPr>
            </w:pPr>
            <w:r w:rsidRPr="004A6C99">
              <w:rPr>
                <w:b/>
                <w:sz w:val="32"/>
              </w:rPr>
              <w:t>2b</w:t>
            </w:r>
          </w:p>
        </w:tc>
        <w:tc>
          <w:tcPr>
            <w:tcW w:w="4556" w:type="dxa"/>
            <w:shd w:val="clear" w:color="auto" w:fill="FBD4B4" w:themeFill="accent6" w:themeFillTint="66"/>
          </w:tcPr>
          <w:p w14:paraId="010E3B5A" w14:textId="77777777" w:rsidR="00F175A9" w:rsidRDefault="00F175A9" w:rsidP="00F175A9">
            <w:pPr>
              <w:jc w:val="both"/>
            </w:pPr>
            <w:r>
              <w:t>Phenylacetic acid</w:t>
            </w:r>
          </w:p>
          <w:p w14:paraId="1A07A385" w14:textId="77777777" w:rsidR="00F175A9" w:rsidRDefault="00F175A9" w:rsidP="00F175A9">
            <w:pPr>
              <w:jc w:val="both"/>
            </w:pPr>
            <w:r>
              <w:t>Potassium permanganate</w:t>
            </w:r>
          </w:p>
          <w:p w14:paraId="3218E528" w14:textId="77777777" w:rsidR="00F175A9" w:rsidRDefault="00F175A9" w:rsidP="00F175A9">
            <w:pPr>
              <w:jc w:val="both"/>
            </w:pPr>
            <w:r>
              <w:t>Anthranilic Acid</w:t>
            </w:r>
          </w:p>
          <w:p w14:paraId="001C0B96" w14:textId="77777777" w:rsidR="00F175A9" w:rsidRDefault="00F175A9" w:rsidP="00F175A9">
            <w:pPr>
              <w:jc w:val="both"/>
            </w:pPr>
            <w:r>
              <w:t>Piperidine</w:t>
            </w:r>
          </w:p>
        </w:tc>
        <w:tc>
          <w:tcPr>
            <w:tcW w:w="1529" w:type="dxa"/>
            <w:shd w:val="clear" w:color="auto" w:fill="FBD4B4" w:themeFill="accent6" w:themeFillTint="66"/>
          </w:tcPr>
          <w:p w14:paraId="4EF51F5E" w14:textId="77777777" w:rsidR="00F175A9" w:rsidRDefault="00F175A9" w:rsidP="00F175A9">
            <w:pPr>
              <w:spacing w:after="120"/>
            </w:pPr>
            <w:r>
              <w:t>No registration required for end users.</w:t>
            </w:r>
          </w:p>
        </w:tc>
        <w:tc>
          <w:tcPr>
            <w:tcW w:w="1529" w:type="dxa"/>
            <w:shd w:val="clear" w:color="auto" w:fill="FBD4B4" w:themeFill="accent6" w:themeFillTint="66"/>
          </w:tcPr>
          <w:p w14:paraId="2CC13F3E" w14:textId="1BF34EDC" w:rsidR="00F175A9" w:rsidRDefault="00F175A9" w:rsidP="00F175A9">
            <w:pPr>
              <w:spacing w:after="120"/>
            </w:pPr>
            <w:r>
              <w:t>No registration required for end users.</w:t>
            </w:r>
          </w:p>
        </w:tc>
        <w:tc>
          <w:tcPr>
            <w:tcW w:w="1529" w:type="dxa"/>
            <w:shd w:val="clear" w:color="auto" w:fill="FBD4B4" w:themeFill="accent6" w:themeFillTint="66"/>
          </w:tcPr>
          <w:p w14:paraId="17427CC9" w14:textId="77760134" w:rsidR="00F175A9" w:rsidRDefault="00F175A9" w:rsidP="00F175A9">
            <w:pPr>
              <w:spacing w:after="120"/>
            </w:pPr>
            <w:r>
              <w:t>Registration required</w:t>
            </w:r>
          </w:p>
        </w:tc>
      </w:tr>
      <w:tr w:rsidR="00F175A9" w14:paraId="27BBCFE0" w14:textId="6CB9E071" w:rsidTr="00F175A9">
        <w:tc>
          <w:tcPr>
            <w:tcW w:w="1256" w:type="dxa"/>
            <w:shd w:val="clear" w:color="auto" w:fill="D6E3BC" w:themeFill="accent3" w:themeFillTint="66"/>
          </w:tcPr>
          <w:p w14:paraId="080C76E1" w14:textId="77777777" w:rsidR="00F175A9" w:rsidRPr="004A6C99" w:rsidRDefault="00F175A9" w:rsidP="00F175A9">
            <w:pPr>
              <w:spacing w:after="120"/>
              <w:jc w:val="both"/>
              <w:rPr>
                <w:b/>
                <w:sz w:val="32"/>
              </w:rPr>
            </w:pPr>
            <w:r w:rsidRPr="004A6C99">
              <w:rPr>
                <w:b/>
                <w:sz w:val="32"/>
              </w:rPr>
              <w:t>3</w:t>
            </w:r>
          </w:p>
        </w:tc>
        <w:tc>
          <w:tcPr>
            <w:tcW w:w="4556" w:type="dxa"/>
            <w:shd w:val="clear" w:color="auto" w:fill="D6E3BC" w:themeFill="accent3" w:themeFillTint="66"/>
          </w:tcPr>
          <w:p w14:paraId="613951C1" w14:textId="77777777" w:rsidR="00F175A9" w:rsidRDefault="00F175A9" w:rsidP="00F175A9">
            <w:pPr>
              <w:jc w:val="both"/>
            </w:pPr>
            <w:r>
              <w:t>Acetone</w:t>
            </w:r>
          </w:p>
          <w:p w14:paraId="6F0245E8" w14:textId="77777777" w:rsidR="00F175A9" w:rsidRDefault="00F175A9" w:rsidP="00F175A9">
            <w:pPr>
              <w:jc w:val="both"/>
            </w:pPr>
            <w:r>
              <w:t>Diethyl ether</w:t>
            </w:r>
          </w:p>
          <w:p w14:paraId="4540CB98" w14:textId="77777777" w:rsidR="00F175A9" w:rsidRDefault="00F175A9" w:rsidP="00F175A9">
            <w:pPr>
              <w:jc w:val="both"/>
            </w:pPr>
            <w:r>
              <w:t>Hydrochloric acid</w:t>
            </w:r>
          </w:p>
          <w:p w14:paraId="61CF58DD" w14:textId="77777777" w:rsidR="00F175A9" w:rsidRDefault="00F175A9" w:rsidP="00F175A9">
            <w:pPr>
              <w:jc w:val="both"/>
            </w:pPr>
            <w:proofErr w:type="spellStart"/>
            <w:r>
              <w:t>Methylethyl</w:t>
            </w:r>
            <w:proofErr w:type="spellEnd"/>
            <w:r>
              <w:t xml:space="preserve"> ketone (MEK)</w:t>
            </w:r>
          </w:p>
          <w:p w14:paraId="6A90FD89" w14:textId="77777777" w:rsidR="00F175A9" w:rsidRDefault="00F175A9" w:rsidP="00F175A9">
            <w:pPr>
              <w:jc w:val="both"/>
            </w:pPr>
            <w:r>
              <w:t>Sulphuric acid</w:t>
            </w:r>
          </w:p>
          <w:p w14:paraId="575B5625" w14:textId="77777777" w:rsidR="00F175A9" w:rsidRDefault="00F175A9" w:rsidP="00F175A9">
            <w:pPr>
              <w:jc w:val="both"/>
            </w:pPr>
            <w:r>
              <w:t>Toluene</w:t>
            </w:r>
          </w:p>
        </w:tc>
        <w:tc>
          <w:tcPr>
            <w:tcW w:w="1529" w:type="dxa"/>
            <w:shd w:val="clear" w:color="auto" w:fill="D6E3BC" w:themeFill="accent3" w:themeFillTint="66"/>
          </w:tcPr>
          <w:p w14:paraId="6604C06D" w14:textId="301CE8B6" w:rsidR="00F175A9" w:rsidRDefault="00F175A9" w:rsidP="00F175A9">
            <w:pPr>
              <w:spacing w:after="120"/>
            </w:pPr>
            <w:r>
              <w:t>No registration required for end users.</w:t>
            </w:r>
          </w:p>
        </w:tc>
        <w:tc>
          <w:tcPr>
            <w:tcW w:w="1529" w:type="dxa"/>
            <w:shd w:val="clear" w:color="auto" w:fill="D6E3BC" w:themeFill="accent3" w:themeFillTint="66"/>
          </w:tcPr>
          <w:p w14:paraId="5F570085" w14:textId="0B7EE082" w:rsidR="00F175A9" w:rsidRDefault="00F175A9" w:rsidP="00F175A9">
            <w:pPr>
              <w:spacing w:after="120"/>
            </w:pPr>
            <w:r>
              <w:t>No registration required for end users.</w:t>
            </w:r>
          </w:p>
        </w:tc>
        <w:tc>
          <w:tcPr>
            <w:tcW w:w="1529" w:type="dxa"/>
            <w:shd w:val="clear" w:color="auto" w:fill="D6E3BC" w:themeFill="accent3" w:themeFillTint="66"/>
          </w:tcPr>
          <w:p w14:paraId="31E43C73" w14:textId="04C0A504" w:rsidR="00F175A9" w:rsidRDefault="00F175A9" w:rsidP="00F175A9">
            <w:pPr>
              <w:spacing w:after="120"/>
            </w:pPr>
            <w:r>
              <w:t>Registration may be required for export above certain thresholds</w:t>
            </w:r>
          </w:p>
        </w:tc>
      </w:tr>
    </w:tbl>
    <w:p w14:paraId="6B228AE1" w14:textId="77777777" w:rsidR="002E4AD0" w:rsidRPr="002E4AD0" w:rsidRDefault="002E4AD0" w:rsidP="003B1336">
      <w:pPr>
        <w:spacing w:after="120" w:line="240" w:lineRule="auto"/>
        <w:jc w:val="both"/>
      </w:pPr>
    </w:p>
    <w:p w14:paraId="2736D705" w14:textId="1E8C78DB" w:rsidR="0097731F" w:rsidRDefault="0097731F">
      <w:r>
        <w:br w:type="page"/>
      </w:r>
    </w:p>
    <w:p w14:paraId="00E3EDC8" w14:textId="77777777" w:rsidR="00A66C44" w:rsidRDefault="00A66C44" w:rsidP="00FB663F">
      <w:pPr>
        <w:spacing w:after="120" w:line="240" w:lineRule="auto"/>
        <w:rPr>
          <w:b/>
          <w:sz w:val="32"/>
        </w:rPr>
      </w:pPr>
    </w:p>
    <w:p w14:paraId="2257E3F1" w14:textId="02D6AE28" w:rsidR="00FB663F" w:rsidRPr="00757FE2" w:rsidRDefault="00FB663F" w:rsidP="00FB663F">
      <w:pPr>
        <w:spacing w:after="120" w:line="240" w:lineRule="auto"/>
        <w:rPr>
          <w:b/>
          <w:sz w:val="32"/>
        </w:rPr>
      </w:pPr>
      <w:r w:rsidRPr="00757FE2">
        <w:rPr>
          <w:b/>
          <w:sz w:val="32"/>
        </w:rPr>
        <w:t xml:space="preserve">Appendix </w:t>
      </w:r>
      <w:r>
        <w:rPr>
          <w:b/>
          <w:sz w:val="32"/>
        </w:rPr>
        <w:t>2</w:t>
      </w:r>
      <w:r w:rsidRPr="00757FE2">
        <w:rPr>
          <w:b/>
          <w:sz w:val="32"/>
        </w:rPr>
        <w:t xml:space="preserve">: </w:t>
      </w:r>
      <w:r w:rsidR="0056358E">
        <w:rPr>
          <w:b/>
          <w:sz w:val="32"/>
        </w:rPr>
        <w:t>Schedule</w:t>
      </w:r>
      <w:r w:rsidR="00543FFA">
        <w:rPr>
          <w:b/>
          <w:sz w:val="32"/>
        </w:rPr>
        <w:t xml:space="preserve"> 1 </w:t>
      </w:r>
      <w:r>
        <w:rPr>
          <w:b/>
          <w:sz w:val="32"/>
        </w:rPr>
        <w:t>Controlled Drugs Requiring an Annual Return</w:t>
      </w:r>
    </w:p>
    <w:p w14:paraId="731CF28E" w14:textId="17F888F9" w:rsidR="00FB663F" w:rsidRPr="00F04EE7" w:rsidRDefault="00154FB0" w:rsidP="00F04EE7">
      <w:pPr>
        <w:pStyle w:val="ListParagraph"/>
        <w:numPr>
          <w:ilvl w:val="0"/>
          <w:numId w:val="7"/>
        </w:numPr>
        <w:spacing w:after="120" w:line="240" w:lineRule="auto"/>
        <w:ind w:left="714" w:hanging="357"/>
        <w:contextualSpacing w:val="0"/>
        <w:rPr>
          <w:sz w:val="24"/>
        </w:rPr>
      </w:pPr>
      <w:r w:rsidRPr="00F04EE7">
        <w:rPr>
          <w:sz w:val="24"/>
        </w:rPr>
        <w:t>Cannabis (including cannabis oil and cannabis resin)</w:t>
      </w:r>
    </w:p>
    <w:p w14:paraId="32358085" w14:textId="77777777" w:rsidR="00154FB0" w:rsidRPr="00F04EE7" w:rsidRDefault="00154FB0" w:rsidP="00F04EE7">
      <w:pPr>
        <w:pStyle w:val="ListParagraph"/>
        <w:numPr>
          <w:ilvl w:val="0"/>
          <w:numId w:val="7"/>
        </w:numPr>
        <w:spacing w:after="120" w:line="240" w:lineRule="auto"/>
        <w:ind w:left="714" w:hanging="357"/>
        <w:contextualSpacing w:val="0"/>
        <w:rPr>
          <w:sz w:val="24"/>
        </w:rPr>
      </w:pPr>
      <w:r w:rsidRPr="00F04EE7">
        <w:rPr>
          <w:sz w:val="24"/>
        </w:rPr>
        <w:t>Cathinone</w:t>
      </w:r>
    </w:p>
    <w:p w14:paraId="3D06DFAF" w14:textId="689A76F7" w:rsidR="00154FB0" w:rsidRPr="00F04EE7" w:rsidRDefault="00154FB0" w:rsidP="00F04EE7">
      <w:pPr>
        <w:pStyle w:val="ListParagraph"/>
        <w:numPr>
          <w:ilvl w:val="0"/>
          <w:numId w:val="7"/>
        </w:numPr>
        <w:spacing w:after="120" w:line="240" w:lineRule="auto"/>
        <w:ind w:left="714" w:hanging="357"/>
        <w:contextualSpacing w:val="0"/>
        <w:rPr>
          <w:sz w:val="24"/>
        </w:rPr>
      </w:pPr>
      <w:r w:rsidRPr="00F04EE7">
        <w:rPr>
          <w:sz w:val="24"/>
        </w:rPr>
        <w:t>Coca leaf</w:t>
      </w:r>
    </w:p>
    <w:p w14:paraId="3E5561F5" w14:textId="411CADDE" w:rsidR="00154FB0" w:rsidRPr="00F04EE7" w:rsidRDefault="00154FB0" w:rsidP="00F04EE7">
      <w:pPr>
        <w:pStyle w:val="ListParagraph"/>
        <w:numPr>
          <w:ilvl w:val="0"/>
          <w:numId w:val="7"/>
        </w:numPr>
        <w:spacing w:after="120" w:line="240" w:lineRule="auto"/>
        <w:ind w:left="714" w:hanging="357"/>
        <w:contextualSpacing w:val="0"/>
        <w:rPr>
          <w:sz w:val="24"/>
        </w:rPr>
      </w:pPr>
      <w:proofErr w:type="gramStart"/>
      <w:r w:rsidRPr="00F04EE7">
        <w:rPr>
          <w:sz w:val="24"/>
        </w:rPr>
        <w:t>N,N</w:t>
      </w:r>
      <w:proofErr w:type="gramEnd"/>
      <w:r w:rsidRPr="00F04EE7">
        <w:rPr>
          <w:sz w:val="24"/>
        </w:rPr>
        <w:t>-dimethyltryptamine (DMT)</w:t>
      </w:r>
    </w:p>
    <w:p w14:paraId="044705F4" w14:textId="0046A8D2" w:rsidR="00154FB0" w:rsidRPr="00F04EE7" w:rsidRDefault="00154FB0" w:rsidP="00F04EE7">
      <w:pPr>
        <w:pStyle w:val="ListParagraph"/>
        <w:numPr>
          <w:ilvl w:val="0"/>
          <w:numId w:val="7"/>
        </w:numPr>
        <w:spacing w:after="120" w:line="240" w:lineRule="auto"/>
        <w:ind w:left="714" w:hanging="357"/>
        <w:contextualSpacing w:val="0"/>
        <w:rPr>
          <w:sz w:val="24"/>
        </w:rPr>
      </w:pPr>
      <w:r w:rsidRPr="00F04EE7">
        <w:rPr>
          <w:sz w:val="24"/>
        </w:rPr>
        <w:t>Lysergic acid diethylamide (LSD)</w:t>
      </w:r>
    </w:p>
    <w:p w14:paraId="31C729E0" w14:textId="00BB417E" w:rsidR="00154FB0" w:rsidRPr="00F04EE7" w:rsidRDefault="00154FB0" w:rsidP="00F04EE7">
      <w:pPr>
        <w:pStyle w:val="ListParagraph"/>
        <w:numPr>
          <w:ilvl w:val="0"/>
          <w:numId w:val="7"/>
        </w:numPr>
        <w:spacing w:after="120" w:line="240" w:lineRule="auto"/>
        <w:ind w:left="714" w:hanging="357"/>
        <w:contextualSpacing w:val="0"/>
        <w:rPr>
          <w:sz w:val="24"/>
        </w:rPr>
      </w:pPr>
      <w:r w:rsidRPr="00F04EE7">
        <w:rPr>
          <w:sz w:val="24"/>
        </w:rPr>
        <w:t>3,4-Methylene​</w:t>
      </w:r>
      <w:proofErr w:type="spellStart"/>
      <w:r w:rsidRPr="00F04EE7">
        <w:rPr>
          <w:sz w:val="24"/>
        </w:rPr>
        <w:t>dioxy</w:t>
      </w:r>
      <w:proofErr w:type="spellEnd"/>
      <w:r w:rsidRPr="00F04EE7">
        <w:rPr>
          <w:sz w:val="24"/>
        </w:rPr>
        <w:t>​amphetamine (MDA)</w:t>
      </w:r>
    </w:p>
    <w:p w14:paraId="548478BD" w14:textId="0798647E" w:rsidR="00154FB0" w:rsidRPr="00F04EE7" w:rsidRDefault="00154FB0" w:rsidP="00F04EE7">
      <w:pPr>
        <w:pStyle w:val="ListParagraph"/>
        <w:numPr>
          <w:ilvl w:val="0"/>
          <w:numId w:val="7"/>
        </w:numPr>
        <w:spacing w:after="120" w:line="240" w:lineRule="auto"/>
        <w:ind w:left="714" w:hanging="357"/>
        <w:contextualSpacing w:val="0"/>
        <w:rPr>
          <w:sz w:val="24"/>
        </w:rPr>
      </w:pPr>
      <w:r w:rsidRPr="00F04EE7">
        <w:rPr>
          <w:sz w:val="24"/>
        </w:rPr>
        <w:t>3,4-Methylenedioxy-N-ethylamphetamine (MDEA)</w:t>
      </w:r>
    </w:p>
    <w:p w14:paraId="37282E4C" w14:textId="63300BBE" w:rsidR="00154FB0" w:rsidRPr="00F04EE7" w:rsidRDefault="00154FB0" w:rsidP="00F04EE7">
      <w:pPr>
        <w:pStyle w:val="ListParagraph"/>
        <w:numPr>
          <w:ilvl w:val="0"/>
          <w:numId w:val="7"/>
        </w:numPr>
        <w:spacing w:after="120" w:line="240" w:lineRule="auto"/>
        <w:ind w:left="714" w:hanging="357"/>
        <w:contextualSpacing w:val="0"/>
        <w:rPr>
          <w:sz w:val="24"/>
        </w:rPr>
      </w:pPr>
      <w:r w:rsidRPr="00F04EE7">
        <w:rPr>
          <w:sz w:val="24"/>
        </w:rPr>
        <w:t>3,4-Methyl​</w:t>
      </w:r>
      <w:proofErr w:type="spellStart"/>
      <w:r w:rsidRPr="00F04EE7">
        <w:rPr>
          <w:sz w:val="24"/>
        </w:rPr>
        <w:t>enedioxy</w:t>
      </w:r>
      <w:proofErr w:type="spellEnd"/>
      <w:r w:rsidRPr="00F04EE7">
        <w:rPr>
          <w:sz w:val="24"/>
        </w:rPr>
        <w:t>​methamphetamine (MDMA)</w:t>
      </w:r>
    </w:p>
    <w:p w14:paraId="453F53F6" w14:textId="3CD9F2F9" w:rsidR="00154FB0" w:rsidRPr="00F04EE7" w:rsidRDefault="00154FB0" w:rsidP="00F04EE7">
      <w:pPr>
        <w:pStyle w:val="ListParagraph"/>
        <w:numPr>
          <w:ilvl w:val="0"/>
          <w:numId w:val="7"/>
        </w:numPr>
        <w:spacing w:after="120" w:line="240" w:lineRule="auto"/>
        <w:ind w:left="714" w:hanging="357"/>
        <w:contextualSpacing w:val="0"/>
        <w:rPr>
          <w:sz w:val="24"/>
        </w:rPr>
      </w:pPr>
      <w:r w:rsidRPr="00F04EE7">
        <w:rPr>
          <w:sz w:val="24"/>
        </w:rPr>
        <w:t>Methcathinone</w:t>
      </w:r>
    </w:p>
    <w:p w14:paraId="2CA10A69" w14:textId="77777777" w:rsidR="00154FB0" w:rsidRPr="00F04EE7" w:rsidRDefault="00154FB0" w:rsidP="00F04EE7">
      <w:pPr>
        <w:pStyle w:val="ListParagraph"/>
        <w:numPr>
          <w:ilvl w:val="0"/>
          <w:numId w:val="7"/>
        </w:numPr>
        <w:spacing w:after="120" w:line="240" w:lineRule="auto"/>
        <w:ind w:left="714" w:hanging="357"/>
        <w:contextualSpacing w:val="0"/>
        <w:rPr>
          <w:sz w:val="24"/>
        </w:rPr>
      </w:pPr>
      <w:r w:rsidRPr="00F04EE7">
        <w:rPr>
          <w:sz w:val="24"/>
        </w:rPr>
        <w:t>Opium (raw)</w:t>
      </w:r>
    </w:p>
    <w:p w14:paraId="7D8393AB" w14:textId="77BDDDEF" w:rsidR="00154FB0" w:rsidRPr="00F04EE7" w:rsidRDefault="00154FB0" w:rsidP="00F04EE7">
      <w:pPr>
        <w:pStyle w:val="ListParagraph"/>
        <w:numPr>
          <w:ilvl w:val="0"/>
          <w:numId w:val="7"/>
        </w:numPr>
        <w:spacing w:after="120" w:line="240" w:lineRule="auto"/>
        <w:ind w:left="714" w:hanging="357"/>
        <w:contextualSpacing w:val="0"/>
        <w:rPr>
          <w:sz w:val="24"/>
        </w:rPr>
      </w:pPr>
      <w:proofErr w:type="spellStart"/>
      <w:r w:rsidRPr="00F04EE7">
        <w:rPr>
          <w:sz w:val="24"/>
        </w:rPr>
        <w:t>Psilocine</w:t>
      </w:r>
      <w:proofErr w:type="spellEnd"/>
    </w:p>
    <w:p w14:paraId="4148D6B5" w14:textId="77777777" w:rsidR="00154FB0" w:rsidRPr="00F04EE7" w:rsidRDefault="00154FB0" w:rsidP="00F04EE7">
      <w:pPr>
        <w:pStyle w:val="ListParagraph"/>
        <w:numPr>
          <w:ilvl w:val="0"/>
          <w:numId w:val="7"/>
        </w:numPr>
        <w:spacing w:after="120" w:line="240" w:lineRule="auto"/>
        <w:ind w:left="714" w:hanging="357"/>
        <w:contextualSpacing w:val="0"/>
        <w:rPr>
          <w:sz w:val="24"/>
        </w:rPr>
      </w:pPr>
      <w:r w:rsidRPr="00F04EE7">
        <w:rPr>
          <w:sz w:val="24"/>
        </w:rPr>
        <w:t>Tetrahydrocannabinol (including delta-9-THC)</w:t>
      </w:r>
    </w:p>
    <w:p w14:paraId="49F816BB" w14:textId="77777777" w:rsidR="00154FB0" w:rsidRDefault="00154FB0" w:rsidP="00154FB0">
      <w:pPr>
        <w:pStyle w:val="ListParagraph"/>
        <w:spacing w:after="120" w:line="240" w:lineRule="auto"/>
      </w:pPr>
    </w:p>
    <w:p w14:paraId="5998BAA2" w14:textId="3D7CA650" w:rsidR="00FB663F" w:rsidRDefault="00FB663F">
      <w:pPr>
        <w:rPr>
          <w:b/>
          <w:sz w:val="32"/>
        </w:rPr>
      </w:pPr>
    </w:p>
    <w:sectPr w:rsidR="00FB663F" w:rsidSect="00BE558D">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72D8E" w14:textId="77777777" w:rsidR="00BE558D" w:rsidRDefault="00BE558D" w:rsidP="00BE558D">
      <w:pPr>
        <w:spacing w:after="0" w:line="240" w:lineRule="auto"/>
      </w:pPr>
      <w:r>
        <w:separator/>
      </w:r>
    </w:p>
  </w:endnote>
  <w:endnote w:type="continuationSeparator" w:id="0">
    <w:p w14:paraId="5C6314AF" w14:textId="77777777" w:rsidR="00BE558D" w:rsidRDefault="00BE558D" w:rsidP="00BE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5CBE" w14:textId="77777777" w:rsidR="00267970" w:rsidRDefault="00267970">
    <w:pPr>
      <w:pStyle w:val="Footer"/>
    </w:pPr>
  </w:p>
  <w:p w14:paraId="3FC2C276" w14:textId="3F3F6A71" w:rsidR="00BE558D" w:rsidRDefault="00296EFB">
    <w:pPr>
      <w:pStyle w:val="Footer"/>
    </w:pPr>
    <w:r>
      <w:t>University</w:t>
    </w:r>
    <w:r w:rsidR="00BE558D">
      <w:t xml:space="preserve"> of Glasgow Safety and E</w:t>
    </w:r>
    <w:r w:rsidR="000F1870">
      <w:t>nvironmental Protection Service</w:t>
    </w:r>
    <w:r w:rsidR="00BE558D">
      <w:tab/>
    </w:r>
    <w:r w:rsidR="00BE558D">
      <w:tab/>
    </w:r>
    <w:r w:rsidR="00BE558D">
      <w:tab/>
    </w:r>
  </w:p>
  <w:p w14:paraId="2DAAEFC0" w14:textId="7F4C7E6F" w:rsidR="00BE558D" w:rsidRDefault="00BE558D">
    <w:pPr>
      <w:pStyle w:val="Footer"/>
    </w:pPr>
    <w:r>
      <w:t xml:space="preserve">E-Mail: </w:t>
    </w:r>
    <w:r w:rsidR="00DA0AFB">
      <w:t>safety@glasgow.ac.uk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578D" w14:textId="77777777" w:rsidR="00BE558D" w:rsidRDefault="00BE558D" w:rsidP="00BE558D">
      <w:pPr>
        <w:spacing w:after="0" w:line="240" w:lineRule="auto"/>
      </w:pPr>
      <w:r>
        <w:separator/>
      </w:r>
    </w:p>
  </w:footnote>
  <w:footnote w:type="continuationSeparator" w:id="0">
    <w:p w14:paraId="2E0FDAEB" w14:textId="77777777" w:rsidR="00BE558D" w:rsidRDefault="00BE558D" w:rsidP="00BE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BED2" w14:textId="54CCD5E7" w:rsidR="00800E54" w:rsidRPr="00800E54" w:rsidRDefault="00800E54" w:rsidP="00800E54">
    <w:pPr>
      <w:pStyle w:val="Header"/>
      <w:jc w:val="right"/>
      <w:rPr>
        <w:b/>
        <w:bCs/>
        <w:sz w:val="32"/>
        <w:szCs w:val="32"/>
      </w:rPr>
    </w:pPr>
    <w:r w:rsidRPr="00800E54">
      <w:rPr>
        <w:b/>
        <w:bCs/>
        <w:sz w:val="32"/>
        <w:szCs w:val="32"/>
      </w:rPr>
      <w:t>SEPS Guidance Note (CHEM18/2023)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5A29"/>
    <w:multiLevelType w:val="hybridMultilevel"/>
    <w:tmpl w:val="60A05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2579D"/>
    <w:multiLevelType w:val="hybridMultilevel"/>
    <w:tmpl w:val="D70A2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5178A"/>
    <w:multiLevelType w:val="hybridMultilevel"/>
    <w:tmpl w:val="7D024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D2344"/>
    <w:multiLevelType w:val="hybridMultilevel"/>
    <w:tmpl w:val="384C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530C7B"/>
    <w:multiLevelType w:val="hybridMultilevel"/>
    <w:tmpl w:val="FC028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64F4D"/>
    <w:multiLevelType w:val="hybridMultilevel"/>
    <w:tmpl w:val="22600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9072C7"/>
    <w:multiLevelType w:val="hybridMultilevel"/>
    <w:tmpl w:val="14789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21708C"/>
    <w:multiLevelType w:val="hybridMultilevel"/>
    <w:tmpl w:val="038E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577C69"/>
    <w:multiLevelType w:val="hybridMultilevel"/>
    <w:tmpl w:val="20AA63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340012444">
    <w:abstractNumId w:val="3"/>
  </w:num>
  <w:num w:numId="2" w16cid:durableId="399669510">
    <w:abstractNumId w:val="8"/>
  </w:num>
  <w:num w:numId="3" w16cid:durableId="441265739">
    <w:abstractNumId w:val="4"/>
  </w:num>
  <w:num w:numId="4" w16cid:durableId="1447390649">
    <w:abstractNumId w:val="0"/>
  </w:num>
  <w:num w:numId="5" w16cid:durableId="1181775079">
    <w:abstractNumId w:val="5"/>
  </w:num>
  <w:num w:numId="6" w16cid:durableId="1107120394">
    <w:abstractNumId w:val="6"/>
  </w:num>
  <w:num w:numId="7" w16cid:durableId="332270741">
    <w:abstractNumId w:val="1"/>
  </w:num>
  <w:num w:numId="8" w16cid:durableId="1134447024">
    <w:abstractNumId w:val="2"/>
  </w:num>
  <w:num w:numId="9" w16cid:durableId="12545073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629"/>
    <w:rsid w:val="0000003D"/>
    <w:rsid w:val="00067573"/>
    <w:rsid w:val="000A5BC6"/>
    <w:rsid w:val="000B5C18"/>
    <w:rsid w:val="000F1870"/>
    <w:rsid w:val="000F6F56"/>
    <w:rsid w:val="00106DD4"/>
    <w:rsid w:val="00110FCE"/>
    <w:rsid w:val="00130AAA"/>
    <w:rsid w:val="00130FF9"/>
    <w:rsid w:val="00144EE7"/>
    <w:rsid w:val="00151EB2"/>
    <w:rsid w:val="00154FB0"/>
    <w:rsid w:val="00170CA6"/>
    <w:rsid w:val="001863CC"/>
    <w:rsid w:val="001E243F"/>
    <w:rsid w:val="002059BA"/>
    <w:rsid w:val="002112D3"/>
    <w:rsid w:val="002431CB"/>
    <w:rsid w:val="00265978"/>
    <w:rsid w:val="00267970"/>
    <w:rsid w:val="00276CFF"/>
    <w:rsid w:val="00296EFB"/>
    <w:rsid w:val="002D1EDA"/>
    <w:rsid w:val="002E4AD0"/>
    <w:rsid w:val="003204B4"/>
    <w:rsid w:val="00355E0D"/>
    <w:rsid w:val="00381C10"/>
    <w:rsid w:val="003B041A"/>
    <w:rsid w:val="003B1336"/>
    <w:rsid w:val="003E4069"/>
    <w:rsid w:val="00426629"/>
    <w:rsid w:val="00465A4A"/>
    <w:rsid w:val="0048524E"/>
    <w:rsid w:val="00494EC7"/>
    <w:rsid w:val="004A6C99"/>
    <w:rsid w:val="004C4D77"/>
    <w:rsid w:val="004D5FEC"/>
    <w:rsid w:val="004D652E"/>
    <w:rsid w:val="004E6947"/>
    <w:rsid w:val="004E7B76"/>
    <w:rsid w:val="00515921"/>
    <w:rsid w:val="00542664"/>
    <w:rsid w:val="00543FFA"/>
    <w:rsid w:val="00557FA8"/>
    <w:rsid w:val="0056358E"/>
    <w:rsid w:val="005C5CC7"/>
    <w:rsid w:val="00602E33"/>
    <w:rsid w:val="006071C4"/>
    <w:rsid w:val="00615FF4"/>
    <w:rsid w:val="006273F9"/>
    <w:rsid w:val="00640310"/>
    <w:rsid w:val="00670C07"/>
    <w:rsid w:val="006B6ED3"/>
    <w:rsid w:val="006C16B0"/>
    <w:rsid w:val="006E07EE"/>
    <w:rsid w:val="0071615C"/>
    <w:rsid w:val="0071654F"/>
    <w:rsid w:val="00757FE2"/>
    <w:rsid w:val="00760260"/>
    <w:rsid w:val="007621E6"/>
    <w:rsid w:val="00797355"/>
    <w:rsid w:val="007A4A51"/>
    <w:rsid w:val="007A652B"/>
    <w:rsid w:val="007D05AD"/>
    <w:rsid w:val="007E7000"/>
    <w:rsid w:val="00800E54"/>
    <w:rsid w:val="008437E1"/>
    <w:rsid w:val="008555DA"/>
    <w:rsid w:val="00881E5B"/>
    <w:rsid w:val="00890A82"/>
    <w:rsid w:val="00896DDF"/>
    <w:rsid w:val="008D2016"/>
    <w:rsid w:val="00910C4C"/>
    <w:rsid w:val="00941165"/>
    <w:rsid w:val="009533B8"/>
    <w:rsid w:val="0097731F"/>
    <w:rsid w:val="009C7C2C"/>
    <w:rsid w:val="009F71C3"/>
    <w:rsid w:val="00A1013B"/>
    <w:rsid w:val="00A40BAF"/>
    <w:rsid w:val="00A44833"/>
    <w:rsid w:val="00A66C44"/>
    <w:rsid w:val="00AA4A2C"/>
    <w:rsid w:val="00AB1A5D"/>
    <w:rsid w:val="00B45FB3"/>
    <w:rsid w:val="00B46AC9"/>
    <w:rsid w:val="00BC3EFD"/>
    <w:rsid w:val="00BC5AD7"/>
    <w:rsid w:val="00BE558D"/>
    <w:rsid w:val="00BF49C1"/>
    <w:rsid w:val="00C7056C"/>
    <w:rsid w:val="00CB1FCF"/>
    <w:rsid w:val="00CD031F"/>
    <w:rsid w:val="00D0354F"/>
    <w:rsid w:val="00D50BE7"/>
    <w:rsid w:val="00D62A77"/>
    <w:rsid w:val="00D87D5F"/>
    <w:rsid w:val="00DA0AFB"/>
    <w:rsid w:val="00DD46EC"/>
    <w:rsid w:val="00DE3511"/>
    <w:rsid w:val="00E02CED"/>
    <w:rsid w:val="00E234B2"/>
    <w:rsid w:val="00E321AD"/>
    <w:rsid w:val="00E60266"/>
    <w:rsid w:val="00E73440"/>
    <w:rsid w:val="00EB1E1E"/>
    <w:rsid w:val="00EC09DA"/>
    <w:rsid w:val="00ED1798"/>
    <w:rsid w:val="00EE7231"/>
    <w:rsid w:val="00F04EE7"/>
    <w:rsid w:val="00F175A9"/>
    <w:rsid w:val="00F47233"/>
    <w:rsid w:val="00F64CB7"/>
    <w:rsid w:val="00F658C3"/>
    <w:rsid w:val="00F874CE"/>
    <w:rsid w:val="00FB37CA"/>
    <w:rsid w:val="00FB663F"/>
    <w:rsid w:val="00FC4A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FE1568"/>
  <w15:docId w15:val="{651A3CDB-BED1-4628-A0D2-B72C8A09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58D"/>
    <w:rPr>
      <w:rFonts w:ascii="Tahoma" w:hAnsi="Tahoma" w:cs="Tahoma"/>
      <w:sz w:val="16"/>
      <w:szCs w:val="16"/>
    </w:rPr>
  </w:style>
  <w:style w:type="paragraph" w:styleId="Header">
    <w:name w:val="header"/>
    <w:basedOn w:val="Normal"/>
    <w:link w:val="HeaderChar"/>
    <w:uiPriority w:val="99"/>
    <w:unhideWhenUsed/>
    <w:rsid w:val="00BE5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58D"/>
  </w:style>
  <w:style w:type="paragraph" w:styleId="Footer">
    <w:name w:val="footer"/>
    <w:basedOn w:val="Normal"/>
    <w:link w:val="FooterChar"/>
    <w:uiPriority w:val="99"/>
    <w:unhideWhenUsed/>
    <w:rsid w:val="00BE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58D"/>
  </w:style>
  <w:style w:type="paragraph" w:styleId="ListParagraph">
    <w:name w:val="List Paragraph"/>
    <w:basedOn w:val="Normal"/>
    <w:uiPriority w:val="34"/>
    <w:qFormat/>
    <w:rsid w:val="006B6ED3"/>
    <w:pPr>
      <w:ind w:left="720"/>
      <w:contextualSpacing/>
    </w:pPr>
  </w:style>
  <w:style w:type="table" w:styleId="TableGrid">
    <w:name w:val="Table Grid"/>
    <w:basedOn w:val="TableNormal"/>
    <w:uiPriority w:val="59"/>
    <w:rsid w:val="004A6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654F"/>
    <w:rPr>
      <w:color w:val="0000FF" w:themeColor="hyperlink"/>
      <w:u w:val="single"/>
    </w:rPr>
  </w:style>
  <w:style w:type="character" w:styleId="UnresolvedMention">
    <w:name w:val="Unresolved Mention"/>
    <w:basedOn w:val="DefaultParagraphFont"/>
    <w:uiPriority w:val="99"/>
    <w:semiHidden/>
    <w:unhideWhenUsed/>
    <w:rsid w:val="0071654F"/>
    <w:rPr>
      <w:color w:val="605E5C"/>
      <w:shd w:val="clear" w:color="auto" w:fill="E1DFDD"/>
    </w:rPr>
  </w:style>
  <w:style w:type="character" w:styleId="FollowedHyperlink">
    <w:name w:val="FollowedHyperlink"/>
    <w:basedOn w:val="DefaultParagraphFont"/>
    <w:uiPriority w:val="99"/>
    <w:semiHidden/>
    <w:unhideWhenUsed/>
    <w:rsid w:val="00F472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2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ntrolled-drugs-list--2" TargetMode="External"/><Relationship Id="rId13" Type="http://schemas.openxmlformats.org/officeDocument/2006/relationships/hyperlink" Target="https://www.gov.uk/government/publications/thefts-and-losses-report-form-december-201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controlled-drugs-licence-return-premises-closure-state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ualdrugreturns@homeoffice.gsi.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la.ac.uk/media/Media_916875_smxx.pdf" TargetMode="External"/><Relationship Id="rId4" Type="http://schemas.openxmlformats.org/officeDocument/2006/relationships/webSettings" Target="webSettings.xml"/><Relationship Id="rId9" Type="http://schemas.openxmlformats.org/officeDocument/2006/relationships/hyperlink" Target="https://www.gla.ac.uk/media/Media_916875_smxx.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TotalTime>
  <Pages>8</Pages>
  <Words>3372</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Philip Rodger</cp:lastModifiedBy>
  <cp:revision>57</cp:revision>
  <cp:lastPrinted>2018-08-28T12:25:00Z</cp:lastPrinted>
  <dcterms:created xsi:type="dcterms:W3CDTF">2017-05-12T13:10:00Z</dcterms:created>
  <dcterms:modified xsi:type="dcterms:W3CDTF">2023-03-27T13:10:00Z</dcterms:modified>
</cp:coreProperties>
</file>