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20AE" w14:textId="79481973" w:rsidR="00455834" w:rsidRPr="008E2CAA" w:rsidRDefault="00E07A27" w:rsidP="00F71527">
      <w:pPr>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Do</w:t>
      </w:r>
      <w:r w:rsidR="00455834" w:rsidRPr="008E2CAA">
        <w:rPr>
          <w:rFonts w:ascii="Times New Roman" w:hAnsi="Times New Roman" w:cs="Times New Roman"/>
          <w:b/>
          <w:bCs/>
          <w:sz w:val="24"/>
          <w:szCs w:val="24"/>
          <w:lang w:val="en-GB"/>
        </w:rPr>
        <w:t xml:space="preserve"> Employability</w:t>
      </w:r>
      <w:r w:rsidRPr="008E2CAA">
        <w:rPr>
          <w:rFonts w:ascii="Times New Roman" w:hAnsi="Times New Roman" w:cs="Times New Roman"/>
          <w:b/>
          <w:bCs/>
          <w:sz w:val="24"/>
          <w:szCs w:val="24"/>
          <w:lang w:val="en-GB"/>
        </w:rPr>
        <w:t xml:space="preserve"> Programmes in Higher Education Improve Skills and Labour Market Outcomes</w:t>
      </w:r>
      <w:r w:rsidR="00455834" w:rsidRPr="008E2CAA">
        <w:rPr>
          <w:rFonts w:ascii="Times New Roman" w:hAnsi="Times New Roman" w:cs="Times New Roman"/>
          <w:b/>
          <w:bCs/>
          <w:sz w:val="24"/>
          <w:szCs w:val="24"/>
          <w:lang w:val="en-GB"/>
        </w:rPr>
        <w:t>? A Systemic Review of Academic Literature</w:t>
      </w:r>
    </w:p>
    <w:p w14:paraId="5E054C68" w14:textId="77777777" w:rsidR="00F71527" w:rsidRPr="008E2CAA" w:rsidRDefault="00F71527" w:rsidP="00F71527">
      <w:pPr>
        <w:rPr>
          <w:rFonts w:ascii="Times New Roman" w:hAnsi="Times New Roman" w:cs="Times New Roman"/>
          <w:b/>
          <w:bCs/>
          <w:sz w:val="24"/>
          <w:szCs w:val="24"/>
          <w:lang w:val="en-GB"/>
        </w:rPr>
      </w:pPr>
    </w:p>
    <w:p w14:paraId="32018AF4" w14:textId="0AD9870C" w:rsidR="00455834" w:rsidRPr="008E2CAA" w:rsidRDefault="00455834" w:rsidP="00277BD5">
      <w:pPr>
        <w:jc w:val="both"/>
        <w:rPr>
          <w:rFonts w:ascii="Times New Roman" w:hAnsi="Times New Roman" w:cs="Times New Roman"/>
          <w:sz w:val="24"/>
          <w:szCs w:val="24"/>
          <w:lang w:val="en-GB" w:eastAsia="ar-SA"/>
        </w:rPr>
      </w:pPr>
      <w:r w:rsidRPr="008E2CAA">
        <w:rPr>
          <w:rFonts w:ascii="Times New Roman" w:hAnsi="Times New Roman" w:cs="Times New Roman"/>
          <w:sz w:val="24"/>
          <w:szCs w:val="24"/>
          <w:lang w:val="en-GB" w:eastAsia="ar-SA"/>
        </w:rPr>
        <w:t>Scandurra, R, Autonomous University of Barcelona, Department of Sociology, GEPS</w:t>
      </w:r>
      <w:r w:rsidR="0056647F" w:rsidRPr="0056647F">
        <w:rPr>
          <w:rStyle w:val="FootnoteReference"/>
          <w:rFonts w:ascii="Times New Roman" w:hAnsi="Times New Roman" w:cs="Times New Roman"/>
          <w:sz w:val="24"/>
          <w:szCs w:val="24"/>
          <w:lang w:val="en-GB" w:eastAsia="ar-SA"/>
        </w:rPr>
        <w:footnoteReference w:customMarkFollows="1" w:id="1"/>
        <w:sym w:font="Symbol" w:char="F02A"/>
      </w:r>
    </w:p>
    <w:p w14:paraId="003C8105" w14:textId="1EEA9A00" w:rsidR="00455834" w:rsidRDefault="00455834" w:rsidP="00277BD5">
      <w:pPr>
        <w:jc w:val="both"/>
        <w:rPr>
          <w:rFonts w:ascii="Times New Roman" w:hAnsi="Times New Roman" w:cs="Times New Roman"/>
          <w:sz w:val="24"/>
          <w:szCs w:val="24"/>
          <w:lang w:val="en-GB" w:eastAsia="ar-SA"/>
        </w:rPr>
      </w:pPr>
      <w:r w:rsidRPr="008E2CAA">
        <w:rPr>
          <w:rFonts w:ascii="Times New Roman" w:hAnsi="Times New Roman" w:cs="Times New Roman"/>
          <w:sz w:val="24"/>
          <w:szCs w:val="24"/>
          <w:lang w:val="en-GB" w:eastAsia="ar-SA"/>
        </w:rPr>
        <w:t>Kelly D, University of Glasgow, School of Education</w:t>
      </w:r>
    </w:p>
    <w:p w14:paraId="2C2E5025" w14:textId="25CF6A7A" w:rsidR="00455834" w:rsidRDefault="00455834" w:rsidP="00277BD5">
      <w:pPr>
        <w:jc w:val="both"/>
        <w:rPr>
          <w:rFonts w:ascii="Times New Roman" w:hAnsi="Times New Roman" w:cs="Times New Roman"/>
          <w:sz w:val="24"/>
          <w:szCs w:val="24"/>
          <w:lang w:val="en-GB" w:eastAsia="ar-SA"/>
        </w:rPr>
      </w:pPr>
      <w:proofErr w:type="spellStart"/>
      <w:r w:rsidRPr="008E2CAA">
        <w:rPr>
          <w:rFonts w:ascii="Times New Roman" w:hAnsi="Times New Roman" w:cs="Times New Roman"/>
          <w:sz w:val="24"/>
          <w:szCs w:val="24"/>
          <w:lang w:val="en-GB" w:eastAsia="ar-SA"/>
        </w:rPr>
        <w:t>Fusaro</w:t>
      </w:r>
      <w:proofErr w:type="spellEnd"/>
      <w:r w:rsidRPr="008E2CAA">
        <w:rPr>
          <w:rFonts w:ascii="Times New Roman" w:hAnsi="Times New Roman" w:cs="Times New Roman"/>
          <w:sz w:val="24"/>
          <w:szCs w:val="24"/>
          <w:lang w:val="en-GB" w:eastAsia="ar-SA"/>
        </w:rPr>
        <w:t xml:space="preserve">, S, Autonomous </w:t>
      </w:r>
      <w:r w:rsidR="0056647F">
        <w:rPr>
          <w:rFonts w:ascii="Times New Roman" w:hAnsi="Times New Roman" w:cs="Times New Roman"/>
          <w:sz w:val="24"/>
          <w:szCs w:val="24"/>
          <w:lang w:val="en-GB" w:eastAsia="ar-SA"/>
        </w:rPr>
        <w:t>Universidad Loyola Andalusia</w:t>
      </w:r>
      <w:r w:rsidRPr="008E2CAA">
        <w:rPr>
          <w:rFonts w:ascii="Times New Roman" w:hAnsi="Times New Roman" w:cs="Times New Roman"/>
          <w:sz w:val="24"/>
          <w:szCs w:val="24"/>
          <w:lang w:val="en-GB" w:eastAsia="ar-SA"/>
        </w:rPr>
        <w:t xml:space="preserve">, </w:t>
      </w:r>
      <w:r w:rsidRPr="00FC05BE">
        <w:rPr>
          <w:rFonts w:ascii="Times New Roman" w:hAnsi="Times New Roman" w:cs="Times New Roman"/>
          <w:sz w:val="24"/>
          <w:szCs w:val="24"/>
          <w:lang w:val="en-GB" w:eastAsia="ar-SA"/>
        </w:rPr>
        <w:t xml:space="preserve">Department of </w:t>
      </w:r>
      <w:r w:rsidR="0056647F">
        <w:rPr>
          <w:rFonts w:ascii="Times New Roman" w:hAnsi="Times New Roman" w:cs="Times New Roman"/>
          <w:sz w:val="24"/>
          <w:szCs w:val="24"/>
          <w:lang w:val="en-GB" w:eastAsia="ar-SA"/>
        </w:rPr>
        <w:t>Economics</w:t>
      </w:r>
    </w:p>
    <w:p w14:paraId="282056D0" w14:textId="77777777" w:rsidR="009C7B09" w:rsidRPr="008E2CAA" w:rsidRDefault="009C7B09" w:rsidP="009C7B09">
      <w:pPr>
        <w:jc w:val="both"/>
        <w:rPr>
          <w:rFonts w:ascii="Times New Roman" w:hAnsi="Times New Roman" w:cs="Times New Roman"/>
          <w:sz w:val="24"/>
          <w:szCs w:val="24"/>
          <w:lang w:val="en-GB" w:eastAsia="ar-SA"/>
        </w:rPr>
      </w:pPr>
      <w:r>
        <w:rPr>
          <w:rFonts w:ascii="Times New Roman" w:hAnsi="Times New Roman" w:cs="Times New Roman"/>
          <w:sz w:val="24"/>
          <w:szCs w:val="24"/>
          <w:lang w:val="en-GB" w:eastAsia="ar-SA"/>
        </w:rPr>
        <w:t>Cefalo R., University of Vienna</w:t>
      </w:r>
      <w:r w:rsidRPr="008E2CAA">
        <w:rPr>
          <w:rFonts w:ascii="Times New Roman" w:hAnsi="Times New Roman" w:cs="Times New Roman"/>
          <w:sz w:val="24"/>
          <w:szCs w:val="24"/>
          <w:lang w:val="en-GB" w:eastAsia="ar-SA"/>
        </w:rPr>
        <w:t xml:space="preserve">, </w:t>
      </w:r>
      <w:r w:rsidRPr="00FC05BE">
        <w:rPr>
          <w:rFonts w:ascii="Times New Roman" w:hAnsi="Times New Roman" w:cs="Times New Roman"/>
          <w:sz w:val="24"/>
          <w:szCs w:val="24"/>
          <w:lang w:val="en-GB" w:eastAsia="ar-SA"/>
        </w:rPr>
        <w:t>Department of Sociology</w:t>
      </w:r>
    </w:p>
    <w:p w14:paraId="07C55F2F" w14:textId="77777777" w:rsidR="00455834" w:rsidRPr="00622BF0" w:rsidRDefault="00455834" w:rsidP="00277BD5">
      <w:pPr>
        <w:jc w:val="both"/>
        <w:rPr>
          <w:rFonts w:ascii="Times New Roman" w:hAnsi="Times New Roman" w:cs="Times New Roman"/>
          <w:b/>
          <w:bCs/>
          <w:sz w:val="24"/>
          <w:szCs w:val="24"/>
          <w:lang w:val="en-GB"/>
        </w:rPr>
      </w:pPr>
      <w:r w:rsidRPr="000E07FD">
        <w:rPr>
          <w:rFonts w:ascii="Times New Roman" w:hAnsi="Times New Roman" w:cs="Times New Roman"/>
          <w:sz w:val="24"/>
          <w:szCs w:val="24"/>
          <w:lang w:val="en-GB" w:eastAsia="ar-SA"/>
        </w:rPr>
        <w:t>Hermannson K, University of Glasgow, School of Education</w:t>
      </w:r>
    </w:p>
    <w:p w14:paraId="39E1315E" w14:textId="77777777" w:rsidR="00455834" w:rsidRPr="008E2CAA" w:rsidRDefault="00455834" w:rsidP="00277BD5">
      <w:pPr>
        <w:jc w:val="both"/>
        <w:rPr>
          <w:rFonts w:ascii="Times New Roman" w:hAnsi="Times New Roman" w:cs="Times New Roman"/>
          <w:sz w:val="24"/>
          <w:szCs w:val="24"/>
          <w:lang w:val="en-GB"/>
        </w:rPr>
      </w:pPr>
    </w:p>
    <w:p w14:paraId="0F2FABD5" w14:textId="2672AB75" w:rsidR="00455834" w:rsidRPr="008E2CAA" w:rsidRDefault="00455834" w:rsidP="00277BD5">
      <w:pPr>
        <w:jc w:val="both"/>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Abstract</w:t>
      </w:r>
    </w:p>
    <w:p w14:paraId="18286BFE" w14:textId="3BCA6F55" w:rsidR="007F4B15" w:rsidRPr="008E2CAA" w:rsidRDefault="007F4B15"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We conduct</w:t>
      </w:r>
      <w:r w:rsidR="00DF02CF">
        <w:rPr>
          <w:rFonts w:ascii="Times New Roman" w:hAnsi="Times New Roman" w:cs="Times New Roman"/>
          <w:sz w:val="24"/>
          <w:szCs w:val="24"/>
          <w:lang w:val="en-GB"/>
        </w:rPr>
        <w:t>ed</w:t>
      </w:r>
      <w:r w:rsidRPr="008E2CAA">
        <w:rPr>
          <w:rFonts w:ascii="Times New Roman" w:hAnsi="Times New Roman" w:cs="Times New Roman"/>
          <w:sz w:val="24"/>
          <w:szCs w:val="24"/>
          <w:lang w:val="en-GB"/>
        </w:rPr>
        <w:t xml:space="preserve"> a systemic literature review of the academic literature on activities organised by Higher Education Institutions</w:t>
      </w:r>
      <w:r w:rsidR="00AD37CA" w:rsidRPr="008E2CAA">
        <w:rPr>
          <w:rFonts w:ascii="Times New Roman" w:hAnsi="Times New Roman" w:cs="Times New Roman"/>
          <w:sz w:val="24"/>
          <w:szCs w:val="24"/>
          <w:lang w:val="en-GB"/>
        </w:rPr>
        <w:t xml:space="preserve"> (HEIs)</w:t>
      </w:r>
      <w:r w:rsidRPr="008E2CAA">
        <w:rPr>
          <w:rFonts w:ascii="Times New Roman" w:hAnsi="Times New Roman" w:cs="Times New Roman"/>
          <w:sz w:val="24"/>
          <w:szCs w:val="24"/>
          <w:lang w:val="en-GB"/>
        </w:rPr>
        <w:t xml:space="preserve"> with the aim of improving </w:t>
      </w:r>
      <w:r w:rsidR="007C130D" w:rsidRPr="008E2CAA">
        <w:rPr>
          <w:rFonts w:ascii="Times New Roman" w:hAnsi="Times New Roman" w:cs="Times New Roman"/>
          <w:sz w:val="24"/>
          <w:szCs w:val="24"/>
          <w:lang w:val="en-GB"/>
        </w:rPr>
        <w:t>skills</w:t>
      </w:r>
      <w:r w:rsidRPr="008E2CAA">
        <w:rPr>
          <w:rFonts w:ascii="Times New Roman" w:hAnsi="Times New Roman" w:cs="Times New Roman"/>
          <w:sz w:val="24"/>
          <w:szCs w:val="24"/>
          <w:lang w:val="en-GB"/>
        </w:rPr>
        <w:t xml:space="preserve"> associated with employability and to facilitate labour market outcomes. </w:t>
      </w:r>
      <w:r w:rsidR="00E6429C">
        <w:rPr>
          <w:rFonts w:ascii="Times New Roman" w:hAnsi="Times New Roman" w:cs="Times New Roman"/>
          <w:sz w:val="24"/>
          <w:szCs w:val="24"/>
          <w:lang w:val="en-GB"/>
        </w:rPr>
        <w:t xml:space="preserve">The final search resulted in 87 papers </w:t>
      </w:r>
      <w:r w:rsidR="00E6429C" w:rsidRPr="001F4ACE">
        <w:rPr>
          <w:rFonts w:ascii="Times New Roman" w:hAnsi="Times New Roman" w:cs="Times New Roman"/>
          <w:sz w:val="24"/>
          <w:szCs w:val="24"/>
          <w:lang w:val="en-GB"/>
        </w:rPr>
        <w:t>identified th</w:t>
      </w:r>
      <w:r w:rsidR="00E6429C">
        <w:rPr>
          <w:rFonts w:ascii="Times New Roman" w:hAnsi="Times New Roman" w:cs="Times New Roman"/>
          <w:sz w:val="24"/>
          <w:szCs w:val="24"/>
          <w:lang w:val="en-GB"/>
        </w:rPr>
        <w:t>r</w:t>
      </w:r>
      <w:r w:rsidR="00E6429C" w:rsidRPr="001F4ACE">
        <w:rPr>
          <w:rFonts w:ascii="Times New Roman" w:hAnsi="Times New Roman" w:cs="Times New Roman"/>
          <w:sz w:val="24"/>
          <w:szCs w:val="24"/>
          <w:lang w:val="en-GB"/>
        </w:rPr>
        <w:t>ough a sequence of keyword search followed by an iterative evaluation of the relevance of each paper</w:t>
      </w:r>
      <w:r w:rsidR="00E6429C">
        <w:rPr>
          <w:rFonts w:ascii="Times New Roman" w:hAnsi="Times New Roman" w:cs="Times New Roman"/>
          <w:sz w:val="24"/>
          <w:szCs w:val="24"/>
          <w:lang w:val="en-GB"/>
        </w:rPr>
        <w:t>.</w:t>
      </w:r>
      <w:r w:rsidR="00E6429C" w:rsidRPr="00622BF0">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Papers in the corpus were analysed using an evaluation research framework and classified in terms of the activities, </w:t>
      </w:r>
      <w:r w:rsidR="00FF795D" w:rsidRPr="008E2CAA">
        <w:rPr>
          <w:rFonts w:ascii="Times New Roman" w:hAnsi="Times New Roman" w:cs="Times New Roman"/>
          <w:sz w:val="24"/>
          <w:szCs w:val="24"/>
          <w:lang w:val="en-GB"/>
        </w:rPr>
        <w:t>outputs,</w:t>
      </w:r>
      <w:r w:rsidRPr="008E2CAA">
        <w:rPr>
          <w:rFonts w:ascii="Times New Roman" w:hAnsi="Times New Roman" w:cs="Times New Roman"/>
          <w:sz w:val="24"/>
          <w:szCs w:val="24"/>
          <w:lang w:val="en-GB"/>
        </w:rPr>
        <w:t xml:space="preserve"> and outcomes they described. </w:t>
      </w:r>
      <w:r w:rsidR="00E6429C">
        <w:rPr>
          <w:rFonts w:ascii="Times New Roman" w:hAnsi="Times New Roman" w:cs="Times New Roman"/>
          <w:sz w:val="24"/>
          <w:szCs w:val="24"/>
          <w:lang w:val="en-GB"/>
        </w:rPr>
        <w:t>They</w:t>
      </w:r>
      <w:r w:rsidRPr="008E2CAA">
        <w:rPr>
          <w:rFonts w:ascii="Times New Roman" w:hAnsi="Times New Roman" w:cs="Times New Roman"/>
          <w:sz w:val="24"/>
          <w:szCs w:val="24"/>
          <w:lang w:val="en-GB"/>
        </w:rPr>
        <w:t xml:space="preserve"> were also classified in terms of the nature of the research design used. </w:t>
      </w:r>
      <w:r w:rsidR="00E6429C">
        <w:rPr>
          <w:rFonts w:ascii="Times New Roman" w:hAnsi="Times New Roman" w:cs="Times New Roman"/>
          <w:sz w:val="24"/>
          <w:szCs w:val="24"/>
          <w:lang w:val="en-GB"/>
        </w:rPr>
        <w:t>The reviewed literature is</w:t>
      </w:r>
      <w:r w:rsidR="00AD37CA" w:rsidRPr="008E2CAA">
        <w:rPr>
          <w:rFonts w:ascii="Times New Roman" w:hAnsi="Times New Roman" w:cs="Times New Roman"/>
          <w:sz w:val="24"/>
          <w:szCs w:val="24"/>
          <w:lang w:val="en-GB"/>
        </w:rPr>
        <w:t xml:space="preserve"> typically centred on one </w:t>
      </w:r>
      <w:r w:rsidR="007C130D" w:rsidRPr="008E2CAA">
        <w:rPr>
          <w:rFonts w:ascii="Times New Roman" w:hAnsi="Times New Roman" w:cs="Times New Roman"/>
          <w:sz w:val="24"/>
          <w:szCs w:val="24"/>
          <w:lang w:val="en-GB"/>
        </w:rPr>
        <w:t xml:space="preserve">of three </w:t>
      </w:r>
      <w:r w:rsidR="00AD37CA" w:rsidRPr="008E2CAA">
        <w:rPr>
          <w:rFonts w:ascii="Times New Roman" w:hAnsi="Times New Roman" w:cs="Times New Roman"/>
          <w:sz w:val="24"/>
          <w:szCs w:val="24"/>
          <w:lang w:val="en-GB"/>
        </w:rPr>
        <w:t xml:space="preserve">stakeholders: HEIs, students or employers. </w:t>
      </w:r>
      <w:r w:rsidR="00E6429C">
        <w:rPr>
          <w:rFonts w:ascii="Times New Roman" w:hAnsi="Times New Roman" w:cs="Times New Roman"/>
          <w:sz w:val="24"/>
          <w:szCs w:val="24"/>
          <w:lang w:val="en-GB"/>
        </w:rPr>
        <w:t>It</w:t>
      </w:r>
      <w:r w:rsidR="00AD37CA" w:rsidRPr="008E2CAA">
        <w:rPr>
          <w:rFonts w:ascii="Times New Roman" w:hAnsi="Times New Roman" w:cs="Times New Roman"/>
          <w:sz w:val="24"/>
          <w:szCs w:val="24"/>
          <w:lang w:val="en-GB"/>
        </w:rPr>
        <w:t xml:space="preserve"> suggests all stakeholders value employability activities for </w:t>
      </w:r>
      <w:r w:rsidR="007C130D" w:rsidRPr="008E2CAA">
        <w:rPr>
          <w:rFonts w:ascii="Times New Roman" w:hAnsi="Times New Roman" w:cs="Times New Roman"/>
          <w:sz w:val="24"/>
          <w:szCs w:val="24"/>
          <w:lang w:val="en-GB"/>
        </w:rPr>
        <w:t>similar</w:t>
      </w:r>
      <w:r w:rsidR="00AD37CA" w:rsidRPr="008E2CAA">
        <w:rPr>
          <w:rFonts w:ascii="Times New Roman" w:hAnsi="Times New Roman" w:cs="Times New Roman"/>
          <w:sz w:val="24"/>
          <w:szCs w:val="24"/>
          <w:lang w:val="en-GB"/>
        </w:rPr>
        <w:t xml:space="preserve"> reasons. </w:t>
      </w:r>
      <w:r w:rsidR="00E6429C">
        <w:rPr>
          <w:rFonts w:ascii="Times New Roman" w:hAnsi="Times New Roman" w:cs="Times New Roman"/>
          <w:sz w:val="24"/>
          <w:szCs w:val="24"/>
          <w:lang w:val="en-GB"/>
        </w:rPr>
        <w:t>Generally, t</w:t>
      </w:r>
      <w:r w:rsidR="00AD37CA" w:rsidRPr="008E2CAA">
        <w:rPr>
          <w:rFonts w:ascii="Times New Roman" w:hAnsi="Times New Roman" w:cs="Times New Roman"/>
          <w:sz w:val="24"/>
          <w:szCs w:val="24"/>
          <w:lang w:val="en-GB"/>
        </w:rPr>
        <w:t xml:space="preserve">hey are seen as vital part of HEI education programmes, facilitating the development of </w:t>
      </w:r>
      <w:r w:rsidR="007C130D" w:rsidRPr="008E2CAA">
        <w:rPr>
          <w:rFonts w:ascii="Times New Roman" w:hAnsi="Times New Roman" w:cs="Times New Roman"/>
          <w:sz w:val="24"/>
          <w:szCs w:val="24"/>
          <w:lang w:val="en-GB"/>
        </w:rPr>
        <w:t xml:space="preserve">diverse skills </w:t>
      </w:r>
      <w:r w:rsidR="00AD37CA" w:rsidRPr="008E2CAA">
        <w:rPr>
          <w:rFonts w:ascii="Times New Roman" w:hAnsi="Times New Roman" w:cs="Times New Roman"/>
          <w:sz w:val="24"/>
          <w:szCs w:val="24"/>
          <w:lang w:val="en-GB"/>
        </w:rPr>
        <w:t xml:space="preserve">that are desirable in the labour market as well as de-risking labour market entry for students and appointments for employers by alleviating information asymmetries. The evidence base is dominated by small-scale case studies and evaluations </w:t>
      </w:r>
      <w:r w:rsidR="00282F97" w:rsidRPr="008E2CAA">
        <w:rPr>
          <w:rFonts w:ascii="Times New Roman" w:hAnsi="Times New Roman" w:cs="Times New Roman"/>
          <w:sz w:val="24"/>
          <w:szCs w:val="24"/>
          <w:lang w:val="en-GB"/>
        </w:rPr>
        <w:t>that are not sufficiently robust to infer about causal impacts of employability activities on students</w:t>
      </w:r>
      <w:r w:rsidR="00F45FF7" w:rsidRPr="008E2CAA">
        <w:rPr>
          <w:rFonts w:ascii="Times New Roman" w:hAnsi="Times New Roman" w:cs="Times New Roman"/>
          <w:sz w:val="24"/>
          <w:szCs w:val="24"/>
          <w:lang w:val="en-GB"/>
        </w:rPr>
        <w:t>’</w:t>
      </w:r>
      <w:r w:rsidR="00282F97" w:rsidRPr="008E2CAA">
        <w:rPr>
          <w:rFonts w:ascii="Times New Roman" w:hAnsi="Times New Roman" w:cs="Times New Roman"/>
          <w:sz w:val="24"/>
          <w:szCs w:val="24"/>
          <w:lang w:val="en-GB"/>
        </w:rPr>
        <w:t xml:space="preserve"> development and labour market outcomes. Moreover, the corpus is skewed towards studies of Work-Based Learning (WBL)</w:t>
      </w:r>
      <w:r w:rsidR="00E6429C">
        <w:rPr>
          <w:rFonts w:ascii="Times New Roman" w:hAnsi="Times New Roman" w:cs="Times New Roman"/>
          <w:sz w:val="24"/>
          <w:szCs w:val="24"/>
          <w:lang w:val="en-GB"/>
        </w:rPr>
        <w:t>.</w:t>
      </w:r>
      <w:r w:rsidR="00282F97" w:rsidRPr="008E2CAA">
        <w:rPr>
          <w:rFonts w:ascii="Times New Roman" w:hAnsi="Times New Roman" w:cs="Times New Roman"/>
          <w:sz w:val="24"/>
          <w:szCs w:val="24"/>
          <w:lang w:val="en-GB"/>
        </w:rPr>
        <w:t xml:space="preserve"> </w:t>
      </w:r>
      <w:r w:rsidR="00E6429C">
        <w:rPr>
          <w:rFonts w:ascii="Times New Roman" w:hAnsi="Times New Roman" w:cs="Times New Roman"/>
          <w:sz w:val="24"/>
          <w:szCs w:val="24"/>
          <w:lang w:val="en-GB"/>
        </w:rPr>
        <w:t>W</w:t>
      </w:r>
      <w:r w:rsidR="00282F97" w:rsidRPr="008E2CAA">
        <w:rPr>
          <w:rFonts w:ascii="Times New Roman" w:hAnsi="Times New Roman" w:cs="Times New Roman"/>
          <w:sz w:val="24"/>
          <w:szCs w:val="24"/>
          <w:lang w:val="en-GB"/>
        </w:rPr>
        <w:t xml:space="preserve">e argue that to achieve a comprehensive evidence based academic research is needed on more diverse forms of employability activities, such as </w:t>
      </w:r>
      <w:r w:rsidR="00E6429C" w:rsidRPr="00622BF0">
        <w:rPr>
          <w:rFonts w:ascii="Times New Roman" w:hAnsi="Times New Roman" w:cs="Times New Roman"/>
          <w:sz w:val="24"/>
          <w:szCs w:val="24"/>
          <w:lang w:val="en-GB"/>
        </w:rPr>
        <w:t>larger scale</w:t>
      </w:r>
      <w:r w:rsidR="00282F97" w:rsidRPr="008E2CAA">
        <w:rPr>
          <w:rFonts w:ascii="Times New Roman" w:hAnsi="Times New Roman" w:cs="Times New Roman"/>
          <w:sz w:val="24"/>
          <w:szCs w:val="24"/>
          <w:lang w:val="en-GB"/>
        </w:rPr>
        <w:t xml:space="preserve"> “embedded employability”</w:t>
      </w:r>
      <w:r w:rsidR="00F45FF7" w:rsidRPr="008E2CAA">
        <w:rPr>
          <w:rFonts w:ascii="Times New Roman" w:hAnsi="Times New Roman" w:cs="Times New Roman"/>
          <w:sz w:val="24"/>
          <w:szCs w:val="24"/>
          <w:lang w:val="en-GB"/>
        </w:rPr>
        <w:t xml:space="preserve"> activities</w:t>
      </w:r>
      <w:r w:rsidR="007C130D" w:rsidRPr="008E2CAA">
        <w:rPr>
          <w:rFonts w:ascii="Times New Roman" w:hAnsi="Times New Roman" w:cs="Times New Roman"/>
          <w:sz w:val="24"/>
          <w:szCs w:val="24"/>
          <w:lang w:val="en-GB"/>
        </w:rPr>
        <w:t>.</w:t>
      </w:r>
    </w:p>
    <w:p w14:paraId="0438BF84" w14:textId="7DB27765" w:rsidR="00455834" w:rsidRPr="008E2CAA" w:rsidRDefault="00B650C5" w:rsidP="00277BD5">
      <w:pPr>
        <w:jc w:val="both"/>
        <w:rPr>
          <w:rFonts w:ascii="Times New Roman" w:hAnsi="Times New Roman" w:cs="Times New Roman"/>
          <w:sz w:val="24"/>
          <w:szCs w:val="24"/>
          <w:lang w:val="en-GB"/>
        </w:rPr>
      </w:pPr>
      <w:r>
        <w:rPr>
          <w:rFonts w:ascii="Times New Roman" w:hAnsi="Times New Roman" w:cs="Times New Roman"/>
          <w:sz w:val="24"/>
          <w:szCs w:val="24"/>
          <w:lang w:val="en-GB"/>
        </w:rPr>
        <w:t>Keywords: Employability; Skill</w:t>
      </w:r>
      <w:r w:rsidR="008E2CAA">
        <w:rPr>
          <w:rFonts w:ascii="Times New Roman" w:hAnsi="Times New Roman" w:cs="Times New Roman"/>
          <w:sz w:val="24"/>
          <w:szCs w:val="24"/>
          <w:lang w:val="en-GB"/>
        </w:rPr>
        <w:t>s development</w:t>
      </w:r>
      <w:r>
        <w:rPr>
          <w:rFonts w:ascii="Times New Roman" w:hAnsi="Times New Roman" w:cs="Times New Roman"/>
          <w:sz w:val="24"/>
          <w:szCs w:val="24"/>
          <w:lang w:val="en-GB"/>
        </w:rPr>
        <w:t>; graduate outcomes; Work-based Learning; Higher Education</w:t>
      </w:r>
      <w:r w:rsidR="008E2CAA">
        <w:rPr>
          <w:rFonts w:ascii="Times New Roman" w:hAnsi="Times New Roman" w:cs="Times New Roman"/>
          <w:sz w:val="24"/>
          <w:szCs w:val="24"/>
          <w:lang w:val="en-GB"/>
        </w:rPr>
        <w:t xml:space="preserve"> Institutions</w:t>
      </w:r>
    </w:p>
    <w:p w14:paraId="1867415B" w14:textId="77777777" w:rsidR="0044493E" w:rsidRPr="008E2CAA" w:rsidRDefault="0044493E" w:rsidP="00277BD5">
      <w:pPr>
        <w:jc w:val="both"/>
        <w:rPr>
          <w:rFonts w:ascii="Times New Roman" w:hAnsi="Times New Roman" w:cs="Times New Roman"/>
          <w:sz w:val="24"/>
          <w:szCs w:val="24"/>
          <w:lang w:val="en-GB"/>
        </w:rPr>
      </w:pPr>
    </w:p>
    <w:p w14:paraId="294D495D" w14:textId="771915D3" w:rsidR="0044493E" w:rsidRPr="008E2CAA" w:rsidRDefault="0044493E" w:rsidP="00277BD5">
      <w:pPr>
        <w:jc w:val="both"/>
        <w:rPr>
          <w:rFonts w:ascii="Times New Roman" w:hAnsi="Times New Roman" w:cs="Times New Roman"/>
          <w:sz w:val="24"/>
          <w:szCs w:val="24"/>
          <w:lang w:val="en-GB"/>
        </w:rPr>
        <w:sectPr w:rsidR="0044493E" w:rsidRPr="008E2CAA" w:rsidSect="00E07A27">
          <w:footerReference w:type="default" r:id="rId8"/>
          <w:pgSz w:w="11906" w:h="16838"/>
          <w:pgMar w:top="1440" w:right="1440" w:bottom="1440" w:left="1440" w:header="708" w:footer="708" w:gutter="0"/>
          <w:pgNumType w:start="0"/>
          <w:cols w:space="708"/>
          <w:titlePg/>
          <w:docGrid w:linePitch="360"/>
        </w:sectPr>
      </w:pPr>
    </w:p>
    <w:p w14:paraId="76049822" w14:textId="2C9A73F3" w:rsidR="00455834" w:rsidRPr="008E2CAA" w:rsidRDefault="0044493E" w:rsidP="0044493E">
      <w:pPr>
        <w:pStyle w:val="Heading1"/>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lastRenderedPageBreak/>
        <w:t>Introduction</w:t>
      </w:r>
    </w:p>
    <w:p w14:paraId="0B7D6BE0" w14:textId="3B24621A" w:rsidR="00136CDF" w:rsidRPr="008E2CAA" w:rsidRDefault="00136CDF" w:rsidP="00277BD5">
      <w:pPr>
        <w:jc w:val="both"/>
        <w:rPr>
          <w:rFonts w:ascii="Times New Roman" w:hAnsi="Times New Roman" w:cs="Times New Roman"/>
          <w:sz w:val="24"/>
          <w:szCs w:val="24"/>
          <w:lang w:val="en-GB" w:eastAsia="it-IT"/>
        </w:rPr>
      </w:pPr>
      <w:r w:rsidRPr="008E2CAA">
        <w:rPr>
          <w:rFonts w:ascii="Times New Roman" w:hAnsi="Times New Roman" w:cs="Times New Roman"/>
          <w:sz w:val="24"/>
          <w:szCs w:val="24"/>
          <w:lang w:val="en-GB"/>
        </w:rPr>
        <w:t xml:space="preserve">The aim of this paper is to examine current academic understanding of how and to what extent dedicated employability activities in Higher Education Institutions (HEIs) facilitate employability and ultimately graduate labour market outcomes. These employability activities are taken to encompass any activity organised within HEIs </w:t>
      </w:r>
      <w:r w:rsidR="00D26A47" w:rsidRPr="00622BF0">
        <w:rPr>
          <w:rFonts w:ascii="Times New Roman" w:hAnsi="Times New Roman" w:cs="Times New Roman"/>
          <w:sz w:val="24"/>
          <w:szCs w:val="24"/>
          <w:lang w:val="en-GB"/>
        </w:rPr>
        <w:t>to</w:t>
      </w:r>
      <w:r w:rsidRPr="008E2CAA">
        <w:rPr>
          <w:rFonts w:ascii="Times New Roman" w:hAnsi="Times New Roman" w:cs="Times New Roman"/>
          <w:sz w:val="24"/>
          <w:szCs w:val="24"/>
          <w:lang w:val="en-GB"/>
        </w:rPr>
        <w:t xml:space="preserve"> help students improve their employability and successfully navigate the labour market – from classroom-based activities to placements and internships. Diverse examples of these can be found in best practice case studies, such as compiled by Advance</w:t>
      </w:r>
      <w:r w:rsidRPr="009C7B09">
        <w:rPr>
          <w:rFonts w:ascii="Times New Roman" w:hAnsi="Times New Roman" w:cs="Times New Roman"/>
          <w:sz w:val="24"/>
          <w:szCs w:val="24"/>
          <w:lang w:val="en-GB"/>
        </w:rPr>
        <w:t>-HE in the UK (Norton &amp; Dalrymple, 2020</w:t>
      </w:r>
      <w:r w:rsidRPr="008E2CAA">
        <w:rPr>
          <w:rFonts w:ascii="Times New Roman" w:hAnsi="Times New Roman" w:cs="Times New Roman"/>
          <w:sz w:val="24"/>
          <w:szCs w:val="24"/>
          <w:lang w:val="en-GB"/>
        </w:rPr>
        <w:t>) and the National Association of Colleges and Employers (NACE) in the United States</w:t>
      </w:r>
      <w:r w:rsidRPr="00622BF0">
        <w:rPr>
          <w:rStyle w:val="FootnoteReference"/>
          <w:rFonts w:ascii="Times New Roman" w:hAnsi="Times New Roman" w:cs="Times New Roman"/>
          <w:sz w:val="24"/>
          <w:szCs w:val="24"/>
          <w:lang w:val="en-GB"/>
        </w:rPr>
        <w:footnoteReference w:id="2"/>
      </w:r>
      <w:r w:rsidRPr="008E2CAA">
        <w:rPr>
          <w:rFonts w:ascii="Times New Roman" w:hAnsi="Times New Roman" w:cs="Times New Roman"/>
          <w:sz w:val="24"/>
          <w:szCs w:val="24"/>
          <w:lang w:val="en-GB"/>
        </w:rPr>
        <w:t>.</w:t>
      </w:r>
    </w:p>
    <w:p w14:paraId="451897CA" w14:textId="40343649" w:rsidR="00136CDF" w:rsidRPr="008E2CAA" w:rsidRDefault="00136CDF"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eastAsia="it-IT"/>
        </w:rPr>
        <w:t>Employability has become part of the higher education mainstream globally (</w:t>
      </w:r>
      <w:proofErr w:type="spellStart"/>
      <w:r w:rsidRPr="009C7B09">
        <w:rPr>
          <w:rFonts w:ascii="Times New Roman" w:hAnsi="Times New Roman" w:cs="Times New Roman"/>
          <w:sz w:val="24"/>
          <w:szCs w:val="24"/>
          <w:lang w:val="en-GB" w:eastAsia="it-IT"/>
        </w:rPr>
        <w:t>Matherly</w:t>
      </w:r>
      <w:proofErr w:type="spellEnd"/>
      <w:r w:rsidRPr="009C7B09">
        <w:rPr>
          <w:rFonts w:ascii="Times New Roman" w:hAnsi="Times New Roman" w:cs="Times New Roman"/>
          <w:sz w:val="24"/>
          <w:szCs w:val="24"/>
          <w:lang w:val="en-GB" w:eastAsia="it-IT"/>
        </w:rPr>
        <w:t xml:space="preserve"> &amp; Tillman, 2015</w:t>
      </w:r>
      <w:r w:rsidRPr="008E2CAA">
        <w:rPr>
          <w:rFonts w:ascii="Times New Roman" w:hAnsi="Times New Roman" w:cs="Times New Roman"/>
          <w:sz w:val="24"/>
          <w:szCs w:val="24"/>
          <w:lang w:val="en-GB" w:eastAsia="it-IT"/>
        </w:rPr>
        <w:t>) as can be witnessed by publication of higher education rankings based on indicators of employability, such as QS</w:t>
      </w:r>
      <w:r w:rsidRPr="00622BF0">
        <w:rPr>
          <w:rStyle w:val="FootnoteReference"/>
          <w:rFonts w:ascii="Times New Roman" w:hAnsi="Times New Roman" w:cs="Times New Roman"/>
          <w:sz w:val="24"/>
          <w:szCs w:val="24"/>
          <w:lang w:val="en-GB" w:eastAsia="it-IT"/>
        </w:rPr>
        <w:footnoteReference w:id="3"/>
      </w:r>
      <w:r w:rsidRPr="008E2CAA">
        <w:rPr>
          <w:rFonts w:ascii="Times New Roman" w:hAnsi="Times New Roman" w:cs="Times New Roman"/>
          <w:sz w:val="24"/>
          <w:szCs w:val="24"/>
          <w:lang w:val="en-GB" w:eastAsia="it-IT"/>
        </w:rPr>
        <w:t xml:space="preserve"> and THE</w:t>
      </w:r>
      <w:r w:rsidRPr="00622BF0">
        <w:rPr>
          <w:rStyle w:val="FootnoteReference"/>
          <w:rFonts w:ascii="Times New Roman" w:hAnsi="Times New Roman" w:cs="Times New Roman"/>
          <w:sz w:val="24"/>
          <w:szCs w:val="24"/>
          <w:lang w:val="en-GB" w:eastAsia="it-IT"/>
        </w:rPr>
        <w:footnoteReference w:id="4"/>
      </w:r>
      <w:r w:rsidRPr="008E2CAA">
        <w:rPr>
          <w:rFonts w:ascii="Times New Roman" w:hAnsi="Times New Roman" w:cs="Times New Roman"/>
          <w:sz w:val="24"/>
          <w:szCs w:val="24"/>
          <w:lang w:val="en-GB" w:eastAsia="it-IT"/>
        </w:rPr>
        <w:t xml:space="preserve">. </w:t>
      </w:r>
      <w:r w:rsidR="00E24D52" w:rsidRPr="008E2CAA">
        <w:rPr>
          <w:rFonts w:ascii="Times New Roman" w:hAnsi="Times New Roman" w:cs="Times New Roman"/>
          <w:sz w:val="24"/>
          <w:szCs w:val="24"/>
          <w:lang w:val="en-GB"/>
        </w:rPr>
        <w:t xml:space="preserve">Employability has been at the centre of labour and educational policies in recent decades with international institutions such as the United Nations and the OECD promoting employability solutions (McQuaid &amp; Lindsay 2005). More recently, the influence of employability in policy debates can be seen through several publications of the European Union (EU), </w:t>
      </w:r>
      <w:r w:rsidRPr="008E2CAA">
        <w:rPr>
          <w:rFonts w:ascii="Times New Roman" w:hAnsi="Times New Roman" w:cs="Times New Roman"/>
          <w:sz w:val="24"/>
          <w:szCs w:val="24"/>
          <w:lang w:val="en-GB"/>
        </w:rPr>
        <w:t>including the 2016 Skills Agenda</w:t>
      </w:r>
      <w:r w:rsidR="00E24D52" w:rsidRPr="008E2CAA">
        <w:rPr>
          <w:rFonts w:ascii="Times New Roman" w:hAnsi="Times New Roman" w:cs="Times New Roman"/>
          <w:sz w:val="24"/>
          <w:szCs w:val="24"/>
          <w:lang w:val="en-GB"/>
        </w:rPr>
        <w:t xml:space="preserve"> and the</w:t>
      </w:r>
      <w:r w:rsidRPr="008E2CAA">
        <w:rPr>
          <w:rFonts w:ascii="Times New Roman" w:hAnsi="Times New Roman" w:cs="Times New Roman"/>
          <w:sz w:val="24"/>
          <w:szCs w:val="24"/>
          <w:lang w:val="en-GB"/>
        </w:rPr>
        <w:t xml:space="preserve"> Bologna declaration</w:t>
      </w:r>
      <w:r w:rsidR="00E24D52" w:rsidRPr="008E2CAA">
        <w:rPr>
          <w:rFonts w:ascii="Times New Roman" w:hAnsi="Times New Roman" w:cs="Times New Roman"/>
          <w:sz w:val="24"/>
          <w:szCs w:val="24"/>
          <w:lang w:val="en-GB"/>
        </w:rPr>
        <w:t xml:space="preserve">. In the United Kingdom (UK) </w:t>
      </w:r>
      <w:r w:rsidR="00A53FEE" w:rsidRPr="008E2CAA">
        <w:rPr>
          <w:rFonts w:ascii="Times New Roman" w:hAnsi="Times New Roman" w:cs="Times New Roman"/>
          <w:sz w:val="24"/>
          <w:szCs w:val="24"/>
          <w:lang w:val="en-GB"/>
        </w:rPr>
        <w:t>the influence of employability thinking can be seen</w:t>
      </w:r>
      <w:r w:rsidR="002B3835" w:rsidRPr="008E2CAA">
        <w:rPr>
          <w:rFonts w:ascii="Times New Roman" w:hAnsi="Times New Roman" w:cs="Times New Roman"/>
          <w:sz w:val="24"/>
          <w:szCs w:val="24"/>
          <w:lang w:val="en-GB"/>
        </w:rPr>
        <w:t xml:space="preserve"> in public policy</w:t>
      </w:r>
      <w:r w:rsidR="00F45FF7" w:rsidRPr="008E2CAA">
        <w:rPr>
          <w:rFonts w:ascii="Times New Roman" w:hAnsi="Times New Roman" w:cs="Times New Roman"/>
          <w:sz w:val="24"/>
          <w:szCs w:val="24"/>
          <w:lang w:val="en-GB"/>
        </w:rPr>
        <w:t xml:space="preserve"> focus on </w:t>
      </w:r>
      <w:r w:rsidR="002B3835" w:rsidRPr="008E2CAA">
        <w:rPr>
          <w:rFonts w:ascii="Times New Roman" w:hAnsi="Times New Roman" w:cs="Times New Roman"/>
          <w:sz w:val="24"/>
          <w:szCs w:val="24"/>
          <w:lang w:val="en-GB"/>
        </w:rPr>
        <w:t>graduate outcomes, e.g.</w:t>
      </w:r>
      <w:r w:rsidR="00FF795D" w:rsidRPr="008E2CAA">
        <w:rPr>
          <w:rFonts w:ascii="Times New Roman" w:hAnsi="Times New Roman" w:cs="Times New Roman"/>
          <w:sz w:val="24"/>
          <w:szCs w:val="24"/>
          <w:lang w:val="en-GB"/>
        </w:rPr>
        <w:t>,</w:t>
      </w:r>
      <w:r w:rsidR="00A53FEE" w:rsidRPr="008E2CAA">
        <w:rPr>
          <w:rFonts w:ascii="Times New Roman" w:hAnsi="Times New Roman" w:cs="Times New Roman"/>
          <w:sz w:val="24"/>
          <w:szCs w:val="24"/>
          <w:lang w:val="en-GB"/>
        </w:rPr>
        <w:t xml:space="preserve"> in the Teaching Excellence Framework (TEF)</w:t>
      </w:r>
      <w:r w:rsidR="002B3835" w:rsidRPr="008E2CAA">
        <w:rPr>
          <w:rFonts w:ascii="Times New Roman" w:hAnsi="Times New Roman" w:cs="Times New Roman"/>
          <w:sz w:val="24"/>
          <w:szCs w:val="24"/>
          <w:lang w:val="en-GB"/>
        </w:rPr>
        <w:t xml:space="preserve"> (DBIS, 2016).</w:t>
      </w:r>
    </w:p>
    <w:p w14:paraId="3DFE78BD" w14:textId="2C28B5F5" w:rsidR="002B3835" w:rsidRPr="008E2CAA" w:rsidRDefault="002B3835" w:rsidP="00277BD5">
      <w:pPr>
        <w:jc w:val="both"/>
        <w:rPr>
          <w:rFonts w:ascii="Times New Roman" w:hAnsi="Times New Roman" w:cs="Times New Roman"/>
          <w:sz w:val="24"/>
          <w:szCs w:val="24"/>
          <w:lang w:val="en-GB" w:eastAsia="it-IT"/>
        </w:rPr>
      </w:pPr>
      <w:r w:rsidRPr="008E2CAA">
        <w:rPr>
          <w:rFonts w:ascii="Times New Roman" w:hAnsi="Times New Roman" w:cs="Times New Roman"/>
          <w:sz w:val="24"/>
          <w:szCs w:val="24"/>
          <w:lang w:val="en-GB"/>
        </w:rPr>
        <w:t>The term employability has been criticised as a fuzzy notion, often ill-defined and sometimes not defined at all (</w:t>
      </w:r>
      <w:proofErr w:type="spellStart"/>
      <w:r w:rsidRPr="008E2CAA">
        <w:rPr>
          <w:rFonts w:ascii="Times New Roman" w:hAnsi="Times New Roman" w:cs="Times New Roman"/>
          <w:sz w:val="24"/>
          <w:szCs w:val="24"/>
          <w:lang w:val="en-GB"/>
        </w:rPr>
        <w:t>Gazier</w:t>
      </w:r>
      <w:proofErr w:type="spellEnd"/>
      <w:r w:rsidRPr="008E2CAA">
        <w:rPr>
          <w:rFonts w:ascii="Times New Roman" w:hAnsi="Times New Roman" w:cs="Times New Roman"/>
          <w:sz w:val="24"/>
          <w:szCs w:val="24"/>
          <w:lang w:val="en-GB"/>
        </w:rPr>
        <w:t xml:space="preserve">, 1998 p. 298) and being </w:t>
      </w:r>
      <w:r w:rsidR="00136CDF" w:rsidRPr="008E2CAA">
        <w:rPr>
          <w:rFonts w:ascii="Times New Roman" w:hAnsi="Times New Roman" w:cs="Times New Roman"/>
          <w:sz w:val="24"/>
          <w:szCs w:val="24"/>
          <w:lang w:val="en-GB"/>
        </w:rPr>
        <w:t>a “buzz</w:t>
      </w:r>
      <w:r w:rsidR="00FF795D" w:rsidRPr="008E2CAA">
        <w:rPr>
          <w:rFonts w:ascii="Times New Roman" w:hAnsi="Times New Roman" w:cs="Times New Roman"/>
          <w:sz w:val="24"/>
          <w:szCs w:val="24"/>
          <w:lang w:val="en-GB"/>
        </w:rPr>
        <w:t>-</w:t>
      </w:r>
      <w:r w:rsidR="00136CDF" w:rsidRPr="008E2CAA">
        <w:rPr>
          <w:rFonts w:ascii="Times New Roman" w:hAnsi="Times New Roman" w:cs="Times New Roman"/>
          <w:sz w:val="24"/>
          <w:szCs w:val="24"/>
          <w:lang w:val="en-GB"/>
        </w:rPr>
        <w:t>word” that is more often used than properly understood (Philpott, 1999).</w:t>
      </w:r>
      <w:r w:rsidRPr="008E2CAA">
        <w:rPr>
          <w:rFonts w:ascii="Times New Roman" w:hAnsi="Times New Roman" w:cs="Times New Roman"/>
          <w:sz w:val="24"/>
          <w:szCs w:val="24"/>
          <w:lang w:val="en-GB"/>
        </w:rPr>
        <w:t xml:space="preserve"> Several definitions of employability can be found in the literature to date and as Cheng et al (2022) point out in their review, perceptions vary between different stakeholders. </w:t>
      </w:r>
      <w:proofErr w:type="spellStart"/>
      <w:r w:rsidRPr="001C0CA9">
        <w:rPr>
          <w:rFonts w:ascii="Times New Roman" w:hAnsi="Times New Roman" w:cs="Times New Roman"/>
          <w:sz w:val="24"/>
          <w:szCs w:val="24"/>
          <w:lang w:val="en-GB"/>
        </w:rPr>
        <w:t>Hillage</w:t>
      </w:r>
      <w:proofErr w:type="spellEnd"/>
      <w:r w:rsidRPr="001C0CA9">
        <w:rPr>
          <w:rFonts w:ascii="Times New Roman" w:hAnsi="Times New Roman" w:cs="Times New Roman"/>
          <w:sz w:val="24"/>
          <w:szCs w:val="24"/>
          <w:lang w:val="en-GB"/>
        </w:rPr>
        <w:t xml:space="preserve"> &amp; Pollard (1998, p.1) argue employability is about “having the capability to gain initial employment, maintain employment and obtain new employment if required”. This is challenged by Brown et al (2003), who argue that employability is not only about the individual, but also economic context and job competition. Therefore, they define it as “the relative chances of acquiring and maintaining different kinds of employment” (p. 111). Similarly, McQuaid &amp; Lindsay (2005) review the use of the term in policy discourse and highlight the risk of reducing employability simply to an individual attribute. Instead, they present a broader framework that </w:t>
      </w:r>
      <w:r w:rsidR="00F45FF7" w:rsidRPr="001C0CA9">
        <w:rPr>
          <w:rFonts w:ascii="Times New Roman" w:hAnsi="Times New Roman" w:cs="Times New Roman"/>
          <w:sz w:val="24"/>
          <w:szCs w:val="24"/>
          <w:lang w:val="en-GB"/>
        </w:rPr>
        <w:t xml:space="preserve">also </w:t>
      </w:r>
      <w:r w:rsidRPr="001C0CA9">
        <w:rPr>
          <w:rFonts w:ascii="Times New Roman" w:hAnsi="Times New Roman" w:cs="Times New Roman"/>
          <w:sz w:val="24"/>
          <w:szCs w:val="24"/>
          <w:lang w:val="en-GB"/>
        </w:rPr>
        <w:t>takes account of personal circumstances</w:t>
      </w:r>
      <w:r w:rsidRPr="008E2CAA">
        <w:rPr>
          <w:rFonts w:ascii="Times New Roman" w:hAnsi="Times New Roman" w:cs="Times New Roman"/>
          <w:sz w:val="24"/>
          <w:szCs w:val="24"/>
          <w:lang w:val="en-GB"/>
        </w:rPr>
        <w:t xml:space="preserve"> (e.g.</w:t>
      </w:r>
      <w:r w:rsidR="00FF795D" w:rsidRPr="008E2CAA">
        <w:rPr>
          <w:rFonts w:ascii="Times New Roman" w:hAnsi="Times New Roman" w:cs="Times New Roman"/>
          <w:sz w:val="24"/>
          <w:szCs w:val="24"/>
          <w:lang w:val="en-GB"/>
        </w:rPr>
        <w:t>,</w:t>
      </w:r>
      <w:r w:rsidRPr="008E2CAA">
        <w:rPr>
          <w:rFonts w:ascii="Times New Roman" w:hAnsi="Times New Roman" w:cs="Times New Roman"/>
          <w:sz w:val="24"/>
          <w:szCs w:val="24"/>
          <w:lang w:val="en-GB"/>
        </w:rPr>
        <w:t xml:space="preserve"> caring responsibilities) and external factors. Yorke (2006, p. 8), stress</w:t>
      </w:r>
      <w:r w:rsidR="00F45FF7" w:rsidRPr="008E2CAA">
        <w:rPr>
          <w:rFonts w:ascii="Times New Roman" w:hAnsi="Times New Roman" w:cs="Times New Roman"/>
          <w:sz w:val="24"/>
          <w:szCs w:val="24"/>
          <w:lang w:val="en-GB"/>
        </w:rPr>
        <w:t>es</w:t>
      </w:r>
      <w:r w:rsidRPr="008E2CAA">
        <w:rPr>
          <w:rFonts w:ascii="Times New Roman" w:hAnsi="Times New Roman" w:cs="Times New Roman"/>
          <w:sz w:val="24"/>
          <w:szCs w:val="24"/>
          <w:lang w:val="en-GB"/>
        </w:rPr>
        <w:t xml:space="preserve"> that employability should be seen in probabilistic terms and the conception of skills needs to be broad, defining employability as “a set of achievements – skills, understandings and personal attributes – that makes graduates more likely to gain employment and be successful in their chosen occupations”. A recent literature review by </w:t>
      </w:r>
      <w:proofErr w:type="spellStart"/>
      <w:r w:rsidRPr="008E2CAA">
        <w:rPr>
          <w:rFonts w:ascii="Times New Roman" w:hAnsi="Times New Roman" w:cs="Times New Roman"/>
          <w:sz w:val="24"/>
          <w:szCs w:val="24"/>
          <w:lang w:val="en-GB"/>
        </w:rPr>
        <w:t>Peeters</w:t>
      </w:r>
      <w:proofErr w:type="spellEnd"/>
      <w:r w:rsidRPr="008E2CAA">
        <w:rPr>
          <w:rFonts w:ascii="Times New Roman" w:hAnsi="Times New Roman" w:cs="Times New Roman"/>
          <w:sz w:val="24"/>
          <w:szCs w:val="24"/>
          <w:lang w:val="en-GB"/>
        </w:rPr>
        <w:t xml:space="preserve"> et al (2019) proposes a classification for the different categories of skills that may contribute to employability and be cultivated through employability activities in HEIs.</w:t>
      </w:r>
      <w:r w:rsidR="004E4619">
        <w:rPr>
          <w:rFonts w:ascii="Times New Roman" w:hAnsi="Times New Roman" w:cs="Times New Roman"/>
          <w:sz w:val="24"/>
          <w:szCs w:val="24"/>
          <w:lang w:val="en-GB"/>
        </w:rPr>
        <w:t xml:space="preserve"> </w:t>
      </w:r>
    </w:p>
    <w:p w14:paraId="4DE818A5" w14:textId="0A084811" w:rsidR="002B3835" w:rsidRPr="008E2CAA" w:rsidRDefault="00E922FC"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In order to map the current </w:t>
      </w:r>
      <w:r w:rsidR="002B3835" w:rsidRPr="008E2CAA">
        <w:rPr>
          <w:rFonts w:ascii="Times New Roman" w:hAnsi="Times New Roman" w:cs="Times New Roman"/>
          <w:sz w:val="24"/>
          <w:szCs w:val="24"/>
          <w:lang w:val="en-GB"/>
        </w:rPr>
        <w:t>research frontier on</w:t>
      </w:r>
      <w:r w:rsidR="002839FE" w:rsidRPr="008E2CAA">
        <w:rPr>
          <w:rFonts w:ascii="Times New Roman" w:hAnsi="Times New Roman" w:cs="Times New Roman"/>
          <w:sz w:val="24"/>
          <w:szCs w:val="24"/>
          <w:lang w:val="en-GB"/>
        </w:rPr>
        <w:t xml:space="preserve"> the impact of</w:t>
      </w:r>
      <w:r w:rsidR="002B3835" w:rsidRPr="008E2CAA">
        <w:rPr>
          <w:rFonts w:ascii="Times New Roman" w:hAnsi="Times New Roman" w:cs="Times New Roman"/>
          <w:sz w:val="24"/>
          <w:szCs w:val="24"/>
          <w:lang w:val="en-GB"/>
        </w:rPr>
        <w:t xml:space="preserve"> employability activities in HEIs, we </w:t>
      </w:r>
      <w:r w:rsidRPr="008E2CAA">
        <w:rPr>
          <w:rFonts w:ascii="Times New Roman" w:hAnsi="Times New Roman" w:cs="Times New Roman"/>
          <w:sz w:val="24"/>
          <w:szCs w:val="24"/>
          <w:lang w:val="en-GB"/>
        </w:rPr>
        <w:t xml:space="preserve">adopt an evaluation stance seeking to identify evidence on the pathways through which </w:t>
      </w:r>
      <w:r w:rsidRPr="008E2CAA">
        <w:rPr>
          <w:rFonts w:ascii="Times New Roman" w:hAnsi="Times New Roman" w:cs="Times New Roman"/>
          <w:sz w:val="24"/>
          <w:szCs w:val="24"/>
          <w:lang w:val="en-GB"/>
        </w:rPr>
        <w:lastRenderedPageBreak/>
        <w:t xml:space="preserve">employability activities impact on students and their graduate outcomes and to what extent these activities can </w:t>
      </w:r>
      <w:r w:rsidRPr="009C7B09">
        <w:rPr>
          <w:rFonts w:ascii="Times New Roman" w:hAnsi="Times New Roman" w:cs="Times New Roman"/>
          <w:sz w:val="24"/>
          <w:szCs w:val="24"/>
          <w:lang w:val="en-GB"/>
        </w:rPr>
        <w:t>be deemed to be effective. To classify findings, we adopt simple conceptual framework of a logic model (</w:t>
      </w:r>
      <w:r w:rsidR="00C17394" w:rsidRPr="009C7B09">
        <w:rPr>
          <w:rFonts w:ascii="Times New Roman" w:hAnsi="Times New Roman" w:cs="Times New Roman"/>
          <w:sz w:val="24"/>
          <w:szCs w:val="24"/>
          <w:lang w:val="en-GB"/>
        </w:rPr>
        <w:t>see McLaughlin &amp; Jordan, 2015, on use of logic models in evaluation research)</w:t>
      </w:r>
      <w:r w:rsidRPr="009C7B09">
        <w:rPr>
          <w:rFonts w:ascii="Times New Roman" w:hAnsi="Times New Roman" w:cs="Times New Roman"/>
          <w:sz w:val="24"/>
          <w:szCs w:val="24"/>
          <w:lang w:val="en-GB"/>
        </w:rPr>
        <w:t xml:space="preserve"> of activities, outputs and outcomes identified separately</w:t>
      </w:r>
      <w:r w:rsidRPr="008E2CAA">
        <w:rPr>
          <w:rFonts w:ascii="Times New Roman" w:hAnsi="Times New Roman" w:cs="Times New Roman"/>
          <w:sz w:val="24"/>
          <w:szCs w:val="24"/>
          <w:lang w:val="en-GB"/>
        </w:rPr>
        <w:t xml:space="preserve"> for each of</w:t>
      </w:r>
      <w:r w:rsidR="00F45FF7" w:rsidRPr="008E2CAA">
        <w:rPr>
          <w:rFonts w:ascii="Times New Roman" w:hAnsi="Times New Roman" w:cs="Times New Roman"/>
          <w:sz w:val="24"/>
          <w:szCs w:val="24"/>
          <w:lang w:val="en-GB"/>
        </w:rPr>
        <w:t xml:space="preserve"> three </w:t>
      </w:r>
      <w:r w:rsidRPr="008E2CAA">
        <w:rPr>
          <w:rFonts w:ascii="Times New Roman" w:hAnsi="Times New Roman" w:cs="Times New Roman"/>
          <w:sz w:val="24"/>
          <w:szCs w:val="24"/>
          <w:lang w:val="en-GB"/>
        </w:rPr>
        <w:t xml:space="preserve">stakeholders, </w:t>
      </w:r>
      <w:r w:rsidR="00C17394" w:rsidRPr="008E2CAA">
        <w:rPr>
          <w:rFonts w:ascii="Times New Roman" w:hAnsi="Times New Roman" w:cs="Times New Roman"/>
          <w:sz w:val="24"/>
          <w:szCs w:val="24"/>
          <w:lang w:val="en-GB"/>
        </w:rPr>
        <w:t>(prospective) graduates, HEIs</w:t>
      </w:r>
      <w:r w:rsidRPr="008E2CAA">
        <w:rPr>
          <w:rFonts w:ascii="Times New Roman" w:hAnsi="Times New Roman" w:cs="Times New Roman"/>
          <w:sz w:val="24"/>
          <w:szCs w:val="24"/>
          <w:lang w:val="en-GB"/>
        </w:rPr>
        <w:t xml:space="preserve"> and employers. </w:t>
      </w:r>
    </w:p>
    <w:p w14:paraId="066FB34F" w14:textId="46971B40" w:rsidR="002B3835" w:rsidRPr="008E2CAA" w:rsidRDefault="002B3835"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Our conceptual framework entails analysing the main stakeholders involved in the process. The first are</w:t>
      </w:r>
      <w:r w:rsidR="00F45FF7" w:rsidRPr="008E2CAA">
        <w:rPr>
          <w:rFonts w:ascii="Times New Roman" w:hAnsi="Times New Roman" w:cs="Times New Roman"/>
          <w:sz w:val="24"/>
          <w:szCs w:val="24"/>
          <w:lang w:val="en-GB"/>
        </w:rPr>
        <w:t xml:space="preserve"> the (prospective)</w:t>
      </w:r>
      <w:r w:rsidRPr="008E2CAA">
        <w:rPr>
          <w:rFonts w:ascii="Times New Roman" w:hAnsi="Times New Roman" w:cs="Times New Roman"/>
          <w:sz w:val="24"/>
          <w:szCs w:val="24"/>
          <w:lang w:val="en-GB"/>
        </w:rPr>
        <w:t xml:space="preserve"> graduates themselves, who need to possess and develop the required set of knowledge, skills, attitudes, </w:t>
      </w:r>
      <w:r w:rsidR="00FF795D" w:rsidRPr="008E2CAA">
        <w:rPr>
          <w:rFonts w:ascii="Times New Roman" w:hAnsi="Times New Roman" w:cs="Times New Roman"/>
          <w:sz w:val="24"/>
          <w:szCs w:val="24"/>
          <w:lang w:val="en-GB"/>
        </w:rPr>
        <w:t>attributes,</w:t>
      </w:r>
      <w:r w:rsidRPr="008E2CAA">
        <w:rPr>
          <w:rFonts w:ascii="Times New Roman" w:hAnsi="Times New Roman" w:cs="Times New Roman"/>
          <w:sz w:val="24"/>
          <w:szCs w:val="24"/>
          <w:lang w:val="en-GB"/>
        </w:rPr>
        <w:t xml:space="preserve"> and understandings that allow them (</w:t>
      </w:r>
      <w:proofErr w:type="spellStart"/>
      <w:r w:rsidRPr="008E2CAA">
        <w:rPr>
          <w:rFonts w:ascii="Times New Roman" w:hAnsi="Times New Roman" w:cs="Times New Roman"/>
          <w:sz w:val="24"/>
          <w:szCs w:val="24"/>
          <w:lang w:val="en-GB"/>
        </w:rPr>
        <w:t>i</w:t>
      </w:r>
      <w:proofErr w:type="spellEnd"/>
      <w:r w:rsidRPr="008E2CAA">
        <w:rPr>
          <w:rFonts w:ascii="Times New Roman" w:hAnsi="Times New Roman" w:cs="Times New Roman"/>
          <w:sz w:val="24"/>
          <w:szCs w:val="24"/>
          <w:lang w:val="en-GB"/>
        </w:rPr>
        <w:t xml:space="preserve">) to find and retain sustainable employment; (ii) obtain a new one when needed; and (iii) to bring their know-how and skills to the employers to ensure their proper and effective functioning. The second actors are the HEIs, which </w:t>
      </w:r>
      <w:r w:rsidR="00FF795D" w:rsidRPr="008E2CAA">
        <w:rPr>
          <w:rFonts w:ascii="Times New Roman" w:hAnsi="Times New Roman" w:cs="Times New Roman"/>
          <w:sz w:val="24"/>
          <w:szCs w:val="24"/>
          <w:lang w:val="en-GB"/>
        </w:rPr>
        <w:t>oversee</w:t>
      </w:r>
      <w:r w:rsidRPr="008E2CAA">
        <w:rPr>
          <w:rFonts w:ascii="Times New Roman" w:hAnsi="Times New Roman" w:cs="Times New Roman"/>
          <w:sz w:val="24"/>
          <w:szCs w:val="24"/>
          <w:lang w:val="en-GB"/>
        </w:rPr>
        <w:t xml:space="preserve"> </w:t>
      </w:r>
      <w:r w:rsidR="00F45FF7" w:rsidRPr="008E2CAA">
        <w:rPr>
          <w:rFonts w:ascii="Times New Roman" w:hAnsi="Times New Roman" w:cs="Times New Roman"/>
          <w:sz w:val="24"/>
          <w:szCs w:val="24"/>
          <w:lang w:val="en-GB"/>
        </w:rPr>
        <w:t xml:space="preserve">facilitating appropriate </w:t>
      </w:r>
      <w:r w:rsidR="00F45FF7" w:rsidRPr="001C0CA9">
        <w:rPr>
          <w:rFonts w:ascii="Times New Roman" w:hAnsi="Times New Roman" w:cs="Times New Roman"/>
          <w:sz w:val="24"/>
          <w:szCs w:val="24"/>
          <w:lang w:val="en-GB"/>
        </w:rPr>
        <w:t>learning to support</w:t>
      </w:r>
      <w:r w:rsidRPr="001C0CA9">
        <w:rPr>
          <w:rFonts w:ascii="Times New Roman" w:hAnsi="Times New Roman" w:cs="Times New Roman"/>
          <w:sz w:val="24"/>
          <w:szCs w:val="24"/>
          <w:lang w:val="en-GB"/>
        </w:rPr>
        <w:t xml:space="preserve"> school-to-work transition</w:t>
      </w:r>
      <w:r w:rsidR="00FA1963" w:rsidRPr="001C0CA9">
        <w:rPr>
          <w:rFonts w:ascii="Times New Roman" w:hAnsi="Times New Roman" w:cs="Times New Roman"/>
          <w:sz w:val="24"/>
          <w:szCs w:val="24"/>
          <w:lang w:val="en-GB"/>
        </w:rPr>
        <w:t xml:space="preserve">s. This coincides with HEIs increasingly combining academic with vocational learning (Martin et al. 2020) and historically vocationally centre institutions having been transformed into HEIs, such as the post 1992s in the UK or universities of applied sciences in Austria and Germany (Powell &amp; </w:t>
      </w:r>
      <w:proofErr w:type="spellStart"/>
      <w:r w:rsidR="00FA1963" w:rsidRPr="001C0CA9">
        <w:rPr>
          <w:rFonts w:ascii="Times New Roman" w:hAnsi="Times New Roman" w:cs="Times New Roman"/>
          <w:sz w:val="24"/>
          <w:szCs w:val="24"/>
          <w:lang w:val="en-GB"/>
        </w:rPr>
        <w:t>Solga</w:t>
      </w:r>
      <w:proofErr w:type="spellEnd"/>
      <w:r w:rsidR="00FA1963" w:rsidRPr="001C0CA9">
        <w:rPr>
          <w:rFonts w:ascii="Times New Roman" w:hAnsi="Times New Roman" w:cs="Times New Roman"/>
          <w:sz w:val="24"/>
          <w:szCs w:val="24"/>
          <w:lang w:val="en-GB"/>
        </w:rPr>
        <w:t xml:space="preserve"> 2010). The third are the employers that are assumed to coordinate with the HEIs to indicate</w:t>
      </w:r>
      <w:r w:rsidR="00FA1963" w:rsidRPr="008E2CAA">
        <w:rPr>
          <w:rFonts w:ascii="Times New Roman" w:hAnsi="Times New Roman" w:cs="Times New Roman"/>
          <w:sz w:val="24"/>
          <w:szCs w:val="24"/>
          <w:lang w:val="en-GB"/>
        </w:rPr>
        <w:t xml:space="preserve"> which skills and abilities are mostly required. These three groups of stakeholders are nested within a policy environment shaped by government (Reid, 2016; Watkins et al, 2018).</w:t>
      </w:r>
    </w:p>
    <w:p w14:paraId="34241922" w14:textId="56D32418" w:rsidR="007B232B" w:rsidRPr="008E2CAA" w:rsidRDefault="00DA7E5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The corpus consists of 87 academic papers published in the last two decades that were identified though a sequence of keyword search followed by an iterative evaluation of the relevance of each paper. This literature suggests all stakeholders value employability activities for similar reasons. They are seen as vital part of HEI education programmes, facilitating the development of diverse skills that are desirable in the labour market as well as de-risking labour market entry for students and appointments for employers by alleviating information asymmetries. However, the evidence base is dominated by small-scale case studies and evaluations, mostly carried out by the providers themselves. These are not sufficiently robust to infer about causal impacts of employability activities on </w:t>
      </w:r>
      <w:r w:rsidR="00FF795D" w:rsidRPr="008E2CAA">
        <w:rPr>
          <w:rFonts w:ascii="Times New Roman" w:hAnsi="Times New Roman" w:cs="Times New Roman"/>
          <w:sz w:val="24"/>
          <w:szCs w:val="24"/>
          <w:lang w:val="en-GB"/>
        </w:rPr>
        <w:t>students’</w:t>
      </w:r>
      <w:r w:rsidRPr="008E2CAA">
        <w:rPr>
          <w:rFonts w:ascii="Times New Roman" w:hAnsi="Times New Roman" w:cs="Times New Roman"/>
          <w:sz w:val="24"/>
          <w:szCs w:val="24"/>
          <w:lang w:val="en-GB"/>
        </w:rPr>
        <w:t xml:space="preserve"> development and labour market outcomes. Lack of suitable data is an obvious limitation for any prospective evaluation of </w:t>
      </w:r>
      <w:r w:rsidR="00B5516D" w:rsidRPr="008E2CAA">
        <w:rPr>
          <w:rFonts w:ascii="Times New Roman" w:hAnsi="Times New Roman" w:cs="Times New Roman"/>
          <w:sz w:val="24"/>
          <w:szCs w:val="24"/>
          <w:lang w:val="en-GB"/>
        </w:rPr>
        <w:t xml:space="preserve">employability </w:t>
      </w:r>
      <w:r w:rsidR="008040C3" w:rsidRPr="008E2CAA">
        <w:rPr>
          <w:rFonts w:ascii="Times New Roman" w:hAnsi="Times New Roman" w:cs="Times New Roman"/>
          <w:sz w:val="24"/>
          <w:szCs w:val="24"/>
          <w:lang w:val="en-GB"/>
        </w:rPr>
        <w:t>activities</w:t>
      </w:r>
      <w:r w:rsidR="00B5516D" w:rsidRPr="008E2CAA">
        <w:rPr>
          <w:rFonts w:ascii="Times New Roman" w:hAnsi="Times New Roman" w:cs="Times New Roman"/>
          <w:sz w:val="24"/>
          <w:szCs w:val="24"/>
          <w:lang w:val="en-GB"/>
        </w:rPr>
        <w:t>.</w:t>
      </w:r>
      <w:r w:rsidR="008040C3" w:rsidRPr="008E2CAA">
        <w:rPr>
          <w:rFonts w:ascii="Times New Roman" w:hAnsi="Times New Roman" w:cs="Times New Roman"/>
          <w:sz w:val="24"/>
          <w:szCs w:val="24"/>
          <w:lang w:val="en-GB"/>
        </w:rPr>
        <w:t xml:space="preserve"> However, even before an evaluation can be designed and data collected, it is necessary to establish a clear theory of change, i.e.</w:t>
      </w:r>
      <w:r w:rsidR="00FF795D" w:rsidRPr="008E2CAA">
        <w:rPr>
          <w:rFonts w:ascii="Times New Roman" w:hAnsi="Times New Roman" w:cs="Times New Roman"/>
          <w:sz w:val="24"/>
          <w:szCs w:val="24"/>
          <w:lang w:val="en-GB"/>
        </w:rPr>
        <w:t>,</w:t>
      </w:r>
      <w:r w:rsidR="008040C3" w:rsidRPr="008E2CAA">
        <w:rPr>
          <w:rFonts w:ascii="Times New Roman" w:hAnsi="Times New Roman" w:cs="Times New Roman"/>
          <w:sz w:val="24"/>
          <w:szCs w:val="24"/>
          <w:lang w:val="en-GB"/>
        </w:rPr>
        <w:t xml:space="preserve"> what are employability activities intended to achieve and how? Purpose of employability activities tends to be implicit rather than explicit and one of the contributions of this review is to articulate a theory of change for employability activities based on the </w:t>
      </w:r>
      <w:r w:rsidR="00622BF0">
        <w:rPr>
          <w:rFonts w:ascii="Times New Roman" w:hAnsi="Times New Roman" w:cs="Times New Roman"/>
          <w:sz w:val="24"/>
          <w:szCs w:val="24"/>
          <w:lang w:val="en-GB"/>
        </w:rPr>
        <w:t xml:space="preserve">evidence extracted from the </w:t>
      </w:r>
      <w:r w:rsidR="008040C3" w:rsidRPr="008E2CAA">
        <w:rPr>
          <w:rFonts w:ascii="Times New Roman" w:hAnsi="Times New Roman" w:cs="Times New Roman"/>
          <w:sz w:val="24"/>
          <w:szCs w:val="24"/>
          <w:lang w:val="en-GB"/>
        </w:rPr>
        <w:t xml:space="preserve">corpus. Another limitation of the </w:t>
      </w:r>
      <w:r w:rsidR="00622BF0">
        <w:rPr>
          <w:rFonts w:ascii="Times New Roman" w:hAnsi="Times New Roman" w:cs="Times New Roman"/>
          <w:sz w:val="24"/>
          <w:szCs w:val="24"/>
          <w:lang w:val="en-GB"/>
        </w:rPr>
        <w:t>reviewed literature</w:t>
      </w:r>
      <w:r w:rsidR="00622BF0" w:rsidRPr="008E2CAA">
        <w:rPr>
          <w:rFonts w:ascii="Times New Roman" w:hAnsi="Times New Roman" w:cs="Times New Roman"/>
          <w:sz w:val="24"/>
          <w:szCs w:val="24"/>
          <w:lang w:val="en-GB"/>
        </w:rPr>
        <w:t xml:space="preserve"> </w:t>
      </w:r>
      <w:r w:rsidR="008040C3" w:rsidRPr="008E2CAA">
        <w:rPr>
          <w:rFonts w:ascii="Times New Roman" w:hAnsi="Times New Roman" w:cs="Times New Roman"/>
          <w:sz w:val="24"/>
          <w:szCs w:val="24"/>
          <w:lang w:val="en-GB"/>
        </w:rPr>
        <w:t xml:space="preserve">is </w:t>
      </w:r>
      <w:r w:rsidR="00622BF0">
        <w:rPr>
          <w:rFonts w:ascii="Times New Roman" w:hAnsi="Times New Roman" w:cs="Times New Roman"/>
          <w:sz w:val="24"/>
          <w:szCs w:val="24"/>
          <w:lang w:val="en-GB"/>
        </w:rPr>
        <w:t>its lack of</w:t>
      </w:r>
      <w:r w:rsidR="008040C3" w:rsidRPr="008E2CAA">
        <w:rPr>
          <w:rFonts w:ascii="Times New Roman" w:hAnsi="Times New Roman" w:cs="Times New Roman"/>
          <w:sz w:val="24"/>
          <w:szCs w:val="24"/>
          <w:lang w:val="en-GB"/>
        </w:rPr>
        <w:t xml:space="preserve"> comprehensive</w:t>
      </w:r>
      <w:r w:rsidR="00622BF0">
        <w:rPr>
          <w:rFonts w:ascii="Times New Roman" w:hAnsi="Times New Roman" w:cs="Times New Roman"/>
          <w:sz w:val="24"/>
          <w:szCs w:val="24"/>
          <w:lang w:val="en-GB"/>
        </w:rPr>
        <w:t>ness</w:t>
      </w:r>
      <w:r w:rsidR="008040C3" w:rsidRPr="008E2CAA">
        <w:rPr>
          <w:rFonts w:ascii="Times New Roman" w:hAnsi="Times New Roman" w:cs="Times New Roman"/>
          <w:sz w:val="24"/>
          <w:szCs w:val="24"/>
          <w:lang w:val="en-GB"/>
        </w:rPr>
        <w:t xml:space="preserve"> in </w:t>
      </w:r>
      <w:r w:rsidR="00622BF0">
        <w:rPr>
          <w:rFonts w:ascii="Times New Roman" w:hAnsi="Times New Roman" w:cs="Times New Roman"/>
          <w:sz w:val="24"/>
          <w:szCs w:val="24"/>
          <w:lang w:val="en-GB"/>
        </w:rPr>
        <w:t xml:space="preserve">the </w:t>
      </w:r>
      <w:r w:rsidR="008040C3" w:rsidRPr="008E2CAA">
        <w:rPr>
          <w:rFonts w:ascii="Times New Roman" w:hAnsi="Times New Roman" w:cs="Times New Roman"/>
          <w:sz w:val="24"/>
          <w:szCs w:val="24"/>
          <w:lang w:val="en-GB"/>
        </w:rPr>
        <w:t xml:space="preserve">coverage of different </w:t>
      </w:r>
      <w:r w:rsidR="00622BF0">
        <w:rPr>
          <w:rFonts w:ascii="Times New Roman" w:hAnsi="Times New Roman" w:cs="Times New Roman"/>
          <w:sz w:val="24"/>
          <w:szCs w:val="24"/>
          <w:lang w:val="en-GB"/>
        </w:rPr>
        <w:t xml:space="preserve">modality </w:t>
      </w:r>
      <w:r w:rsidR="008040C3" w:rsidRPr="008E2CAA">
        <w:rPr>
          <w:rFonts w:ascii="Times New Roman" w:hAnsi="Times New Roman" w:cs="Times New Roman"/>
          <w:sz w:val="24"/>
          <w:szCs w:val="24"/>
          <w:lang w:val="en-GB"/>
        </w:rPr>
        <w:t>of employability activities. It is</w:t>
      </w:r>
      <w:r w:rsidRPr="008E2CAA">
        <w:rPr>
          <w:rFonts w:ascii="Times New Roman" w:hAnsi="Times New Roman" w:cs="Times New Roman"/>
          <w:sz w:val="24"/>
          <w:szCs w:val="24"/>
          <w:lang w:val="en-GB"/>
        </w:rPr>
        <w:t xml:space="preserve"> skewed towards studies of Work-Based Learning (WBL) programmes </w:t>
      </w:r>
      <w:r w:rsidR="008040C3" w:rsidRPr="008E2CAA">
        <w:rPr>
          <w:rFonts w:ascii="Times New Roman" w:hAnsi="Times New Roman" w:cs="Times New Roman"/>
          <w:sz w:val="24"/>
          <w:szCs w:val="24"/>
          <w:lang w:val="en-GB"/>
        </w:rPr>
        <w:t xml:space="preserve">with a notable </w:t>
      </w:r>
      <w:r w:rsidR="00622BF0">
        <w:rPr>
          <w:rFonts w:ascii="Times New Roman" w:hAnsi="Times New Roman" w:cs="Times New Roman"/>
          <w:sz w:val="24"/>
          <w:szCs w:val="24"/>
          <w:lang w:val="en-GB"/>
        </w:rPr>
        <w:t>gap</w:t>
      </w:r>
      <w:r w:rsidR="00622BF0" w:rsidRPr="008E2CAA">
        <w:rPr>
          <w:rFonts w:ascii="Times New Roman" w:hAnsi="Times New Roman" w:cs="Times New Roman"/>
          <w:sz w:val="24"/>
          <w:szCs w:val="24"/>
          <w:lang w:val="en-GB"/>
        </w:rPr>
        <w:t xml:space="preserve"> </w:t>
      </w:r>
      <w:r w:rsidR="008040C3" w:rsidRPr="008E2CAA">
        <w:rPr>
          <w:rFonts w:ascii="Times New Roman" w:hAnsi="Times New Roman" w:cs="Times New Roman"/>
          <w:sz w:val="24"/>
          <w:szCs w:val="24"/>
          <w:lang w:val="en-GB"/>
        </w:rPr>
        <w:t xml:space="preserve">of work looking at less intensive </w:t>
      </w:r>
      <w:r w:rsidRPr="008E2CAA">
        <w:rPr>
          <w:rFonts w:ascii="Times New Roman" w:hAnsi="Times New Roman" w:cs="Times New Roman"/>
          <w:sz w:val="24"/>
          <w:szCs w:val="24"/>
          <w:lang w:val="en-GB"/>
        </w:rPr>
        <w:t>“embedded employability”</w:t>
      </w:r>
      <w:r w:rsidR="008040C3" w:rsidRPr="008E2CAA">
        <w:rPr>
          <w:rFonts w:ascii="Times New Roman" w:hAnsi="Times New Roman" w:cs="Times New Roman"/>
          <w:sz w:val="24"/>
          <w:szCs w:val="24"/>
          <w:lang w:val="en-GB"/>
        </w:rPr>
        <w:t xml:space="preserve"> programmes in HEIs</w:t>
      </w:r>
      <w:r w:rsidRPr="008E2CAA">
        <w:rPr>
          <w:rFonts w:ascii="Times New Roman" w:hAnsi="Times New Roman" w:cs="Times New Roman"/>
          <w:sz w:val="24"/>
          <w:szCs w:val="24"/>
          <w:lang w:val="en-GB"/>
        </w:rPr>
        <w:t>.</w:t>
      </w:r>
    </w:p>
    <w:p w14:paraId="3DB289F4" w14:textId="5200B16C" w:rsidR="008040C3" w:rsidRPr="008E2CAA" w:rsidRDefault="008040C3"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The next section sets out our methods and descriptive findings. The third section provides thematic discussion of the corpus. In the fourth section we provide a brief evaluation of the corpus and set out avenues for future research, before concluding.</w:t>
      </w:r>
    </w:p>
    <w:p w14:paraId="53430A93" w14:textId="77777777" w:rsidR="007E6965" w:rsidRPr="008E2CAA" w:rsidRDefault="007E6965" w:rsidP="00277BD5">
      <w:pPr>
        <w:jc w:val="both"/>
        <w:rPr>
          <w:rFonts w:ascii="Times New Roman" w:hAnsi="Times New Roman" w:cs="Times New Roman"/>
          <w:sz w:val="24"/>
          <w:szCs w:val="24"/>
          <w:lang w:val="en-GB"/>
        </w:rPr>
      </w:pPr>
    </w:p>
    <w:p w14:paraId="5927CE4B" w14:textId="7A51C701" w:rsidR="0044493E" w:rsidRPr="008E2CAA" w:rsidRDefault="0044493E" w:rsidP="0044493E">
      <w:pPr>
        <w:pStyle w:val="Heading1"/>
        <w:rPr>
          <w:rFonts w:ascii="Times New Roman" w:hAnsi="Times New Roman" w:cs="Times New Roman"/>
          <w:b/>
          <w:bCs/>
          <w:sz w:val="24"/>
          <w:szCs w:val="24"/>
          <w:lang w:val="en-GB"/>
        </w:rPr>
      </w:pPr>
      <w:bookmarkStart w:id="0" w:name="_Ref120788364"/>
      <w:r w:rsidRPr="008E2CAA">
        <w:rPr>
          <w:rFonts w:ascii="Times New Roman" w:hAnsi="Times New Roman" w:cs="Times New Roman"/>
          <w:b/>
          <w:bCs/>
          <w:sz w:val="24"/>
          <w:szCs w:val="24"/>
          <w:lang w:val="en-GB"/>
        </w:rPr>
        <w:lastRenderedPageBreak/>
        <w:t>Methods</w:t>
      </w:r>
      <w:r w:rsidR="004325EB" w:rsidRPr="008E2CAA">
        <w:rPr>
          <w:rFonts w:ascii="Times New Roman" w:hAnsi="Times New Roman" w:cs="Times New Roman"/>
          <w:b/>
          <w:bCs/>
          <w:sz w:val="24"/>
          <w:szCs w:val="24"/>
          <w:lang w:val="en-GB"/>
        </w:rPr>
        <w:t xml:space="preserve"> and Descriptive Findings</w:t>
      </w:r>
      <w:bookmarkEnd w:id="0"/>
    </w:p>
    <w:p w14:paraId="1DE440DD" w14:textId="077A9F23" w:rsidR="00AC4D1F" w:rsidRPr="008E2CAA" w:rsidRDefault="00EB3648"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The purpose of the literature review is to </w:t>
      </w:r>
      <w:r w:rsidR="002C6706" w:rsidRPr="008E2CAA">
        <w:rPr>
          <w:rFonts w:ascii="Times New Roman" w:hAnsi="Times New Roman" w:cs="Times New Roman"/>
          <w:sz w:val="24"/>
          <w:szCs w:val="24"/>
          <w:lang w:val="en-GB"/>
        </w:rPr>
        <w:t>summarise</w:t>
      </w:r>
      <w:r w:rsidRPr="008E2CAA">
        <w:rPr>
          <w:rFonts w:ascii="Times New Roman" w:hAnsi="Times New Roman" w:cs="Times New Roman"/>
          <w:sz w:val="24"/>
          <w:szCs w:val="24"/>
          <w:lang w:val="en-GB"/>
        </w:rPr>
        <w:t xml:space="preserve"> available evidence</w:t>
      </w:r>
      <w:r w:rsidR="002C6706" w:rsidRPr="008E2CAA">
        <w:rPr>
          <w:rFonts w:ascii="Times New Roman" w:hAnsi="Times New Roman" w:cs="Times New Roman"/>
          <w:sz w:val="24"/>
          <w:szCs w:val="24"/>
          <w:lang w:val="en-GB"/>
        </w:rPr>
        <w:t xml:space="preserve"> </w:t>
      </w:r>
      <w:r w:rsidR="00E07A27" w:rsidRPr="008E2CAA">
        <w:rPr>
          <w:rFonts w:ascii="Times New Roman" w:hAnsi="Times New Roman" w:cs="Times New Roman"/>
          <w:sz w:val="24"/>
          <w:szCs w:val="24"/>
          <w:lang w:val="en-GB"/>
        </w:rPr>
        <w:t xml:space="preserve">on the </w:t>
      </w:r>
      <w:r w:rsidR="002C6706" w:rsidRPr="008E2CAA">
        <w:rPr>
          <w:rFonts w:ascii="Times New Roman" w:hAnsi="Times New Roman" w:cs="Times New Roman"/>
          <w:sz w:val="24"/>
          <w:szCs w:val="24"/>
          <w:lang w:val="en-GB"/>
        </w:rPr>
        <w:t>mechanisms through which employability programmes may support labour market outcomes of graduates and their effectiveness</w:t>
      </w:r>
      <w:r w:rsidRPr="008E2CAA">
        <w:rPr>
          <w:rFonts w:ascii="Times New Roman" w:hAnsi="Times New Roman" w:cs="Times New Roman"/>
          <w:sz w:val="24"/>
          <w:szCs w:val="24"/>
          <w:lang w:val="en-GB"/>
        </w:rPr>
        <w:t>. A systematic review of literature is defined as research that examines rigorous and transparent evidence produced by secondary sources for solving a problem previously conceptualized (Oakley, 2012: vii) and providing a “short cut to the pool of research knowledge in a given area” (</w:t>
      </w:r>
      <w:bookmarkStart w:id="1" w:name="_Hlk116940560"/>
      <w:r w:rsidRPr="008E2CAA">
        <w:rPr>
          <w:rFonts w:ascii="Times New Roman" w:hAnsi="Times New Roman" w:cs="Times New Roman"/>
          <w:sz w:val="24"/>
          <w:szCs w:val="24"/>
          <w:lang w:val="en-GB"/>
        </w:rPr>
        <w:t>James, 2012</w:t>
      </w:r>
      <w:bookmarkEnd w:id="1"/>
      <w:r w:rsidR="0091168A" w:rsidRPr="008E2CAA">
        <w:rPr>
          <w:rFonts w:ascii="Times New Roman" w:hAnsi="Times New Roman" w:cs="Times New Roman"/>
          <w:sz w:val="24"/>
          <w:szCs w:val="24"/>
          <w:lang w:val="en-GB"/>
        </w:rPr>
        <w:t xml:space="preserve">, </w:t>
      </w:r>
      <w:r w:rsidR="004C1DE3" w:rsidRPr="008E2CAA">
        <w:rPr>
          <w:rFonts w:ascii="Times New Roman" w:hAnsi="Times New Roman" w:cs="Times New Roman"/>
          <w:sz w:val="24"/>
          <w:szCs w:val="24"/>
          <w:lang w:val="en-GB"/>
        </w:rPr>
        <w:t>5</w:t>
      </w:r>
      <w:r w:rsidRPr="008E2CAA">
        <w:rPr>
          <w:rFonts w:ascii="Times New Roman" w:hAnsi="Times New Roman" w:cs="Times New Roman"/>
          <w:sz w:val="24"/>
          <w:szCs w:val="24"/>
          <w:lang w:val="en-GB"/>
        </w:rPr>
        <w:t>).</w:t>
      </w:r>
    </w:p>
    <w:p w14:paraId="1BCAD830" w14:textId="121B84F0" w:rsidR="000D3C25" w:rsidRPr="008E2CAA" w:rsidRDefault="00AC4D1F"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REF _Ref120718079 \h </w:instrText>
      </w:r>
      <w:r w:rsidR="000D3C25" w:rsidRPr="008E2CAA">
        <w:rPr>
          <w:rFonts w:ascii="Times New Roman" w:hAnsi="Times New Roman" w:cs="Times New Roman"/>
          <w:sz w:val="24"/>
          <w:szCs w:val="24"/>
          <w:lang w:val="en-GB"/>
        </w:rPr>
        <w:instrText xml:space="preserve"> \* MERGEFORMAT </w:instrText>
      </w:r>
      <w:r w:rsidRPr="008E2CAA">
        <w:rPr>
          <w:rFonts w:ascii="Times New Roman" w:hAnsi="Times New Roman" w:cs="Times New Roman"/>
          <w:sz w:val="24"/>
          <w:szCs w:val="24"/>
          <w:lang w:val="en-GB"/>
        </w:rPr>
      </w:r>
      <w:r w:rsidRPr="008E2CAA">
        <w:rPr>
          <w:rFonts w:ascii="Times New Roman" w:hAnsi="Times New Roman" w:cs="Times New Roman"/>
          <w:sz w:val="24"/>
          <w:szCs w:val="24"/>
          <w:lang w:val="en-GB"/>
        </w:rPr>
        <w:fldChar w:fldCharType="separate"/>
      </w:r>
      <w:r w:rsidR="00070EC4" w:rsidRPr="008E2CAA">
        <w:rPr>
          <w:rFonts w:ascii="Times New Roman" w:hAnsi="Times New Roman" w:cs="Times New Roman"/>
          <w:sz w:val="24"/>
          <w:szCs w:val="24"/>
          <w:lang w:val="en-GB"/>
        </w:rPr>
        <w:t xml:space="preserve">Table </w:t>
      </w:r>
      <w:r w:rsidR="00070EC4" w:rsidRPr="008E2CAA">
        <w:rPr>
          <w:rFonts w:ascii="Times New Roman" w:hAnsi="Times New Roman" w:cs="Times New Roman"/>
          <w:noProof/>
          <w:sz w:val="24"/>
          <w:szCs w:val="24"/>
          <w:lang w:val="en-GB"/>
        </w:rPr>
        <w:t>2</w:t>
      </w:r>
      <w:r w:rsidRPr="008E2CAA">
        <w:rPr>
          <w:rFonts w:ascii="Times New Roman" w:hAnsi="Times New Roman" w:cs="Times New Roman"/>
          <w:sz w:val="24"/>
          <w:szCs w:val="24"/>
          <w:lang w:val="en-GB"/>
        </w:rPr>
        <w:fldChar w:fldCharType="end"/>
      </w:r>
      <w:r w:rsidR="0016615A" w:rsidRPr="008E2CAA">
        <w:rPr>
          <w:rFonts w:ascii="Times New Roman" w:hAnsi="Times New Roman" w:cs="Times New Roman"/>
          <w:sz w:val="24"/>
          <w:szCs w:val="24"/>
          <w:lang w:val="en-GB"/>
        </w:rPr>
        <w:t xml:space="preserve"> sets out the clusters of search terms used to identify the long list of papers that were then manually screened for inclusion. The papers to be included in the literature review needed to refer to an employability activity of some description (list A), focus on employability, skills or similar (list B) as well as labour market outcomes (list C). A group of terms relating to lifelong learning and adult education terms (list D) was used to exclude articles focussing on such programmes. Moreover, to narrow the search to focus on the higher education level, a range of search terms were included to delimitate higher education (</w:t>
      </w:r>
      <w:r w:rsidR="008F6387" w:rsidRPr="008E2CAA">
        <w:rPr>
          <w:rFonts w:ascii="Times New Roman" w:hAnsi="Times New Roman" w:cs="Times New Roman"/>
          <w:sz w:val="24"/>
          <w:szCs w:val="24"/>
          <w:lang w:val="en-GB"/>
        </w:rPr>
        <w:t>l</w:t>
      </w:r>
      <w:r w:rsidR="0016615A" w:rsidRPr="008E2CAA">
        <w:rPr>
          <w:rFonts w:ascii="Times New Roman" w:hAnsi="Times New Roman" w:cs="Times New Roman"/>
          <w:sz w:val="24"/>
          <w:szCs w:val="24"/>
          <w:lang w:val="en-GB"/>
        </w:rPr>
        <w:t>ist E).</w:t>
      </w:r>
    </w:p>
    <w:p w14:paraId="2CC71204" w14:textId="6F2D3EE9" w:rsidR="000D3C25" w:rsidRPr="008E2CAA" w:rsidRDefault="000D3C25" w:rsidP="000D3C25">
      <w:pPr>
        <w:pStyle w:val="Caption"/>
        <w:rPr>
          <w:rFonts w:ascii="Times New Roman" w:hAnsi="Times New Roman" w:cs="Times New Roman"/>
          <w:sz w:val="24"/>
          <w:szCs w:val="24"/>
          <w:lang w:val="en-GB"/>
        </w:rPr>
      </w:pPr>
      <w:bookmarkStart w:id="2" w:name="_Ref120721912"/>
      <w:r w:rsidRPr="008E2CAA">
        <w:rPr>
          <w:rFonts w:ascii="Times New Roman" w:hAnsi="Times New Roman" w:cs="Times New Roman"/>
          <w:sz w:val="24"/>
          <w:szCs w:val="24"/>
          <w:lang w:val="en-GB"/>
        </w:rPr>
        <w:t xml:space="preserve">Table </w:t>
      </w: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SEQ Table \* ARABIC </w:instrText>
      </w:r>
      <w:r w:rsidRPr="008E2CAA">
        <w:rPr>
          <w:rFonts w:ascii="Times New Roman" w:hAnsi="Times New Roman" w:cs="Times New Roman"/>
          <w:sz w:val="24"/>
          <w:szCs w:val="24"/>
          <w:lang w:val="en-GB"/>
        </w:rPr>
        <w:fldChar w:fldCharType="separate"/>
      </w:r>
      <w:r w:rsidR="00225553" w:rsidRPr="008E2CAA">
        <w:rPr>
          <w:rFonts w:ascii="Times New Roman" w:hAnsi="Times New Roman" w:cs="Times New Roman"/>
          <w:noProof/>
          <w:sz w:val="24"/>
          <w:szCs w:val="24"/>
          <w:lang w:val="en-GB"/>
        </w:rPr>
        <w:t>1</w:t>
      </w:r>
      <w:r w:rsidRPr="008E2CAA">
        <w:rPr>
          <w:rFonts w:ascii="Times New Roman" w:hAnsi="Times New Roman" w:cs="Times New Roman"/>
          <w:sz w:val="24"/>
          <w:szCs w:val="24"/>
          <w:lang w:val="en-GB"/>
        </w:rPr>
        <w:fldChar w:fldCharType="end"/>
      </w:r>
      <w:bookmarkEnd w:id="2"/>
      <w:r w:rsidRPr="008E2CAA">
        <w:rPr>
          <w:rFonts w:ascii="Times New Roman" w:hAnsi="Times New Roman" w:cs="Times New Roman"/>
          <w:sz w:val="24"/>
          <w:szCs w:val="24"/>
          <w:lang w:val="en-GB"/>
        </w:rPr>
        <w:t xml:space="preserve"> </w:t>
      </w:r>
      <w:r w:rsidR="00781A3E">
        <w:rPr>
          <w:rFonts w:ascii="Times New Roman" w:hAnsi="Times New Roman" w:cs="Times New Roman"/>
          <w:sz w:val="24"/>
          <w:szCs w:val="24"/>
          <w:lang w:val="en-GB"/>
        </w:rPr>
        <w:t>HERE</w:t>
      </w:r>
      <w:r w:rsidRPr="008E2CAA">
        <w:rPr>
          <w:rFonts w:ascii="Times New Roman" w:hAnsi="Times New Roman" w:cs="Times New Roman"/>
          <w:sz w:val="24"/>
          <w:szCs w:val="24"/>
          <w:lang w:val="en-GB"/>
        </w:rPr>
        <w:t xml:space="preserve">. Search by list of keywords </w:t>
      </w:r>
    </w:p>
    <w:tbl>
      <w:tblPr>
        <w:tblW w:w="0" w:type="auto"/>
        <w:tblLook w:val="04A0" w:firstRow="1" w:lastRow="0" w:firstColumn="1" w:lastColumn="0" w:noHBand="0" w:noVBand="1"/>
      </w:tblPr>
      <w:tblGrid>
        <w:gridCol w:w="6449"/>
        <w:gridCol w:w="1670"/>
      </w:tblGrid>
      <w:tr w:rsidR="000D3C25" w:rsidRPr="004C1DE3" w14:paraId="0A30EFEB" w14:textId="77777777" w:rsidTr="008C0F4D">
        <w:trPr>
          <w:trHeight w:val="280"/>
        </w:trPr>
        <w:tc>
          <w:tcPr>
            <w:tcW w:w="0" w:type="auto"/>
            <w:tcBorders>
              <w:top w:val="nil"/>
              <w:left w:val="nil"/>
              <w:bottom w:val="single" w:sz="4" w:space="0" w:color="auto"/>
              <w:right w:val="nil"/>
            </w:tcBorders>
            <w:shd w:val="clear" w:color="000000" w:fill="FFFFFF"/>
            <w:noWrap/>
            <w:vAlign w:val="bottom"/>
            <w:hideMark/>
          </w:tcPr>
          <w:p w14:paraId="6C0AFBDE"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Search terms</w:t>
            </w:r>
          </w:p>
        </w:tc>
        <w:tc>
          <w:tcPr>
            <w:tcW w:w="0" w:type="auto"/>
            <w:tcBorders>
              <w:top w:val="nil"/>
              <w:left w:val="nil"/>
              <w:bottom w:val="single" w:sz="4" w:space="0" w:color="auto"/>
              <w:right w:val="nil"/>
            </w:tcBorders>
            <w:shd w:val="clear" w:color="000000" w:fill="FFFFFF"/>
            <w:noWrap/>
            <w:vAlign w:val="bottom"/>
            <w:hideMark/>
          </w:tcPr>
          <w:p w14:paraId="7C6D5A5F"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Number of hits</w:t>
            </w:r>
          </w:p>
        </w:tc>
      </w:tr>
      <w:tr w:rsidR="000D3C25" w:rsidRPr="004C1DE3" w14:paraId="3B814A4F" w14:textId="77777777" w:rsidTr="008C0F4D">
        <w:trPr>
          <w:trHeight w:val="335"/>
        </w:trPr>
        <w:tc>
          <w:tcPr>
            <w:tcW w:w="0" w:type="auto"/>
            <w:tcBorders>
              <w:top w:val="single" w:sz="4" w:space="0" w:color="auto"/>
              <w:left w:val="nil"/>
              <w:bottom w:val="nil"/>
              <w:right w:val="nil"/>
            </w:tcBorders>
            <w:shd w:val="clear" w:color="000000" w:fill="FFFFFF"/>
            <w:noWrap/>
            <w:vAlign w:val="bottom"/>
            <w:hideMark/>
          </w:tcPr>
          <w:p w14:paraId="1270B229"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A (EA)</w:t>
            </w:r>
          </w:p>
        </w:tc>
        <w:tc>
          <w:tcPr>
            <w:tcW w:w="0" w:type="auto"/>
            <w:tcBorders>
              <w:top w:val="single" w:sz="4" w:space="0" w:color="auto"/>
              <w:left w:val="nil"/>
              <w:bottom w:val="nil"/>
              <w:right w:val="nil"/>
            </w:tcBorders>
            <w:shd w:val="clear" w:color="000000" w:fill="FFFFFF"/>
            <w:noWrap/>
            <w:vAlign w:val="center"/>
            <w:hideMark/>
          </w:tcPr>
          <w:p w14:paraId="086F93AF"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7,102</w:t>
            </w:r>
          </w:p>
        </w:tc>
      </w:tr>
      <w:tr w:rsidR="000D3C25" w:rsidRPr="004C1DE3" w14:paraId="3F544D7F" w14:textId="77777777" w:rsidTr="008C0F4D">
        <w:trPr>
          <w:trHeight w:val="335"/>
        </w:trPr>
        <w:tc>
          <w:tcPr>
            <w:tcW w:w="0" w:type="auto"/>
            <w:tcBorders>
              <w:top w:val="nil"/>
              <w:left w:val="nil"/>
              <w:bottom w:val="nil"/>
              <w:right w:val="nil"/>
            </w:tcBorders>
            <w:shd w:val="clear" w:color="000000" w:fill="FFFFFF"/>
            <w:noWrap/>
            <w:vAlign w:val="bottom"/>
            <w:hideMark/>
          </w:tcPr>
          <w:p w14:paraId="6A0C9934"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A (EA)+B (competence)</w:t>
            </w:r>
          </w:p>
        </w:tc>
        <w:tc>
          <w:tcPr>
            <w:tcW w:w="0" w:type="auto"/>
            <w:tcBorders>
              <w:top w:val="nil"/>
              <w:left w:val="nil"/>
              <w:bottom w:val="nil"/>
              <w:right w:val="nil"/>
            </w:tcBorders>
            <w:shd w:val="clear" w:color="000000" w:fill="FFFFFF"/>
            <w:noWrap/>
            <w:vAlign w:val="center"/>
            <w:hideMark/>
          </w:tcPr>
          <w:p w14:paraId="005E5E4D"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4,686</w:t>
            </w:r>
          </w:p>
        </w:tc>
      </w:tr>
      <w:tr w:rsidR="000D3C25" w:rsidRPr="004C1DE3" w14:paraId="181E209C" w14:textId="77777777" w:rsidTr="008C0F4D">
        <w:trPr>
          <w:trHeight w:val="335"/>
        </w:trPr>
        <w:tc>
          <w:tcPr>
            <w:tcW w:w="0" w:type="auto"/>
            <w:tcBorders>
              <w:top w:val="nil"/>
              <w:left w:val="nil"/>
              <w:bottom w:val="nil"/>
              <w:right w:val="nil"/>
            </w:tcBorders>
            <w:shd w:val="clear" w:color="000000" w:fill="FFFFFF"/>
            <w:noWrap/>
            <w:vAlign w:val="bottom"/>
            <w:hideMark/>
          </w:tcPr>
          <w:p w14:paraId="202DCA58"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A (EA)+B (competence) + C (outcome)</w:t>
            </w:r>
          </w:p>
        </w:tc>
        <w:tc>
          <w:tcPr>
            <w:tcW w:w="0" w:type="auto"/>
            <w:tcBorders>
              <w:top w:val="nil"/>
              <w:left w:val="nil"/>
              <w:bottom w:val="nil"/>
              <w:right w:val="nil"/>
            </w:tcBorders>
            <w:shd w:val="clear" w:color="000000" w:fill="FFFFFF"/>
            <w:noWrap/>
            <w:vAlign w:val="bottom"/>
            <w:hideMark/>
          </w:tcPr>
          <w:p w14:paraId="17B86597"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730</w:t>
            </w:r>
          </w:p>
        </w:tc>
      </w:tr>
      <w:tr w:rsidR="000D3C25" w:rsidRPr="004C1DE3" w14:paraId="547EC811" w14:textId="77777777" w:rsidTr="008C0F4D">
        <w:trPr>
          <w:trHeight w:val="335"/>
        </w:trPr>
        <w:tc>
          <w:tcPr>
            <w:tcW w:w="0" w:type="auto"/>
            <w:tcBorders>
              <w:top w:val="nil"/>
              <w:left w:val="nil"/>
              <w:bottom w:val="nil"/>
              <w:right w:val="nil"/>
            </w:tcBorders>
            <w:shd w:val="clear" w:color="000000" w:fill="FFFFFF"/>
            <w:noWrap/>
            <w:vAlign w:val="bottom"/>
            <w:hideMark/>
          </w:tcPr>
          <w:p w14:paraId="56D5B07A"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A (EA)+B (competence) + C (outcome) + D (not LLL)</w:t>
            </w:r>
          </w:p>
        </w:tc>
        <w:tc>
          <w:tcPr>
            <w:tcW w:w="0" w:type="auto"/>
            <w:tcBorders>
              <w:top w:val="nil"/>
              <w:left w:val="nil"/>
              <w:bottom w:val="nil"/>
              <w:right w:val="nil"/>
            </w:tcBorders>
            <w:shd w:val="clear" w:color="000000" w:fill="FFFFFF"/>
            <w:noWrap/>
            <w:vAlign w:val="bottom"/>
            <w:hideMark/>
          </w:tcPr>
          <w:p w14:paraId="5EE00DD0"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644</w:t>
            </w:r>
          </w:p>
        </w:tc>
      </w:tr>
      <w:tr w:rsidR="000D3C25" w:rsidRPr="004C1DE3" w14:paraId="6DC0D5C4" w14:textId="77777777" w:rsidTr="008C0F4D">
        <w:trPr>
          <w:trHeight w:val="335"/>
        </w:trPr>
        <w:tc>
          <w:tcPr>
            <w:tcW w:w="0" w:type="auto"/>
            <w:tcBorders>
              <w:top w:val="nil"/>
              <w:left w:val="nil"/>
              <w:bottom w:val="single" w:sz="4" w:space="0" w:color="auto"/>
              <w:right w:val="nil"/>
            </w:tcBorders>
            <w:shd w:val="clear" w:color="000000" w:fill="FFFFFF"/>
            <w:noWrap/>
            <w:vAlign w:val="bottom"/>
            <w:hideMark/>
          </w:tcPr>
          <w:p w14:paraId="1ECE1669"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A (EA)+B (competence) + C (outcome) + D (not LLL) + E (HE)</w:t>
            </w:r>
          </w:p>
        </w:tc>
        <w:tc>
          <w:tcPr>
            <w:tcW w:w="0" w:type="auto"/>
            <w:tcBorders>
              <w:top w:val="nil"/>
              <w:left w:val="nil"/>
              <w:bottom w:val="single" w:sz="4" w:space="0" w:color="auto"/>
              <w:right w:val="nil"/>
            </w:tcBorders>
            <w:shd w:val="clear" w:color="000000" w:fill="FFFFFF"/>
            <w:noWrap/>
            <w:vAlign w:val="bottom"/>
            <w:hideMark/>
          </w:tcPr>
          <w:p w14:paraId="633E72A3" w14:textId="77777777" w:rsidR="000D3C25" w:rsidRPr="008E2CAA" w:rsidRDefault="000D3C25"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156</w:t>
            </w:r>
          </w:p>
        </w:tc>
      </w:tr>
    </w:tbl>
    <w:p w14:paraId="19D5B864" w14:textId="77777777" w:rsidR="000D3C25" w:rsidRPr="008E2CAA" w:rsidRDefault="000D3C25" w:rsidP="00277BD5">
      <w:pPr>
        <w:jc w:val="both"/>
        <w:rPr>
          <w:rFonts w:ascii="Times New Roman" w:hAnsi="Times New Roman" w:cs="Times New Roman"/>
          <w:sz w:val="24"/>
          <w:szCs w:val="24"/>
          <w:lang w:val="en-GB"/>
        </w:rPr>
      </w:pPr>
    </w:p>
    <w:p w14:paraId="63277C74" w14:textId="6587B41E" w:rsidR="002839FE" w:rsidRPr="00622BF0" w:rsidRDefault="002839FE" w:rsidP="00277BD5">
      <w:pPr>
        <w:jc w:val="both"/>
        <w:rPr>
          <w:rStyle w:val="jlqj4b"/>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As detailed in </w:t>
      </w: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REF _Ref120721912 \h </w:instrText>
      </w:r>
      <w:r w:rsidR="004C1DE3" w:rsidRPr="008E2CAA">
        <w:rPr>
          <w:rFonts w:ascii="Times New Roman" w:hAnsi="Times New Roman" w:cs="Times New Roman"/>
          <w:sz w:val="24"/>
          <w:szCs w:val="24"/>
          <w:lang w:val="en-GB"/>
        </w:rPr>
        <w:instrText xml:space="preserve"> \* MERGEFORMAT </w:instrText>
      </w:r>
      <w:r w:rsidRPr="008E2CAA">
        <w:rPr>
          <w:rFonts w:ascii="Times New Roman" w:hAnsi="Times New Roman" w:cs="Times New Roman"/>
          <w:sz w:val="24"/>
          <w:szCs w:val="24"/>
          <w:lang w:val="en-GB"/>
        </w:rPr>
      </w:r>
      <w:r w:rsidRPr="008E2CAA">
        <w:rPr>
          <w:rFonts w:ascii="Times New Roman" w:hAnsi="Times New Roman" w:cs="Times New Roman"/>
          <w:sz w:val="24"/>
          <w:szCs w:val="24"/>
          <w:lang w:val="en-GB"/>
        </w:rPr>
        <w:fldChar w:fldCharType="separate"/>
      </w:r>
      <w:r w:rsidR="00070EC4" w:rsidRPr="008E2CAA">
        <w:rPr>
          <w:rFonts w:ascii="Times New Roman" w:hAnsi="Times New Roman" w:cs="Times New Roman"/>
          <w:sz w:val="24"/>
          <w:szCs w:val="24"/>
          <w:lang w:val="en-GB"/>
        </w:rPr>
        <w:t xml:space="preserve">Table </w:t>
      </w:r>
      <w:r w:rsidR="00070EC4" w:rsidRPr="008E2CAA">
        <w:rPr>
          <w:rFonts w:ascii="Times New Roman" w:hAnsi="Times New Roman" w:cs="Times New Roman"/>
          <w:noProof/>
          <w:sz w:val="24"/>
          <w:szCs w:val="24"/>
          <w:lang w:val="en-GB"/>
        </w:rPr>
        <w:t>1</w:t>
      </w:r>
      <w:r w:rsidRPr="008E2CAA">
        <w:rPr>
          <w:rFonts w:ascii="Times New Roman" w:hAnsi="Times New Roman" w:cs="Times New Roman"/>
          <w:sz w:val="24"/>
          <w:szCs w:val="24"/>
          <w:lang w:val="en-GB"/>
        </w:rPr>
        <w:fldChar w:fldCharType="end"/>
      </w:r>
      <w:r w:rsidRPr="008E2CAA">
        <w:rPr>
          <w:rFonts w:ascii="Times New Roman" w:hAnsi="Times New Roman" w:cs="Times New Roman"/>
          <w:sz w:val="24"/>
          <w:szCs w:val="24"/>
          <w:lang w:val="en-GB"/>
        </w:rPr>
        <w:t>, the successive application of the keyword search terms identified</w:t>
      </w:r>
      <w:r w:rsidR="00622BF0">
        <w:rPr>
          <w:rFonts w:ascii="Times New Roman" w:hAnsi="Times New Roman" w:cs="Times New Roman"/>
          <w:sz w:val="24"/>
          <w:szCs w:val="24"/>
          <w:lang w:val="en-GB"/>
        </w:rPr>
        <w:t xml:space="preserve"> </w:t>
      </w:r>
      <w:r w:rsidR="000D3C25" w:rsidRPr="008E2CAA">
        <w:rPr>
          <w:rFonts w:ascii="Times New Roman" w:hAnsi="Times New Roman" w:cs="Times New Roman"/>
          <w:sz w:val="24"/>
          <w:szCs w:val="24"/>
          <w:lang w:val="en-GB"/>
        </w:rPr>
        <w:t xml:space="preserve">156 </w:t>
      </w:r>
      <w:r w:rsidRPr="008E2CAA">
        <w:rPr>
          <w:rFonts w:ascii="Times New Roman" w:hAnsi="Times New Roman" w:cs="Times New Roman"/>
          <w:sz w:val="24"/>
          <w:szCs w:val="24"/>
          <w:lang w:val="en-GB"/>
        </w:rPr>
        <w:t>academic</w:t>
      </w:r>
      <w:r w:rsidR="000D3C25" w:rsidRPr="008E2CAA">
        <w:rPr>
          <w:rFonts w:ascii="Times New Roman" w:hAnsi="Times New Roman" w:cs="Times New Roman"/>
          <w:sz w:val="24"/>
          <w:szCs w:val="24"/>
          <w:lang w:val="en-GB"/>
        </w:rPr>
        <w:t xml:space="preserve"> </w:t>
      </w:r>
      <w:r w:rsidR="00070EC4" w:rsidRPr="008E2CAA">
        <w:rPr>
          <w:rFonts w:ascii="Times New Roman" w:hAnsi="Times New Roman" w:cs="Times New Roman"/>
          <w:sz w:val="24"/>
          <w:szCs w:val="24"/>
          <w:lang w:val="en-GB"/>
        </w:rPr>
        <w:t>publications</w:t>
      </w:r>
      <w:r w:rsidR="000D3C25"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listed in the</w:t>
      </w:r>
      <w:r w:rsidR="000D3C25" w:rsidRPr="008E2CAA">
        <w:rPr>
          <w:rFonts w:ascii="Times New Roman" w:hAnsi="Times New Roman" w:cs="Times New Roman"/>
          <w:sz w:val="24"/>
          <w:szCs w:val="24"/>
          <w:lang w:val="en-GB"/>
        </w:rPr>
        <w:t xml:space="preserve"> SCOPUS and </w:t>
      </w:r>
      <w:r w:rsidR="004A5DE2" w:rsidRPr="008E2CAA">
        <w:rPr>
          <w:rFonts w:ascii="Times New Roman" w:hAnsi="Times New Roman" w:cs="Times New Roman"/>
          <w:sz w:val="24"/>
          <w:szCs w:val="24"/>
          <w:lang w:val="en-GB"/>
        </w:rPr>
        <w:t>Journal Citation Report (</w:t>
      </w:r>
      <w:r w:rsidR="000D3C25" w:rsidRPr="008E2CAA">
        <w:rPr>
          <w:rFonts w:ascii="Times New Roman" w:hAnsi="Times New Roman" w:cs="Times New Roman"/>
          <w:sz w:val="24"/>
          <w:szCs w:val="24"/>
          <w:lang w:val="en-GB"/>
        </w:rPr>
        <w:t>JCR</w:t>
      </w:r>
      <w:r w:rsidR="004A5DE2" w:rsidRPr="008E2CAA">
        <w:rPr>
          <w:rFonts w:ascii="Times New Roman" w:hAnsi="Times New Roman" w:cs="Times New Roman"/>
          <w:sz w:val="24"/>
          <w:szCs w:val="24"/>
          <w:lang w:val="en-GB"/>
        </w:rPr>
        <w:t>)</w:t>
      </w:r>
      <w:r w:rsidR="000D3C25"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databases and published in the period </w:t>
      </w:r>
      <w:r w:rsidR="00FF795D" w:rsidRPr="008E2CAA">
        <w:rPr>
          <w:rFonts w:ascii="Times New Roman" w:hAnsi="Times New Roman" w:cs="Times New Roman"/>
          <w:sz w:val="24"/>
          <w:szCs w:val="24"/>
          <w:lang w:val="en-GB"/>
        </w:rPr>
        <w:t>200</w:t>
      </w:r>
      <w:r w:rsidR="00622BF0">
        <w:rPr>
          <w:rFonts w:ascii="Times New Roman" w:hAnsi="Times New Roman" w:cs="Times New Roman"/>
          <w:sz w:val="24"/>
          <w:szCs w:val="24"/>
          <w:lang w:val="en-GB"/>
        </w:rPr>
        <w:t>2</w:t>
      </w:r>
      <w:r w:rsidR="00FF795D"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to 202</w:t>
      </w:r>
      <w:r w:rsidR="009C7B09">
        <w:rPr>
          <w:rFonts w:ascii="Times New Roman" w:hAnsi="Times New Roman" w:cs="Times New Roman"/>
          <w:sz w:val="24"/>
          <w:szCs w:val="24"/>
          <w:lang w:val="en-GB"/>
        </w:rPr>
        <w:t>2</w:t>
      </w:r>
      <w:r w:rsidRPr="008E2CAA">
        <w:rPr>
          <w:rFonts w:ascii="Times New Roman" w:hAnsi="Times New Roman" w:cs="Times New Roman"/>
          <w:sz w:val="24"/>
          <w:szCs w:val="24"/>
          <w:lang w:val="en-GB"/>
        </w:rPr>
        <w:t>.</w:t>
      </w:r>
      <w:r w:rsidR="000D3C25" w:rsidRPr="008E2CAA">
        <w:rPr>
          <w:rFonts w:ascii="Times New Roman" w:hAnsi="Times New Roman" w:cs="Times New Roman"/>
          <w:sz w:val="24"/>
          <w:szCs w:val="24"/>
          <w:lang w:val="en-GB"/>
        </w:rPr>
        <w:t xml:space="preserve"> </w:t>
      </w:r>
    </w:p>
    <w:p w14:paraId="0D025016" w14:textId="77777777" w:rsidR="000D3C25" w:rsidRPr="008E2CAA" w:rsidRDefault="000D3C25" w:rsidP="00277BD5">
      <w:pPr>
        <w:jc w:val="both"/>
        <w:rPr>
          <w:rFonts w:ascii="Times New Roman" w:hAnsi="Times New Roman" w:cs="Times New Roman"/>
          <w:sz w:val="24"/>
          <w:szCs w:val="24"/>
          <w:lang w:val="en-GB"/>
        </w:rPr>
      </w:pPr>
    </w:p>
    <w:p w14:paraId="21C96580" w14:textId="77777777" w:rsidR="000D3C25" w:rsidRPr="008E2CAA" w:rsidRDefault="000D3C25" w:rsidP="00277BD5">
      <w:pPr>
        <w:jc w:val="both"/>
        <w:rPr>
          <w:rFonts w:ascii="Times New Roman" w:hAnsi="Times New Roman" w:cs="Times New Roman"/>
          <w:sz w:val="24"/>
          <w:szCs w:val="24"/>
          <w:lang w:val="en-GB"/>
        </w:rPr>
      </w:pPr>
    </w:p>
    <w:p w14:paraId="74D2D6FE" w14:textId="77777777" w:rsidR="00AC4D1F" w:rsidRPr="008E2CAA" w:rsidRDefault="00AC4D1F"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br w:type="page"/>
      </w:r>
    </w:p>
    <w:p w14:paraId="2BA5D292" w14:textId="3168F5A6" w:rsidR="00D01289" w:rsidRPr="00622BF0" w:rsidRDefault="00AC4D1F" w:rsidP="00AC4D1F">
      <w:pPr>
        <w:pStyle w:val="Caption"/>
        <w:rPr>
          <w:rFonts w:ascii="Times New Roman" w:hAnsi="Times New Roman" w:cs="Times New Roman"/>
          <w:b w:val="0"/>
          <w:bCs/>
          <w:sz w:val="24"/>
          <w:szCs w:val="24"/>
          <w:lang w:val="en-GB"/>
        </w:rPr>
      </w:pPr>
      <w:bookmarkStart w:id="3" w:name="_Ref120718079"/>
      <w:r w:rsidRPr="008E2CAA">
        <w:rPr>
          <w:rFonts w:ascii="Times New Roman" w:hAnsi="Times New Roman" w:cs="Times New Roman"/>
          <w:sz w:val="24"/>
          <w:szCs w:val="24"/>
          <w:lang w:val="en-GB"/>
        </w:rPr>
        <w:lastRenderedPageBreak/>
        <w:t xml:space="preserve">Table </w:t>
      </w: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SEQ Table \* ARABIC </w:instrText>
      </w:r>
      <w:r w:rsidRPr="008E2CAA">
        <w:rPr>
          <w:rFonts w:ascii="Times New Roman" w:hAnsi="Times New Roman" w:cs="Times New Roman"/>
          <w:sz w:val="24"/>
          <w:szCs w:val="24"/>
          <w:lang w:val="en-GB"/>
        </w:rPr>
        <w:fldChar w:fldCharType="separate"/>
      </w:r>
      <w:r w:rsidR="00225553" w:rsidRPr="008E2CAA">
        <w:rPr>
          <w:rFonts w:ascii="Times New Roman" w:hAnsi="Times New Roman" w:cs="Times New Roman"/>
          <w:noProof/>
          <w:sz w:val="24"/>
          <w:szCs w:val="24"/>
          <w:lang w:val="en-GB"/>
        </w:rPr>
        <w:t>2</w:t>
      </w:r>
      <w:r w:rsidRPr="008E2CAA">
        <w:rPr>
          <w:rFonts w:ascii="Times New Roman" w:hAnsi="Times New Roman" w:cs="Times New Roman"/>
          <w:sz w:val="24"/>
          <w:szCs w:val="24"/>
          <w:lang w:val="en-GB"/>
        </w:rPr>
        <w:fldChar w:fldCharType="end"/>
      </w:r>
      <w:bookmarkEnd w:id="3"/>
      <w:r w:rsidRPr="008E2CAA">
        <w:rPr>
          <w:rFonts w:ascii="Times New Roman" w:hAnsi="Times New Roman" w:cs="Times New Roman"/>
          <w:sz w:val="24"/>
          <w:szCs w:val="24"/>
          <w:lang w:val="en-GB"/>
        </w:rPr>
        <w:t xml:space="preserve"> </w:t>
      </w:r>
      <w:r w:rsidR="00781A3E">
        <w:rPr>
          <w:rFonts w:ascii="Times New Roman" w:hAnsi="Times New Roman" w:cs="Times New Roman"/>
          <w:sz w:val="24"/>
          <w:szCs w:val="24"/>
          <w:lang w:val="en-GB"/>
        </w:rPr>
        <w:t>HERE.</w:t>
      </w:r>
      <w:r w:rsidR="00781A3E"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Groups of search terms used to identify the initial corpus of papers.</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550"/>
        <w:gridCol w:w="7087"/>
      </w:tblGrid>
      <w:tr w:rsidR="00D01289" w:rsidRPr="00847361" w14:paraId="6889BFB8" w14:textId="77777777" w:rsidTr="008E2CAA">
        <w:trPr>
          <w:trHeight w:val="31"/>
        </w:trPr>
        <w:tc>
          <w:tcPr>
            <w:tcW w:w="781" w:type="dxa"/>
            <w:shd w:val="clear" w:color="auto" w:fill="auto"/>
            <w:noWrap/>
            <w:hideMark/>
          </w:tcPr>
          <w:p w14:paraId="138C063B"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LIST A</w:t>
            </w:r>
          </w:p>
        </w:tc>
        <w:tc>
          <w:tcPr>
            <w:tcW w:w="1550" w:type="dxa"/>
            <w:shd w:val="clear" w:color="auto" w:fill="auto"/>
            <w:noWrap/>
            <w:hideMark/>
          </w:tcPr>
          <w:p w14:paraId="7DD7BB14" w14:textId="69B304E7" w:rsidR="00D01289" w:rsidRPr="008E2CAA" w:rsidRDefault="0016615A"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e</w:t>
            </w:r>
            <w:r w:rsidR="00AC4D1F" w:rsidRPr="008E2CAA">
              <w:rPr>
                <w:rFonts w:ascii="Times New Roman" w:hAnsi="Times New Roman" w:cs="Times New Roman"/>
                <w:sz w:val="24"/>
                <w:szCs w:val="24"/>
                <w:lang w:val="en-GB" w:eastAsia="en-GB"/>
              </w:rPr>
              <w:t>mployability</w:t>
            </w:r>
            <w:r w:rsidRPr="008E2CAA">
              <w:rPr>
                <w:rFonts w:ascii="Times New Roman" w:hAnsi="Times New Roman" w:cs="Times New Roman"/>
                <w:sz w:val="24"/>
                <w:szCs w:val="24"/>
                <w:lang w:val="en-GB" w:eastAsia="en-GB"/>
              </w:rPr>
              <w:t xml:space="preserve"> activit</w:t>
            </w:r>
            <w:r w:rsidR="007114E5" w:rsidRPr="008E2CAA">
              <w:rPr>
                <w:rFonts w:ascii="Times New Roman" w:hAnsi="Times New Roman" w:cs="Times New Roman"/>
                <w:sz w:val="24"/>
                <w:szCs w:val="24"/>
                <w:lang w:val="en-GB" w:eastAsia="en-GB"/>
              </w:rPr>
              <w:t>ies (EA)</w:t>
            </w:r>
          </w:p>
        </w:tc>
        <w:tc>
          <w:tcPr>
            <w:tcW w:w="7087" w:type="dxa"/>
            <w:shd w:val="clear" w:color="auto" w:fill="auto"/>
            <w:noWrap/>
            <w:vAlign w:val="bottom"/>
            <w:hideMark/>
          </w:tcPr>
          <w:p w14:paraId="5830F091"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"graduate career guidance" OR "graduate career planning" OR "graduate employability skills programme" OR "graduate employability skills program" OR "academic employability skills development" OR "employability skills programme" OR "employability skills program" OR "employability skills training" OR "work-based training" OR "work-based learning" OR "work based training" OR "work based learning" OR "on-the-job training" OR "young graduate programme" OR "young graduate program" OR "Employability programme" OR "Employability program" OR "Employability initiative" OR "Workplace learning" OR "Workplace readiness" OR "Skills programme" OR "Skills program" OR "Work-related learning" OR "Embedded employability" OR "Credit-bearing employability" OR "embedding employability"</w:t>
            </w:r>
          </w:p>
        </w:tc>
      </w:tr>
      <w:tr w:rsidR="00D01289" w:rsidRPr="00847361" w14:paraId="712902D8" w14:textId="77777777" w:rsidTr="008E2CAA">
        <w:trPr>
          <w:trHeight w:val="31"/>
        </w:trPr>
        <w:tc>
          <w:tcPr>
            <w:tcW w:w="781" w:type="dxa"/>
            <w:shd w:val="clear" w:color="auto" w:fill="auto"/>
            <w:noWrap/>
            <w:hideMark/>
          </w:tcPr>
          <w:p w14:paraId="078CD5E8"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LIST B</w:t>
            </w:r>
          </w:p>
        </w:tc>
        <w:tc>
          <w:tcPr>
            <w:tcW w:w="1550" w:type="dxa"/>
            <w:shd w:val="clear" w:color="auto" w:fill="auto"/>
            <w:noWrap/>
            <w:hideMark/>
          </w:tcPr>
          <w:p w14:paraId="40F6D383"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competence terms</w:t>
            </w:r>
          </w:p>
        </w:tc>
        <w:tc>
          <w:tcPr>
            <w:tcW w:w="7087" w:type="dxa"/>
            <w:shd w:val="clear" w:color="auto" w:fill="auto"/>
            <w:noWrap/>
            <w:vAlign w:val="bottom"/>
            <w:hideMark/>
          </w:tcPr>
          <w:p w14:paraId="581D2533"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"Capability" OR "Competence*" OR "Competence-based" OR "Competency indicator" OR "Core skills" OR "Employability skills" OR "employability" OR "Expertise" OR "Integration of knowledge" OR "Integration of skills" OR "Key competencies" OR "key competences" OR "Key skills" OR "Learners" OR "Learning power" OR "Proficiency" OR "Transversal skills" OR "Vocational" OR "skills" OR "practical" OR "hard skills" OR "soft skills" OR "occupational skills" OR "craft skills" OR "adaptive skills" OR "transferable skills" OR "Talent" OR "Graduate attributes" OR "Graduate skills" OR "Employability skills" OR "Workplace skills" OR "Labour market skills" OR "Embedded skills" OR "up-skill" OR "up-skilling" OR "skills matching" OR "graduate attributes" OR "Noncognitive skills" OR "Cognitive skills"</w:t>
            </w:r>
          </w:p>
        </w:tc>
      </w:tr>
      <w:tr w:rsidR="00D01289" w:rsidRPr="00847361" w14:paraId="7DB61C28" w14:textId="77777777" w:rsidTr="008E2CAA">
        <w:trPr>
          <w:trHeight w:val="31"/>
        </w:trPr>
        <w:tc>
          <w:tcPr>
            <w:tcW w:w="781" w:type="dxa"/>
            <w:shd w:val="clear" w:color="auto" w:fill="auto"/>
            <w:noWrap/>
            <w:hideMark/>
          </w:tcPr>
          <w:p w14:paraId="4D5F1932"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LIST C</w:t>
            </w:r>
          </w:p>
        </w:tc>
        <w:tc>
          <w:tcPr>
            <w:tcW w:w="1550" w:type="dxa"/>
            <w:shd w:val="clear" w:color="auto" w:fill="auto"/>
            <w:noWrap/>
            <w:hideMark/>
          </w:tcPr>
          <w:p w14:paraId="54566F66" w14:textId="67BB65C9"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program</w:t>
            </w:r>
            <w:r w:rsidR="00AC4D1F" w:rsidRPr="008E2CAA">
              <w:rPr>
                <w:rFonts w:ascii="Times New Roman" w:hAnsi="Times New Roman" w:cs="Times New Roman"/>
                <w:sz w:val="24"/>
                <w:szCs w:val="24"/>
                <w:lang w:val="en-GB" w:eastAsia="en-GB"/>
              </w:rPr>
              <w:t>me</w:t>
            </w:r>
            <w:r w:rsidRPr="008E2CAA">
              <w:rPr>
                <w:rFonts w:ascii="Times New Roman" w:hAnsi="Times New Roman" w:cs="Times New Roman"/>
                <w:sz w:val="24"/>
                <w:szCs w:val="24"/>
                <w:lang w:val="en-GB" w:eastAsia="en-GB"/>
              </w:rPr>
              <w:t xml:space="preserve"> outcomes</w:t>
            </w:r>
          </w:p>
        </w:tc>
        <w:tc>
          <w:tcPr>
            <w:tcW w:w="7087" w:type="dxa"/>
            <w:shd w:val="clear" w:color="auto" w:fill="auto"/>
            <w:noWrap/>
            <w:vAlign w:val="bottom"/>
            <w:hideMark/>
          </w:tcPr>
          <w:p w14:paraId="12FC8CE6"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"employment" OR "labour market situation" OR "</w:t>
            </w:r>
            <w:proofErr w:type="spellStart"/>
            <w:r w:rsidRPr="008E2CAA">
              <w:rPr>
                <w:rFonts w:ascii="Times New Roman" w:hAnsi="Times New Roman" w:cs="Times New Roman"/>
                <w:sz w:val="24"/>
                <w:szCs w:val="24"/>
                <w:lang w:val="en-GB" w:eastAsia="en-GB"/>
              </w:rPr>
              <w:t>labor</w:t>
            </w:r>
            <w:proofErr w:type="spellEnd"/>
            <w:r w:rsidRPr="008E2CAA">
              <w:rPr>
                <w:rFonts w:ascii="Times New Roman" w:hAnsi="Times New Roman" w:cs="Times New Roman"/>
                <w:sz w:val="24"/>
                <w:szCs w:val="24"/>
                <w:lang w:val="en-GB" w:eastAsia="en-GB"/>
              </w:rPr>
              <w:t xml:space="preserve"> market situation" OR "labour market integration" OR "youth labour market" OR "youth </w:t>
            </w:r>
            <w:proofErr w:type="spellStart"/>
            <w:r w:rsidRPr="008E2CAA">
              <w:rPr>
                <w:rFonts w:ascii="Times New Roman" w:hAnsi="Times New Roman" w:cs="Times New Roman"/>
                <w:sz w:val="24"/>
                <w:szCs w:val="24"/>
                <w:lang w:val="en-GB" w:eastAsia="en-GB"/>
              </w:rPr>
              <w:t>labor</w:t>
            </w:r>
            <w:proofErr w:type="spellEnd"/>
            <w:r w:rsidRPr="008E2CAA">
              <w:rPr>
                <w:rFonts w:ascii="Times New Roman" w:hAnsi="Times New Roman" w:cs="Times New Roman"/>
                <w:sz w:val="24"/>
                <w:szCs w:val="24"/>
                <w:lang w:val="en-GB" w:eastAsia="en-GB"/>
              </w:rPr>
              <w:t xml:space="preserve"> market" OR "wage*" OR "salary" OR "earning" OR "labour market insertion" OR "job* recruitment" OR "school to work transition" OR "school-to-work-transition" OR "work placement" OR "hiring" OR "engagement" OR "labour force" OR "Global labour market" OR "Graduate labour market" OR "Graduate job market" OR "Graduate success" OR "Graduate outcomes" OR "graduate to work transition" OR "graduate labour market" OR "graduate careers"</w:t>
            </w:r>
          </w:p>
        </w:tc>
      </w:tr>
      <w:tr w:rsidR="00D01289" w:rsidRPr="00847361" w14:paraId="70F18248" w14:textId="77777777" w:rsidTr="008E2CAA">
        <w:trPr>
          <w:trHeight w:val="31"/>
        </w:trPr>
        <w:tc>
          <w:tcPr>
            <w:tcW w:w="781" w:type="dxa"/>
            <w:shd w:val="clear" w:color="auto" w:fill="auto"/>
            <w:noWrap/>
            <w:hideMark/>
          </w:tcPr>
          <w:p w14:paraId="4E632B1C"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LIST D (not)</w:t>
            </w:r>
          </w:p>
        </w:tc>
        <w:tc>
          <w:tcPr>
            <w:tcW w:w="1550" w:type="dxa"/>
            <w:shd w:val="clear" w:color="auto" w:fill="auto"/>
            <w:noWrap/>
            <w:hideMark/>
          </w:tcPr>
          <w:p w14:paraId="4D799F52" w14:textId="30407672"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LLL terms</w:t>
            </w:r>
          </w:p>
        </w:tc>
        <w:tc>
          <w:tcPr>
            <w:tcW w:w="7087" w:type="dxa"/>
            <w:shd w:val="clear" w:color="auto" w:fill="auto"/>
            <w:noWrap/>
            <w:vAlign w:val="bottom"/>
            <w:hideMark/>
          </w:tcPr>
          <w:p w14:paraId="4DE1F7F0"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"lifelong learning", OR "CPD" OR "continued professional development" OR "professional development", OR "continuing education" OR "continuing education" OR "adult education" OR "ongoing learning"</w:t>
            </w:r>
          </w:p>
        </w:tc>
      </w:tr>
      <w:tr w:rsidR="00D01289" w:rsidRPr="00847361" w14:paraId="5393F363" w14:textId="77777777" w:rsidTr="008E2CAA">
        <w:trPr>
          <w:trHeight w:val="31"/>
        </w:trPr>
        <w:tc>
          <w:tcPr>
            <w:tcW w:w="781" w:type="dxa"/>
            <w:shd w:val="clear" w:color="auto" w:fill="auto"/>
            <w:noWrap/>
            <w:hideMark/>
          </w:tcPr>
          <w:p w14:paraId="7C200B06"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LIST E</w:t>
            </w:r>
          </w:p>
        </w:tc>
        <w:tc>
          <w:tcPr>
            <w:tcW w:w="1550" w:type="dxa"/>
            <w:shd w:val="clear" w:color="auto" w:fill="auto"/>
            <w:noWrap/>
            <w:hideMark/>
          </w:tcPr>
          <w:p w14:paraId="7453E395" w14:textId="77777777"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Tertiary education level terms</w:t>
            </w:r>
          </w:p>
        </w:tc>
        <w:tc>
          <w:tcPr>
            <w:tcW w:w="7087" w:type="dxa"/>
            <w:shd w:val="clear" w:color="auto" w:fill="auto"/>
            <w:noWrap/>
            <w:vAlign w:val="bottom"/>
            <w:hideMark/>
          </w:tcPr>
          <w:p w14:paraId="514EB574" w14:textId="4CAAA671" w:rsidR="00D01289" w:rsidRPr="008E2CAA" w:rsidRDefault="00D01289"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"higher</w:t>
            </w:r>
            <w:r w:rsidR="00FF795D" w:rsidRPr="008E2CAA">
              <w:rPr>
                <w:rFonts w:ascii="Times New Roman" w:hAnsi="Times New Roman" w:cs="Times New Roman"/>
                <w:sz w:val="24"/>
                <w:szCs w:val="24"/>
                <w:lang w:val="en-GB" w:eastAsia="en-GB"/>
              </w:rPr>
              <w:t xml:space="preserve"> </w:t>
            </w:r>
            <w:r w:rsidRPr="008E2CAA">
              <w:rPr>
                <w:rFonts w:ascii="Times New Roman" w:hAnsi="Times New Roman" w:cs="Times New Roman"/>
                <w:sz w:val="24"/>
                <w:szCs w:val="24"/>
                <w:lang w:val="en-GB" w:eastAsia="en-GB"/>
              </w:rPr>
              <w:t>education" OR "college" OR "university" OR "university education" OR "post-compulsory education" OR "vocational universities" OR "technical colleges" OR "higher technical" OR "university of applied sciences"</w:t>
            </w:r>
          </w:p>
        </w:tc>
      </w:tr>
    </w:tbl>
    <w:p w14:paraId="6E3A270F" w14:textId="32A17B53" w:rsidR="003653C3" w:rsidRPr="008E2CAA" w:rsidRDefault="002839FE" w:rsidP="00277BD5">
      <w:pPr>
        <w:jc w:val="both"/>
        <w:rPr>
          <w:rFonts w:ascii="Times New Roman" w:hAnsi="Times New Roman" w:cs="Times New Roman"/>
          <w:sz w:val="24"/>
          <w:szCs w:val="24"/>
          <w:lang w:val="en-GB"/>
        </w:rPr>
      </w:pPr>
      <w:r w:rsidRPr="00622BF0">
        <w:rPr>
          <w:rStyle w:val="jlqj4b"/>
          <w:rFonts w:ascii="Times New Roman" w:hAnsi="Times New Roman" w:cs="Times New Roman"/>
          <w:sz w:val="24"/>
          <w:szCs w:val="24"/>
          <w:lang w:val="en-GB"/>
        </w:rPr>
        <w:lastRenderedPageBreak/>
        <w:t>These 156 papers were reviewed for inclusion by the research team</w:t>
      </w:r>
      <w:r w:rsidR="00113E72" w:rsidRPr="00622BF0">
        <w:rPr>
          <w:rStyle w:val="jlqj4b"/>
          <w:rFonts w:ascii="Times New Roman" w:hAnsi="Times New Roman" w:cs="Times New Roman"/>
          <w:sz w:val="24"/>
          <w:szCs w:val="24"/>
          <w:lang w:val="en-GB"/>
        </w:rPr>
        <w:t xml:space="preserve"> and non-relevant papers excluded from the corpus after successive closer examination. This screening process is summarised in </w:t>
      </w:r>
      <w:r w:rsidR="00113E72" w:rsidRPr="00622BF0">
        <w:rPr>
          <w:rStyle w:val="jlqj4b"/>
          <w:rFonts w:ascii="Times New Roman" w:hAnsi="Times New Roman" w:cs="Times New Roman"/>
          <w:sz w:val="24"/>
          <w:szCs w:val="24"/>
          <w:lang w:val="en-GB"/>
        </w:rPr>
        <w:fldChar w:fldCharType="begin"/>
      </w:r>
      <w:r w:rsidR="00113E72" w:rsidRPr="00622BF0">
        <w:rPr>
          <w:rStyle w:val="jlqj4b"/>
          <w:rFonts w:ascii="Times New Roman" w:hAnsi="Times New Roman" w:cs="Times New Roman"/>
          <w:sz w:val="24"/>
          <w:szCs w:val="24"/>
          <w:lang w:val="en-GB"/>
        </w:rPr>
        <w:instrText xml:space="preserve"> REF _Ref120722270 \h </w:instrText>
      </w:r>
      <w:r w:rsidR="00070EC4" w:rsidRPr="00622BF0">
        <w:rPr>
          <w:rStyle w:val="jlqj4b"/>
          <w:rFonts w:ascii="Times New Roman" w:hAnsi="Times New Roman" w:cs="Times New Roman"/>
          <w:sz w:val="24"/>
          <w:szCs w:val="24"/>
          <w:lang w:val="en-GB"/>
        </w:rPr>
        <w:instrText xml:space="preserve"> \* MERGEFORMAT </w:instrText>
      </w:r>
      <w:r w:rsidR="00113E72" w:rsidRPr="00622BF0">
        <w:rPr>
          <w:rStyle w:val="jlqj4b"/>
          <w:rFonts w:ascii="Times New Roman" w:hAnsi="Times New Roman" w:cs="Times New Roman"/>
          <w:sz w:val="24"/>
          <w:szCs w:val="24"/>
          <w:lang w:val="en-GB"/>
        </w:rPr>
      </w:r>
      <w:r w:rsidR="00113E72" w:rsidRPr="00622BF0">
        <w:rPr>
          <w:rStyle w:val="jlqj4b"/>
          <w:rFonts w:ascii="Times New Roman" w:hAnsi="Times New Roman" w:cs="Times New Roman"/>
          <w:sz w:val="24"/>
          <w:szCs w:val="24"/>
          <w:lang w:val="en-GB"/>
        </w:rPr>
        <w:fldChar w:fldCharType="separate"/>
      </w:r>
      <w:r w:rsidR="00070EC4" w:rsidRPr="008E2CAA">
        <w:rPr>
          <w:rFonts w:ascii="Times New Roman" w:hAnsi="Times New Roman" w:cs="Times New Roman"/>
          <w:sz w:val="24"/>
          <w:szCs w:val="24"/>
          <w:lang w:val="en-GB"/>
        </w:rPr>
        <w:t xml:space="preserve">Table </w:t>
      </w:r>
      <w:r w:rsidR="00070EC4" w:rsidRPr="008E2CAA">
        <w:rPr>
          <w:rFonts w:ascii="Times New Roman" w:hAnsi="Times New Roman" w:cs="Times New Roman"/>
          <w:noProof/>
          <w:sz w:val="24"/>
          <w:szCs w:val="24"/>
          <w:lang w:val="en-GB"/>
        </w:rPr>
        <w:t>3</w:t>
      </w:r>
      <w:r w:rsidR="00113E72" w:rsidRPr="00622BF0">
        <w:rPr>
          <w:rStyle w:val="jlqj4b"/>
          <w:rFonts w:ascii="Times New Roman" w:hAnsi="Times New Roman" w:cs="Times New Roman"/>
          <w:sz w:val="24"/>
          <w:szCs w:val="24"/>
          <w:lang w:val="en-GB"/>
        </w:rPr>
        <w:fldChar w:fldCharType="end"/>
      </w:r>
      <w:r w:rsidR="00070EC4" w:rsidRPr="00622BF0">
        <w:rPr>
          <w:rStyle w:val="jlqj4b"/>
          <w:rFonts w:ascii="Times New Roman" w:hAnsi="Times New Roman" w:cs="Times New Roman"/>
          <w:sz w:val="24"/>
          <w:szCs w:val="24"/>
          <w:lang w:val="en-GB"/>
        </w:rPr>
        <w:t xml:space="preserve"> and resulted in a final corpus </w:t>
      </w:r>
      <w:r w:rsidR="003B6541" w:rsidRPr="00622BF0">
        <w:rPr>
          <w:rStyle w:val="jlqj4b"/>
          <w:rFonts w:ascii="Times New Roman" w:hAnsi="Times New Roman" w:cs="Times New Roman"/>
          <w:sz w:val="24"/>
          <w:szCs w:val="24"/>
          <w:lang w:val="en-GB"/>
        </w:rPr>
        <w:t>of 87</w:t>
      </w:r>
      <w:r w:rsidR="00EB3648" w:rsidRPr="00622BF0">
        <w:rPr>
          <w:rStyle w:val="jlqj4b"/>
          <w:rFonts w:ascii="Times New Roman" w:hAnsi="Times New Roman" w:cs="Times New Roman"/>
          <w:sz w:val="24"/>
          <w:szCs w:val="24"/>
          <w:lang w:val="en-GB"/>
        </w:rPr>
        <w:t xml:space="preserve"> academic articles and peer-reviewed books sections.</w:t>
      </w:r>
      <w:r w:rsidR="00EB3648" w:rsidRPr="00622BF0">
        <w:rPr>
          <w:rStyle w:val="viiyi"/>
          <w:rFonts w:ascii="Times New Roman" w:hAnsi="Times New Roman" w:cs="Times New Roman"/>
          <w:sz w:val="24"/>
          <w:szCs w:val="24"/>
          <w:lang w:val="en-GB"/>
        </w:rPr>
        <w:t xml:space="preserve"> </w:t>
      </w:r>
      <w:r w:rsidR="00EB3648" w:rsidRPr="00622BF0">
        <w:rPr>
          <w:rStyle w:val="jlqj4b"/>
          <w:rFonts w:ascii="Times New Roman" w:hAnsi="Times New Roman" w:cs="Times New Roman"/>
          <w:sz w:val="24"/>
          <w:szCs w:val="24"/>
          <w:lang w:val="en-GB"/>
        </w:rPr>
        <w:t xml:space="preserve">Figure 2 shows the process of searching and selecting bibliographic references (see A3 for the full list). </w:t>
      </w:r>
    </w:p>
    <w:p w14:paraId="03B03C81" w14:textId="20E67792" w:rsidR="002839FE" w:rsidRPr="008E2CAA" w:rsidRDefault="002839FE" w:rsidP="002839FE">
      <w:pPr>
        <w:pStyle w:val="Caption"/>
        <w:rPr>
          <w:rFonts w:ascii="Times New Roman" w:hAnsi="Times New Roman" w:cs="Times New Roman"/>
          <w:sz w:val="24"/>
          <w:szCs w:val="24"/>
          <w:lang w:val="en-GB"/>
        </w:rPr>
      </w:pPr>
      <w:bookmarkStart w:id="4" w:name="_Ref120722270"/>
      <w:r w:rsidRPr="008E2CAA">
        <w:rPr>
          <w:rFonts w:ascii="Times New Roman" w:hAnsi="Times New Roman" w:cs="Times New Roman"/>
          <w:sz w:val="24"/>
          <w:szCs w:val="24"/>
          <w:lang w:val="en-GB"/>
        </w:rPr>
        <w:t xml:space="preserve">Table </w:t>
      </w: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SEQ Table \* ARABIC </w:instrText>
      </w:r>
      <w:r w:rsidRPr="008E2CAA">
        <w:rPr>
          <w:rFonts w:ascii="Times New Roman" w:hAnsi="Times New Roman" w:cs="Times New Roman"/>
          <w:sz w:val="24"/>
          <w:szCs w:val="24"/>
          <w:lang w:val="en-GB"/>
        </w:rPr>
        <w:fldChar w:fldCharType="separate"/>
      </w:r>
      <w:r w:rsidR="00225553" w:rsidRPr="008E2CAA">
        <w:rPr>
          <w:rFonts w:ascii="Times New Roman" w:hAnsi="Times New Roman" w:cs="Times New Roman"/>
          <w:noProof/>
          <w:sz w:val="24"/>
          <w:szCs w:val="24"/>
          <w:lang w:val="en-GB"/>
        </w:rPr>
        <w:t>3</w:t>
      </w:r>
      <w:r w:rsidRPr="008E2CAA">
        <w:rPr>
          <w:rFonts w:ascii="Times New Roman" w:hAnsi="Times New Roman" w:cs="Times New Roman"/>
          <w:noProof/>
          <w:sz w:val="24"/>
          <w:szCs w:val="24"/>
          <w:lang w:val="en-GB"/>
        </w:rPr>
        <w:fldChar w:fldCharType="end"/>
      </w:r>
      <w:bookmarkEnd w:id="4"/>
      <w:r w:rsidR="00781A3E">
        <w:rPr>
          <w:rFonts w:ascii="Times New Roman" w:hAnsi="Times New Roman" w:cs="Times New Roman"/>
          <w:noProof/>
          <w:sz w:val="24"/>
          <w:szCs w:val="24"/>
          <w:lang w:val="en-GB"/>
        </w:rPr>
        <w:t xml:space="preserve"> </w:t>
      </w:r>
      <w:r w:rsidR="00781A3E">
        <w:rPr>
          <w:rFonts w:ascii="Times New Roman" w:hAnsi="Times New Roman" w:cs="Times New Roman"/>
          <w:sz w:val="24"/>
          <w:szCs w:val="24"/>
          <w:lang w:val="en-GB"/>
        </w:rPr>
        <w:t>HERE</w:t>
      </w:r>
      <w:r w:rsidRPr="008E2CAA">
        <w:rPr>
          <w:rFonts w:ascii="Times New Roman" w:hAnsi="Times New Roman" w:cs="Times New Roman"/>
          <w:sz w:val="24"/>
          <w:szCs w:val="24"/>
          <w:lang w:val="en-GB"/>
        </w:rPr>
        <w:t>. Overview of the screening process</w:t>
      </w:r>
    </w:p>
    <w:tbl>
      <w:tblPr>
        <w:tblW w:w="4340" w:type="dxa"/>
        <w:jc w:val="center"/>
        <w:tblLook w:val="04A0" w:firstRow="1" w:lastRow="0" w:firstColumn="1" w:lastColumn="0" w:noHBand="0" w:noVBand="1"/>
      </w:tblPr>
      <w:tblGrid>
        <w:gridCol w:w="222"/>
        <w:gridCol w:w="3186"/>
        <w:gridCol w:w="352"/>
        <w:gridCol w:w="840"/>
      </w:tblGrid>
      <w:tr w:rsidR="002839FE" w:rsidRPr="004C1DE3" w14:paraId="0A59CE06" w14:textId="77777777" w:rsidTr="00B8531A">
        <w:trPr>
          <w:trHeight w:val="270"/>
          <w:jc w:val="center"/>
        </w:trPr>
        <w:tc>
          <w:tcPr>
            <w:tcW w:w="3260" w:type="dxa"/>
            <w:gridSpan w:val="2"/>
            <w:tcBorders>
              <w:top w:val="single" w:sz="4" w:space="0" w:color="auto"/>
              <w:left w:val="nil"/>
              <w:bottom w:val="nil"/>
              <w:right w:val="nil"/>
            </w:tcBorders>
            <w:shd w:val="clear" w:color="auto" w:fill="auto"/>
            <w:noWrap/>
            <w:vAlign w:val="bottom"/>
            <w:hideMark/>
          </w:tcPr>
          <w:p w14:paraId="1B0DD025"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Scopus results</w:t>
            </w:r>
          </w:p>
        </w:tc>
        <w:tc>
          <w:tcPr>
            <w:tcW w:w="240" w:type="dxa"/>
            <w:tcBorders>
              <w:top w:val="single" w:sz="4" w:space="0" w:color="auto"/>
              <w:left w:val="nil"/>
              <w:bottom w:val="nil"/>
              <w:right w:val="nil"/>
            </w:tcBorders>
            <w:shd w:val="clear" w:color="auto" w:fill="auto"/>
            <w:noWrap/>
            <w:vAlign w:val="bottom"/>
            <w:hideMark/>
          </w:tcPr>
          <w:p w14:paraId="7BF6E684"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w:t>
            </w:r>
          </w:p>
        </w:tc>
        <w:tc>
          <w:tcPr>
            <w:tcW w:w="840" w:type="dxa"/>
            <w:tcBorders>
              <w:top w:val="single" w:sz="4" w:space="0" w:color="auto"/>
              <w:left w:val="nil"/>
              <w:bottom w:val="nil"/>
              <w:right w:val="nil"/>
            </w:tcBorders>
            <w:shd w:val="clear" w:color="auto" w:fill="auto"/>
            <w:noWrap/>
            <w:vAlign w:val="bottom"/>
            <w:hideMark/>
          </w:tcPr>
          <w:p w14:paraId="49F6564E"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156</w:t>
            </w:r>
          </w:p>
        </w:tc>
      </w:tr>
      <w:tr w:rsidR="002839FE" w:rsidRPr="004C1DE3" w14:paraId="6C39B55D" w14:textId="77777777" w:rsidTr="00B8531A">
        <w:trPr>
          <w:trHeight w:val="270"/>
          <w:jc w:val="center"/>
        </w:trPr>
        <w:tc>
          <w:tcPr>
            <w:tcW w:w="74" w:type="dxa"/>
            <w:vMerge w:val="restart"/>
            <w:tcBorders>
              <w:top w:val="nil"/>
              <w:left w:val="nil"/>
              <w:bottom w:val="double" w:sz="6" w:space="0" w:color="000000"/>
              <w:right w:val="nil"/>
            </w:tcBorders>
            <w:shd w:val="clear" w:color="auto" w:fill="auto"/>
            <w:noWrap/>
            <w:vAlign w:val="bottom"/>
            <w:hideMark/>
          </w:tcPr>
          <w:p w14:paraId="32416DEF" w14:textId="77777777" w:rsidR="002839FE" w:rsidRPr="008E2CAA" w:rsidRDefault="002839FE" w:rsidP="00B8531A">
            <w:pPr>
              <w:spacing w:after="0" w:line="240" w:lineRule="auto"/>
              <w:jc w:val="right"/>
              <w:rPr>
                <w:rFonts w:ascii="Times New Roman" w:eastAsia="Times New Roman" w:hAnsi="Times New Roman" w:cs="Times New Roman"/>
                <w:color w:val="000000"/>
                <w:sz w:val="24"/>
                <w:szCs w:val="24"/>
                <w:lang w:val="en-GB" w:eastAsia="en-GB"/>
              </w:rPr>
            </w:pPr>
          </w:p>
        </w:tc>
        <w:tc>
          <w:tcPr>
            <w:tcW w:w="3186" w:type="dxa"/>
            <w:tcBorders>
              <w:top w:val="nil"/>
              <w:left w:val="nil"/>
              <w:bottom w:val="nil"/>
              <w:right w:val="nil"/>
            </w:tcBorders>
            <w:shd w:val="clear" w:color="auto" w:fill="auto"/>
            <w:noWrap/>
            <w:vAlign w:val="bottom"/>
            <w:hideMark/>
          </w:tcPr>
          <w:p w14:paraId="132334AE"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Screening by title</w:t>
            </w:r>
          </w:p>
        </w:tc>
        <w:tc>
          <w:tcPr>
            <w:tcW w:w="240" w:type="dxa"/>
            <w:tcBorders>
              <w:top w:val="nil"/>
              <w:left w:val="nil"/>
              <w:bottom w:val="nil"/>
              <w:right w:val="nil"/>
            </w:tcBorders>
            <w:shd w:val="clear" w:color="auto" w:fill="auto"/>
            <w:noWrap/>
            <w:vAlign w:val="bottom"/>
            <w:hideMark/>
          </w:tcPr>
          <w:p w14:paraId="48A8BC4B"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w:t>
            </w:r>
          </w:p>
        </w:tc>
        <w:tc>
          <w:tcPr>
            <w:tcW w:w="840" w:type="dxa"/>
            <w:tcBorders>
              <w:top w:val="nil"/>
              <w:left w:val="nil"/>
              <w:bottom w:val="nil"/>
              <w:right w:val="nil"/>
            </w:tcBorders>
            <w:shd w:val="clear" w:color="auto" w:fill="auto"/>
            <w:noWrap/>
            <w:vAlign w:val="bottom"/>
            <w:hideMark/>
          </w:tcPr>
          <w:p w14:paraId="0C4C7539"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37</w:t>
            </w:r>
          </w:p>
        </w:tc>
      </w:tr>
      <w:tr w:rsidR="002839FE" w:rsidRPr="004C1DE3" w14:paraId="3D68F4DE" w14:textId="77777777" w:rsidTr="00B8531A">
        <w:trPr>
          <w:trHeight w:val="270"/>
          <w:jc w:val="center"/>
        </w:trPr>
        <w:tc>
          <w:tcPr>
            <w:tcW w:w="74" w:type="dxa"/>
            <w:vMerge/>
            <w:tcBorders>
              <w:top w:val="nil"/>
              <w:left w:val="nil"/>
              <w:bottom w:val="double" w:sz="6" w:space="0" w:color="000000"/>
              <w:right w:val="nil"/>
            </w:tcBorders>
            <w:vAlign w:val="center"/>
            <w:hideMark/>
          </w:tcPr>
          <w:p w14:paraId="7CEFB0AF" w14:textId="77777777" w:rsidR="002839FE" w:rsidRPr="008E2CAA" w:rsidRDefault="002839FE" w:rsidP="00B8531A">
            <w:pPr>
              <w:spacing w:after="0" w:line="240" w:lineRule="auto"/>
              <w:rPr>
                <w:rFonts w:ascii="Times New Roman" w:eastAsia="Times New Roman" w:hAnsi="Times New Roman" w:cs="Times New Roman"/>
                <w:color w:val="000000"/>
                <w:sz w:val="24"/>
                <w:szCs w:val="24"/>
                <w:lang w:val="en-GB" w:eastAsia="en-GB"/>
              </w:rPr>
            </w:pPr>
          </w:p>
        </w:tc>
        <w:tc>
          <w:tcPr>
            <w:tcW w:w="3186" w:type="dxa"/>
            <w:tcBorders>
              <w:top w:val="nil"/>
              <w:left w:val="nil"/>
              <w:bottom w:val="nil"/>
              <w:right w:val="nil"/>
            </w:tcBorders>
            <w:shd w:val="clear" w:color="auto" w:fill="auto"/>
            <w:noWrap/>
            <w:vAlign w:val="bottom"/>
            <w:hideMark/>
          </w:tcPr>
          <w:p w14:paraId="125A2C2D"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Screening by abstract</w:t>
            </w:r>
          </w:p>
        </w:tc>
        <w:tc>
          <w:tcPr>
            <w:tcW w:w="240" w:type="dxa"/>
            <w:tcBorders>
              <w:top w:val="nil"/>
              <w:left w:val="nil"/>
              <w:bottom w:val="nil"/>
              <w:right w:val="nil"/>
            </w:tcBorders>
            <w:shd w:val="clear" w:color="auto" w:fill="auto"/>
            <w:noWrap/>
            <w:vAlign w:val="bottom"/>
            <w:hideMark/>
          </w:tcPr>
          <w:p w14:paraId="285D84E7"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w:t>
            </w:r>
          </w:p>
        </w:tc>
        <w:tc>
          <w:tcPr>
            <w:tcW w:w="840" w:type="dxa"/>
            <w:tcBorders>
              <w:top w:val="nil"/>
              <w:left w:val="nil"/>
              <w:bottom w:val="nil"/>
              <w:right w:val="nil"/>
            </w:tcBorders>
            <w:shd w:val="clear" w:color="auto" w:fill="auto"/>
            <w:noWrap/>
            <w:vAlign w:val="bottom"/>
            <w:hideMark/>
          </w:tcPr>
          <w:p w14:paraId="26C0617E"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31</w:t>
            </w:r>
          </w:p>
        </w:tc>
      </w:tr>
      <w:tr w:rsidR="002839FE" w:rsidRPr="004C1DE3" w14:paraId="7020C2EB" w14:textId="77777777" w:rsidTr="00B8531A">
        <w:trPr>
          <w:trHeight w:val="285"/>
          <w:jc w:val="center"/>
        </w:trPr>
        <w:tc>
          <w:tcPr>
            <w:tcW w:w="74" w:type="dxa"/>
            <w:vMerge/>
            <w:tcBorders>
              <w:top w:val="nil"/>
              <w:left w:val="nil"/>
              <w:bottom w:val="double" w:sz="6" w:space="0" w:color="000000"/>
              <w:right w:val="nil"/>
            </w:tcBorders>
            <w:vAlign w:val="center"/>
            <w:hideMark/>
          </w:tcPr>
          <w:p w14:paraId="7E86B72B" w14:textId="77777777" w:rsidR="002839FE" w:rsidRPr="008E2CAA" w:rsidRDefault="002839FE" w:rsidP="00B8531A">
            <w:pPr>
              <w:spacing w:after="0" w:line="240" w:lineRule="auto"/>
              <w:rPr>
                <w:rFonts w:ascii="Times New Roman" w:eastAsia="Times New Roman" w:hAnsi="Times New Roman" w:cs="Times New Roman"/>
                <w:color w:val="000000"/>
                <w:sz w:val="24"/>
                <w:szCs w:val="24"/>
                <w:lang w:val="en-GB" w:eastAsia="en-GB"/>
              </w:rPr>
            </w:pPr>
          </w:p>
        </w:tc>
        <w:tc>
          <w:tcPr>
            <w:tcW w:w="3186" w:type="dxa"/>
            <w:tcBorders>
              <w:top w:val="nil"/>
              <w:left w:val="nil"/>
              <w:bottom w:val="double" w:sz="6" w:space="0" w:color="auto"/>
              <w:right w:val="nil"/>
            </w:tcBorders>
            <w:shd w:val="clear" w:color="auto" w:fill="auto"/>
            <w:noWrap/>
            <w:vAlign w:val="bottom"/>
            <w:hideMark/>
          </w:tcPr>
          <w:p w14:paraId="112DFA9D"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Full text screening:</w:t>
            </w:r>
          </w:p>
        </w:tc>
        <w:tc>
          <w:tcPr>
            <w:tcW w:w="240" w:type="dxa"/>
            <w:tcBorders>
              <w:top w:val="nil"/>
              <w:left w:val="nil"/>
              <w:bottom w:val="double" w:sz="6" w:space="0" w:color="auto"/>
              <w:right w:val="nil"/>
            </w:tcBorders>
            <w:shd w:val="clear" w:color="auto" w:fill="auto"/>
            <w:noWrap/>
            <w:vAlign w:val="bottom"/>
            <w:hideMark/>
          </w:tcPr>
          <w:p w14:paraId="2BF4149B"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w:t>
            </w:r>
          </w:p>
        </w:tc>
        <w:tc>
          <w:tcPr>
            <w:tcW w:w="840" w:type="dxa"/>
            <w:tcBorders>
              <w:top w:val="nil"/>
              <w:left w:val="nil"/>
              <w:bottom w:val="double" w:sz="6" w:space="0" w:color="auto"/>
              <w:right w:val="nil"/>
            </w:tcBorders>
            <w:shd w:val="clear" w:color="auto" w:fill="auto"/>
            <w:noWrap/>
            <w:vAlign w:val="bottom"/>
            <w:hideMark/>
          </w:tcPr>
          <w:p w14:paraId="4DC7414B"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1</w:t>
            </w:r>
          </w:p>
        </w:tc>
      </w:tr>
      <w:tr w:rsidR="002839FE" w:rsidRPr="004C1DE3" w14:paraId="11A2C1B9" w14:textId="77777777" w:rsidTr="00B8531A">
        <w:trPr>
          <w:trHeight w:val="285"/>
          <w:jc w:val="center"/>
        </w:trPr>
        <w:tc>
          <w:tcPr>
            <w:tcW w:w="3260" w:type="dxa"/>
            <w:gridSpan w:val="2"/>
            <w:tcBorders>
              <w:top w:val="nil"/>
              <w:left w:val="nil"/>
              <w:bottom w:val="nil"/>
              <w:right w:val="nil"/>
            </w:tcBorders>
            <w:shd w:val="clear" w:color="auto" w:fill="auto"/>
            <w:noWrap/>
            <w:vAlign w:val="bottom"/>
            <w:hideMark/>
          </w:tcPr>
          <w:p w14:paraId="33E2A80F"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Final corpus</w:t>
            </w:r>
          </w:p>
        </w:tc>
        <w:tc>
          <w:tcPr>
            <w:tcW w:w="240" w:type="dxa"/>
            <w:tcBorders>
              <w:top w:val="nil"/>
              <w:left w:val="nil"/>
              <w:bottom w:val="nil"/>
              <w:right w:val="nil"/>
            </w:tcBorders>
            <w:shd w:val="clear" w:color="auto" w:fill="auto"/>
            <w:noWrap/>
            <w:vAlign w:val="bottom"/>
            <w:hideMark/>
          </w:tcPr>
          <w:p w14:paraId="19561680"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w:t>
            </w:r>
          </w:p>
        </w:tc>
        <w:tc>
          <w:tcPr>
            <w:tcW w:w="840" w:type="dxa"/>
            <w:tcBorders>
              <w:top w:val="nil"/>
              <w:left w:val="nil"/>
              <w:bottom w:val="nil"/>
              <w:right w:val="nil"/>
            </w:tcBorders>
            <w:shd w:val="clear" w:color="auto" w:fill="auto"/>
            <w:noWrap/>
            <w:vAlign w:val="bottom"/>
            <w:hideMark/>
          </w:tcPr>
          <w:p w14:paraId="16A9F82E" w14:textId="77777777" w:rsidR="002839FE" w:rsidRPr="008E2CAA" w:rsidRDefault="002839FE" w:rsidP="00277BD5">
            <w:pPr>
              <w:jc w:val="both"/>
              <w:rPr>
                <w:rFonts w:ascii="Times New Roman" w:hAnsi="Times New Roman" w:cs="Times New Roman"/>
                <w:sz w:val="24"/>
                <w:szCs w:val="24"/>
                <w:lang w:val="en-GB" w:eastAsia="en-GB"/>
              </w:rPr>
            </w:pPr>
            <w:r w:rsidRPr="008E2CAA">
              <w:rPr>
                <w:rFonts w:ascii="Times New Roman" w:hAnsi="Times New Roman" w:cs="Times New Roman"/>
                <w:sz w:val="24"/>
                <w:szCs w:val="24"/>
                <w:lang w:val="en-GB" w:eastAsia="en-GB"/>
              </w:rPr>
              <w:t>87</w:t>
            </w:r>
          </w:p>
        </w:tc>
      </w:tr>
    </w:tbl>
    <w:p w14:paraId="2F975CE4" w14:textId="77777777" w:rsidR="003B6541" w:rsidRPr="008E2CAA" w:rsidRDefault="003B6541" w:rsidP="00277BD5">
      <w:pPr>
        <w:jc w:val="both"/>
        <w:rPr>
          <w:rFonts w:ascii="Times New Roman" w:hAnsi="Times New Roman" w:cs="Times New Roman"/>
          <w:sz w:val="24"/>
          <w:szCs w:val="24"/>
          <w:lang w:val="en-GB"/>
        </w:rPr>
      </w:pPr>
      <w:bookmarkStart w:id="5" w:name="_Hlk120195620"/>
    </w:p>
    <w:p w14:paraId="213EEAD5" w14:textId="14598D00" w:rsidR="003B6541" w:rsidRPr="008E2CAA" w:rsidRDefault="003653C3"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All the papers were read from start to finish by the authors. The lead author issued batches of papers to each team member, who then proceeded to read and summarise. To harmonise examination of each paper, an extraction form was conceived (see Appendix </w:t>
      </w:r>
      <w:r w:rsidR="00866DDE">
        <w:rPr>
          <w:rFonts w:ascii="Times New Roman" w:hAnsi="Times New Roman" w:cs="Times New Roman"/>
          <w:sz w:val="24"/>
          <w:szCs w:val="24"/>
          <w:lang w:val="en-GB"/>
        </w:rPr>
        <w:t>A1</w:t>
      </w:r>
      <w:r w:rsidRPr="008E2CAA">
        <w:rPr>
          <w:rFonts w:ascii="Times New Roman" w:hAnsi="Times New Roman" w:cs="Times New Roman"/>
          <w:sz w:val="24"/>
          <w:szCs w:val="24"/>
          <w:lang w:val="en-GB"/>
        </w:rPr>
        <w:t xml:space="preserve">) based on our conceptual framework. To </w:t>
      </w:r>
      <w:r w:rsidR="003B6541" w:rsidRPr="008E2CAA">
        <w:rPr>
          <w:rFonts w:ascii="Times New Roman" w:hAnsi="Times New Roman" w:cs="Times New Roman"/>
          <w:sz w:val="24"/>
          <w:szCs w:val="24"/>
          <w:lang w:val="en-GB"/>
        </w:rPr>
        <w:t>classify papers in terms of research design</w:t>
      </w:r>
      <w:r w:rsidRPr="008E2CAA">
        <w:rPr>
          <w:rFonts w:ascii="Times New Roman" w:hAnsi="Times New Roman" w:cs="Times New Roman"/>
          <w:sz w:val="24"/>
          <w:szCs w:val="24"/>
          <w:lang w:val="en-GB"/>
        </w:rPr>
        <w:t xml:space="preserve"> we adopted the criteria devised by </w:t>
      </w:r>
      <w:proofErr w:type="spellStart"/>
      <w:r w:rsidRPr="008E2CAA">
        <w:rPr>
          <w:rFonts w:ascii="Times New Roman" w:hAnsi="Times New Roman" w:cs="Times New Roman"/>
          <w:sz w:val="24"/>
          <w:szCs w:val="24"/>
          <w:lang w:val="en-GB"/>
        </w:rPr>
        <w:t>Gorard</w:t>
      </w:r>
      <w:proofErr w:type="spellEnd"/>
      <w:r w:rsidRPr="008E2CAA">
        <w:rPr>
          <w:rFonts w:ascii="Times New Roman" w:hAnsi="Times New Roman" w:cs="Times New Roman"/>
          <w:sz w:val="24"/>
          <w:szCs w:val="24"/>
          <w:lang w:val="en-GB"/>
        </w:rPr>
        <w:t xml:space="preserve"> et al. (2019). This framework rates the strength of research design </w:t>
      </w:r>
      <w:r w:rsidR="006D504F" w:rsidRPr="008E2CAA">
        <w:rPr>
          <w:rFonts w:ascii="Times New Roman" w:hAnsi="Times New Roman" w:cs="Times New Roman"/>
          <w:sz w:val="24"/>
          <w:szCs w:val="24"/>
          <w:lang w:val="en-GB"/>
        </w:rPr>
        <w:t xml:space="preserve">across </w:t>
      </w:r>
      <w:r w:rsidRPr="008E2CAA">
        <w:rPr>
          <w:rFonts w:ascii="Times New Roman" w:hAnsi="Times New Roman" w:cs="Times New Roman"/>
          <w:sz w:val="24"/>
          <w:szCs w:val="24"/>
          <w:lang w:val="en-GB"/>
        </w:rPr>
        <w:t xml:space="preserve">four </w:t>
      </w:r>
      <w:r w:rsidR="006D504F" w:rsidRPr="008E2CAA">
        <w:rPr>
          <w:rFonts w:ascii="Times New Roman" w:hAnsi="Times New Roman" w:cs="Times New Roman"/>
          <w:sz w:val="24"/>
          <w:szCs w:val="24"/>
          <w:lang w:val="en-GB"/>
        </w:rPr>
        <w:t xml:space="preserve">dimensions, Design, Scale, Completeness of Data and Quality of Data. </w:t>
      </w:r>
      <w:r w:rsidRPr="008E2CAA">
        <w:rPr>
          <w:rFonts w:ascii="Times New Roman" w:hAnsi="Times New Roman" w:cs="Times New Roman"/>
          <w:sz w:val="24"/>
          <w:szCs w:val="24"/>
          <w:lang w:val="en-GB"/>
        </w:rPr>
        <w:t>Each dimension has 5-points scale.</w:t>
      </w:r>
      <w:r w:rsidR="004E4619">
        <w:rPr>
          <w:rFonts w:ascii="Times New Roman" w:hAnsi="Times New Roman" w:cs="Times New Roman"/>
          <w:sz w:val="24"/>
          <w:szCs w:val="24"/>
          <w:lang w:val="en-GB"/>
        </w:rPr>
        <w:t xml:space="preserve"> </w:t>
      </w:r>
      <w:r w:rsidR="006D504F" w:rsidRPr="008E2CAA">
        <w:rPr>
          <w:rFonts w:ascii="Times New Roman" w:hAnsi="Times New Roman" w:cs="Times New Roman"/>
          <w:sz w:val="24"/>
          <w:szCs w:val="24"/>
          <w:lang w:val="en-GB"/>
        </w:rPr>
        <w:t xml:space="preserve">This categorisation is summarised in </w:t>
      </w:r>
      <w:r w:rsidR="003B6541" w:rsidRPr="008E2CAA">
        <w:rPr>
          <w:rFonts w:ascii="Times New Roman" w:hAnsi="Times New Roman" w:cs="Times New Roman"/>
          <w:sz w:val="24"/>
          <w:szCs w:val="24"/>
          <w:lang w:val="en-GB"/>
        </w:rPr>
        <w:fldChar w:fldCharType="begin"/>
      </w:r>
      <w:r w:rsidR="003B6541" w:rsidRPr="008E2CAA">
        <w:rPr>
          <w:rFonts w:ascii="Times New Roman" w:hAnsi="Times New Roman" w:cs="Times New Roman"/>
          <w:sz w:val="24"/>
          <w:szCs w:val="24"/>
          <w:lang w:val="en-GB"/>
        </w:rPr>
        <w:instrText xml:space="preserve"> REF _Ref120723022 \h  \* MERGEFORMAT </w:instrText>
      </w:r>
      <w:r w:rsidR="003B6541" w:rsidRPr="008E2CAA">
        <w:rPr>
          <w:rFonts w:ascii="Times New Roman" w:hAnsi="Times New Roman" w:cs="Times New Roman"/>
          <w:sz w:val="24"/>
          <w:szCs w:val="24"/>
          <w:lang w:val="en-GB"/>
        </w:rPr>
      </w:r>
      <w:r w:rsidR="003B6541" w:rsidRPr="008E2CAA">
        <w:rPr>
          <w:rFonts w:ascii="Times New Roman" w:hAnsi="Times New Roman" w:cs="Times New Roman"/>
          <w:sz w:val="24"/>
          <w:szCs w:val="24"/>
          <w:lang w:val="en-GB"/>
        </w:rPr>
        <w:fldChar w:fldCharType="separate"/>
      </w:r>
      <w:r w:rsidR="003B6541" w:rsidRPr="008E2CAA">
        <w:rPr>
          <w:rFonts w:ascii="Times New Roman" w:hAnsi="Times New Roman" w:cs="Times New Roman"/>
          <w:sz w:val="24"/>
          <w:szCs w:val="24"/>
          <w:lang w:val="en-GB"/>
        </w:rPr>
        <w:t xml:space="preserve">Table </w:t>
      </w:r>
      <w:r w:rsidR="003B6541" w:rsidRPr="008E2CAA">
        <w:rPr>
          <w:rFonts w:ascii="Times New Roman" w:hAnsi="Times New Roman" w:cs="Times New Roman"/>
          <w:sz w:val="24"/>
          <w:szCs w:val="24"/>
          <w:lang w:val="en-GB"/>
        </w:rPr>
        <w:fldChar w:fldCharType="end"/>
      </w:r>
      <w:r w:rsidR="00866DDE">
        <w:rPr>
          <w:rFonts w:ascii="Times New Roman" w:hAnsi="Times New Roman" w:cs="Times New Roman"/>
          <w:sz w:val="24"/>
          <w:szCs w:val="24"/>
          <w:lang w:val="en-GB"/>
        </w:rPr>
        <w:t>4</w:t>
      </w:r>
      <w:r w:rsidR="003B6541" w:rsidRPr="008E2CAA">
        <w:rPr>
          <w:rFonts w:ascii="Times New Roman" w:hAnsi="Times New Roman" w:cs="Times New Roman"/>
          <w:sz w:val="24"/>
          <w:szCs w:val="24"/>
          <w:lang w:val="en-GB"/>
        </w:rPr>
        <w:t xml:space="preserve"> below. For moderation, the research team met at regular intervals to present and discuss findings reported in the extraction forms.</w:t>
      </w:r>
    </w:p>
    <w:p w14:paraId="283501FF" w14:textId="6F65584D" w:rsidR="003B6541" w:rsidRPr="008E2CAA" w:rsidRDefault="003B6541" w:rsidP="003B6541">
      <w:pPr>
        <w:pStyle w:val="Bibliography"/>
        <w:spacing w:line="276" w:lineRule="auto"/>
        <w:jc w:val="both"/>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 xml:space="preserve">Table </w:t>
      </w:r>
      <w:r w:rsidRPr="008E2CAA">
        <w:rPr>
          <w:rFonts w:ascii="Times New Roman" w:hAnsi="Times New Roman" w:cs="Times New Roman"/>
          <w:b/>
          <w:bCs/>
          <w:sz w:val="24"/>
          <w:szCs w:val="24"/>
        </w:rPr>
        <w:fldChar w:fldCharType="begin"/>
      </w:r>
      <w:r w:rsidRPr="008E2CAA">
        <w:rPr>
          <w:rFonts w:ascii="Times New Roman" w:hAnsi="Times New Roman" w:cs="Times New Roman"/>
          <w:b/>
          <w:bCs/>
          <w:sz w:val="24"/>
          <w:szCs w:val="24"/>
          <w:lang w:val="en-GB"/>
        </w:rPr>
        <w:instrText xml:space="preserve"> SEQ Table \* ARABIC </w:instrText>
      </w:r>
      <w:r w:rsidRPr="008E2CAA">
        <w:rPr>
          <w:rFonts w:ascii="Times New Roman" w:hAnsi="Times New Roman" w:cs="Times New Roman"/>
          <w:b/>
          <w:bCs/>
          <w:sz w:val="24"/>
          <w:szCs w:val="24"/>
        </w:rPr>
        <w:fldChar w:fldCharType="separate"/>
      </w:r>
      <w:r w:rsidR="00225553" w:rsidRPr="008E2CAA">
        <w:rPr>
          <w:rFonts w:ascii="Times New Roman" w:hAnsi="Times New Roman" w:cs="Times New Roman"/>
          <w:b/>
          <w:bCs/>
          <w:noProof/>
          <w:sz w:val="24"/>
          <w:szCs w:val="24"/>
          <w:lang w:val="en-GB"/>
        </w:rPr>
        <w:t>4</w:t>
      </w:r>
      <w:r w:rsidRPr="008E2CAA">
        <w:rPr>
          <w:rFonts w:ascii="Times New Roman" w:hAnsi="Times New Roman" w:cs="Times New Roman"/>
          <w:b/>
          <w:bCs/>
          <w:sz w:val="24"/>
          <w:szCs w:val="24"/>
        </w:rPr>
        <w:fldChar w:fldCharType="end"/>
      </w:r>
      <w:r w:rsidR="00781A3E" w:rsidRPr="00781A3E">
        <w:rPr>
          <w:rFonts w:ascii="Times New Roman" w:hAnsi="Times New Roman" w:cs="Times New Roman"/>
          <w:b/>
          <w:bCs/>
          <w:sz w:val="24"/>
          <w:szCs w:val="24"/>
          <w:lang w:val="en-GB"/>
        </w:rPr>
        <w:t xml:space="preserve"> HERE.</w:t>
      </w:r>
      <w:r w:rsidRPr="008E2CAA">
        <w:rPr>
          <w:rFonts w:ascii="Times New Roman" w:hAnsi="Times New Roman" w:cs="Times New Roman"/>
          <w:b/>
          <w:bCs/>
          <w:sz w:val="24"/>
          <w:szCs w:val="24"/>
          <w:lang w:val="en-GB"/>
        </w:rPr>
        <w:t xml:space="preserve"> Research design quality evaluation grid</w:t>
      </w:r>
    </w:p>
    <w:tbl>
      <w:tblPr>
        <w:tblW w:w="9780" w:type="dxa"/>
        <w:tblLook w:val="04A0" w:firstRow="1" w:lastRow="0" w:firstColumn="1" w:lastColumn="0" w:noHBand="0" w:noVBand="1"/>
      </w:tblPr>
      <w:tblGrid>
        <w:gridCol w:w="1742"/>
        <w:gridCol w:w="2294"/>
        <w:gridCol w:w="2477"/>
        <w:gridCol w:w="2473"/>
        <w:gridCol w:w="794"/>
      </w:tblGrid>
      <w:tr w:rsidR="00847361" w:rsidRPr="00847361" w14:paraId="7DB531D1" w14:textId="77777777" w:rsidTr="00847361">
        <w:trPr>
          <w:trHeight w:val="280"/>
        </w:trPr>
        <w:tc>
          <w:tcPr>
            <w:tcW w:w="1760" w:type="dxa"/>
            <w:tcBorders>
              <w:top w:val="nil"/>
              <w:left w:val="nil"/>
              <w:bottom w:val="nil"/>
              <w:right w:val="nil"/>
            </w:tcBorders>
            <w:shd w:val="clear" w:color="000000" w:fill="FFFFFF"/>
            <w:vAlign w:val="bottom"/>
            <w:hideMark/>
          </w:tcPr>
          <w:p w14:paraId="105421CA" w14:textId="77777777" w:rsidR="00847361" w:rsidRPr="00847361" w:rsidRDefault="00847361" w:rsidP="00847361">
            <w:pPr>
              <w:spacing w:after="0" w:line="240" w:lineRule="auto"/>
              <w:rPr>
                <w:rFonts w:ascii="Times New Roman" w:eastAsia="Times New Roman" w:hAnsi="Times New Roman" w:cs="Times New Roman"/>
                <w:b/>
                <w:bCs/>
                <w:color w:val="000000"/>
                <w:sz w:val="20"/>
                <w:szCs w:val="20"/>
                <w:lang w:val="en-GB" w:eastAsia="en-GB"/>
              </w:rPr>
            </w:pPr>
            <w:r w:rsidRPr="00847361">
              <w:rPr>
                <w:rFonts w:ascii="Times New Roman" w:eastAsia="Times New Roman" w:hAnsi="Times New Roman" w:cs="Times New Roman"/>
                <w:b/>
                <w:bCs/>
                <w:color w:val="000000"/>
                <w:sz w:val="20"/>
                <w:szCs w:val="20"/>
                <w:lang w:val="en-GB" w:eastAsia="en-GB"/>
              </w:rPr>
              <w:t>Design</w:t>
            </w:r>
          </w:p>
        </w:tc>
        <w:tc>
          <w:tcPr>
            <w:tcW w:w="2340" w:type="dxa"/>
            <w:tcBorders>
              <w:top w:val="nil"/>
              <w:left w:val="nil"/>
              <w:bottom w:val="nil"/>
              <w:right w:val="nil"/>
            </w:tcBorders>
            <w:shd w:val="clear" w:color="000000" w:fill="FFFFFF"/>
            <w:vAlign w:val="bottom"/>
            <w:hideMark/>
          </w:tcPr>
          <w:p w14:paraId="06A0F424" w14:textId="77777777" w:rsidR="00847361" w:rsidRPr="00847361" w:rsidRDefault="00847361" w:rsidP="00847361">
            <w:pPr>
              <w:spacing w:after="0" w:line="240" w:lineRule="auto"/>
              <w:rPr>
                <w:rFonts w:ascii="Times New Roman" w:eastAsia="Times New Roman" w:hAnsi="Times New Roman" w:cs="Times New Roman"/>
                <w:b/>
                <w:bCs/>
                <w:color w:val="000000"/>
                <w:sz w:val="20"/>
                <w:szCs w:val="20"/>
                <w:lang w:val="en-GB" w:eastAsia="en-GB"/>
              </w:rPr>
            </w:pPr>
            <w:r w:rsidRPr="00847361">
              <w:rPr>
                <w:rFonts w:ascii="Times New Roman" w:eastAsia="Times New Roman" w:hAnsi="Times New Roman" w:cs="Times New Roman"/>
                <w:b/>
                <w:bCs/>
                <w:color w:val="000000"/>
                <w:sz w:val="20"/>
                <w:szCs w:val="20"/>
                <w:lang w:val="en-GB" w:eastAsia="en-GB"/>
              </w:rPr>
              <w:t>Scale</w:t>
            </w:r>
          </w:p>
        </w:tc>
        <w:tc>
          <w:tcPr>
            <w:tcW w:w="2520" w:type="dxa"/>
            <w:tcBorders>
              <w:top w:val="nil"/>
              <w:left w:val="nil"/>
              <w:bottom w:val="nil"/>
              <w:right w:val="nil"/>
            </w:tcBorders>
            <w:shd w:val="clear" w:color="000000" w:fill="FFFFFF"/>
            <w:vAlign w:val="bottom"/>
            <w:hideMark/>
          </w:tcPr>
          <w:p w14:paraId="67C2AD91" w14:textId="77777777" w:rsidR="00847361" w:rsidRPr="00847361" w:rsidRDefault="00847361" w:rsidP="00847361">
            <w:pPr>
              <w:spacing w:after="0" w:line="240" w:lineRule="auto"/>
              <w:rPr>
                <w:rFonts w:ascii="Times New Roman" w:eastAsia="Times New Roman" w:hAnsi="Times New Roman" w:cs="Times New Roman"/>
                <w:b/>
                <w:bCs/>
                <w:color w:val="000000"/>
                <w:sz w:val="20"/>
                <w:szCs w:val="20"/>
                <w:lang w:val="en-GB" w:eastAsia="en-GB"/>
              </w:rPr>
            </w:pPr>
            <w:r w:rsidRPr="00847361">
              <w:rPr>
                <w:rFonts w:ascii="Times New Roman" w:eastAsia="Times New Roman" w:hAnsi="Times New Roman" w:cs="Times New Roman"/>
                <w:b/>
                <w:bCs/>
                <w:color w:val="000000"/>
                <w:sz w:val="20"/>
                <w:szCs w:val="20"/>
                <w:lang w:val="en-GB" w:eastAsia="en-GB"/>
              </w:rPr>
              <w:t>Completeness of data</w:t>
            </w:r>
          </w:p>
        </w:tc>
        <w:tc>
          <w:tcPr>
            <w:tcW w:w="2520" w:type="dxa"/>
            <w:tcBorders>
              <w:top w:val="nil"/>
              <w:left w:val="nil"/>
              <w:bottom w:val="nil"/>
              <w:right w:val="nil"/>
            </w:tcBorders>
            <w:shd w:val="clear" w:color="000000" w:fill="FFFFFF"/>
            <w:vAlign w:val="bottom"/>
            <w:hideMark/>
          </w:tcPr>
          <w:p w14:paraId="32897F20" w14:textId="77777777" w:rsidR="00847361" w:rsidRPr="00847361" w:rsidRDefault="00847361" w:rsidP="00847361">
            <w:pPr>
              <w:spacing w:after="0" w:line="240" w:lineRule="auto"/>
              <w:rPr>
                <w:rFonts w:ascii="Times New Roman" w:eastAsia="Times New Roman" w:hAnsi="Times New Roman" w:cs="Times New Roman"/>
                <w:b/>
                <w:bCs/>
                <w:color w:val="000000"/>
                <w:sz w:val="20"/>
                <w:szCs w:val="20"/>
                <w:lang w:val="en-GB" w:eastAsia="en-GB"/>
              </w:rPr>
            </w:pPr>
            <w:r w:rsidRPr="00847361">
              <w:rPr>
                <w:rFonts w:ascii="Times New Roman" w:eastAsia="Times New Roman" w:hAnsi="Times New Roman" w:cs="Times New Roman"/>
                <w:b/>
                <w:bCs/>
                <w:color w:val="000000"/>
                <w:sz w:val="20"/>
                <w:szCs w:val="20"/>
                <w:lang w:val="en-GB" w:eastAsia="en-GB"/>
              </w:rPr>
              <w:t>Data quality</w:t>
            </w:r>
          </w:p>
        </w:tc>
        <w:tc>
          <w:tcPr>
            <w:tcW w:w="640" w:type="dxa"/>
            <w:tcBorders>
              <w:top w:val="nil"/>
              <w:left w:val="nil"/>
              <w:bottom w:val="nil"/>
              <w:right w:val="nil"/>
            </w:tcBorders>
            <w:shd w:val="clear" w:color="000000" w:fill="FFFFFF"/>
            <w:noWrap/>
            <w:vAlign w:val="bottom"/>
            <w:hideMark/>
          </w:tcPr>
          <w:p w14:paraId="5FDEB43B" w14:textId="77777777" w:rsidR="00847361" w:rsidRPr="00847361" w:rsidRDefault="00847361" w:rsidP="00847361">
            <w:pPr>
              <w:spacing w:after="0" w:line="240" w:lineRule="auto"/>
              <w:rPr>
                <w:rFonts w:ascii="Times New Roman" w:eastAsia="Times New Roman" w:hAnsi="Times New Roman" w:cs="Times New Roman"/>
                <w:b/>
                <w:bCs/>
                <w:color w:val="000000"/>
                <w:sz w:val="20"/>
                <w:szCs w:val="20"/>
                <w:lang w:val="en-GB" w:eastAsia="en-GB"/>
              </w:rPr>
            </w:pPr>
            <w:r w:rsidRPr="00847361">
              <w:rPr>
                <w:rFonts w:ascii="Times New Roman" w:eastAsia="Times New Roman" w:hAnsi="Times New Roman" w:cs="Times New Roman"/>
                <w:b/>
                <w:bCs/>
                <w:color w:val="000000"/>
                <w:sz w:val="20"/>
                <w:szCs w:val="20"/>
                <w:lang w:val="en-GB" w:eastAsia="en-GB"/>
              </w:rPr>
              <w:t>Rating</w:t>
            </w:r>
          </w:p>
        </w:tc>
      </w:tr>
      <w:tr w:rsidR="00847361" w:rsidRPr="00847361" w14:paraId="1DAEAE2C" w14:textId="77777777" w:rsidTr="00847361">
        <w:trPr>
          <w:trHeight w:val="640"/>
        </w:trPr>
        <w:tc>
          <w:tcPr>
            <w:tcW w:w="1760" w:type="dxa"/>
            <w:tcBorders>
              <w:top w:val="single" w:sz="4" w:space="0" w:color="auto"/>
              <w:left w:val="nil"/>
              <w:bottom w:val="nil"/>
              <w:right w:val="nil"/>
            </w:tcBorders>
            <w:shd w:val="clear" w:color="000000" w:fill="FFFFFF"/>
            <w:vAlign w:val="bottom"/>
            <w:hideMark/>
          </w:tcPr>
          <w:p w14:paraId="2B451ED4"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Strong design for research question</w:t>
            </w:r>
          </w:p>
        </w:tc>
        <w:tc>
          <w:tcPr>
            <w:tcW w:w="2340" w:type="dxa"/>
            <w:tcBorders>
              <w:top w:val="single" w:sz="4" w:space="0" w:color="auto"/>
              <w:left w:val="nil"/>
              <w:bottom w:val="nil"/>
              <w:right w:val="nil"/>
            </w:tcBorders>
            <w:shd w:val="clear" w:color="000000" w:fill="FFFFFF"/>
            <w:vAlign w:val="bottom"/>
            <w:hideMark/>
          </w:tcPr>
          <w:p w14:paraId="15BC8741"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Large number of cases per comparison group</w:t>
            </w:r>
          </w:p>
        </w:tc>
        <w:tc>
          <w:tcPr>
            <w:tcW w:w="2520" w:type="dxa"/>
            <w:tcBorders>
              <w:top w:val="single" w:sz="4" w:space="0" w:color="auto"/>
              <w:left w:val="nil"/>
              <w:bottom w:val="nil"/>
              <w:right w:val="nil"/>
            </w:tcBorders>
            <w:shd w:val="clear" w:color="000000" w:fill="FFFFFF"/>
            <w:vAlign w:val="bottom"/>
            <w:hideMark/>
          </w:tcPr>
          <w:p w14:paraId="7C9D9317"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Minimal missing data, no evidence of impact on findings</w:t>
            </w:r>
          </w:p>
        </w:tc>
        <w:tc>
          <w:tcPr>
            <w:tcW w:w="2520" w:type="dxa"/>
            <w:tcBorders>
              <w:top w:val="single" w:sz="4" w:space="0" w:color="auto"/>
              <w:left w:val="nil"/>
              <w:bottom w:val="nil"/>
              <w:right w:val="nil"/>
            </w:tcBorders>
            <w:shd w:val="clear" w:color="000000" w:fill="FFFFFF"/>
            <w:vAlign w:val="bottom"/>
            <w:hideMark/>
          </w:tcPr>
          <w:p w14:paraId="4420C853"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Standardised, independent, pre-specified, accurate</w:t>
            </w:r>
          </w:p>
        </w:tc>
        <w:tc>
          <w:tcPr>
            <w:tcW w:w="640" w:type="dxa"/>
            <w:tcBorders>
              <w:top w:val="single" w:sz="4" w:space="0" w:color="auto"/>
              <w:left w:val="nil"/>
              <w:bottom w:val="nil"/>
              <w:right w:val="nil"/>
            </w:tcBorders>
            <w:shd w:val="clear" w:color="000000" w:fill="FFFFFF"/>
            <w:noWrap/>
            <w:vAlign w:val="center"/>
            <w:hideMark/>
          </w:tcPr>
          <w:p w14:paraId="38B1F271" w14:textId="77777777" w:rsidR="00847361" w:rsidRPr="00847361" w:rsidRDefault="00847361" w:rsidP="00847361">
            <w:pPr>
              <w:spacing w:after="0" w:line="240" w:lineRule="auto"/>
              <w:jc w:val="center"/>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4</w:t>
            </w:r>
          </w:p>
        </w:tc>
      </w:tr>
      <w:tr w:rsidR="00847361" w:rsidRPr="00847361" w14:paraId="599476C7" w14:textId="77777777" w:rsidTr="00847361">
        <w:trPr>
          <w:trHeight w:val="640"/>
        </w:trPr>
        <w:tc>
          <w:tcPr>
            <w:tcW w:w="1760" w:type="dxa"/>
            <w:tcBorders>
              <w:top w:val="nil"/>
              <w:left w:val="nil"/>
              <w:bottom w:val="nil"/>
              <w:right w:val="nil"/>
            </w:tcBorders>
            <w:shd w:val="clear" w:color="000000" w:fill="FFFFFF"/>
            <w:vAlign w:val="bottom"/>
            <w:hideMark/>
          </w:tcPr>
          <w:p w14:paraId="515C8EA6"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Good design for research question</w:t>
            </w:r>
          </w:p>
        </w:tc>
        <w:tc>
          <w:tcPr>
            <w:tcW w:w="2340" w:type="dxa"/>
            <w:tcBorders>
              <w:top w:val="nil"/>
              <w:left w:val="nil"/>
              <w:bottom w:val="nil"/>
              <w:right w:val="nil"/>
            </w:tcBorders>
            <w:shd w:val="clear" w:color="000000" w:fill="FFFFFF"/>
            <w:vAlign w:val="bottom"/>
            <w:hideMark/>
          </w:tcPr>
          <w:p w14:paraId="66D946C7"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Medium number of cases per comparison group</w:t>
            </w:r>
          </w:p>
        </w:tc>
        <w:tc>
          <w:tcPr>
            <w:tcW w:w="2520" w:type="dxa"/>
            <w:tcBorders>
              <w:top w:val="nil"/>
              <w:left w:val="nil"/>
              <w:bottom w:val="nil"/>
              <w:right w:val="nil"/>
            </w:tcBorders>
            <w:shd w:val="clear" w:color="000000" w:fill="FFFFFF"/>
            <w:vAlign w:val="bottom"/>
            <w:hideMark/>
          </w:tcPr>
          <w:p w14:paraId="387D1D48"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Some missing data, no evidence of impact on findings</w:t>
            </w:r>
          </w:p>
        </w:tc>
        <w:tc>
          <w:tcPr>
            <w:tcW w:w="2520" w:type="dxa"/>
            <w:tcBorders>
              <w:top w:val="nil"/>
              <w:left w:val="nil"/>
              <w:bottom w:val="nil"/>
              <w:right w:val="nil"/>
            </w:tcBorders>
            <w:shd w:val="clear" w:color="000000" w:fill="FFFFFF"/>
            <w:vAlign w:val="bottom"/>
            <w:hideMark/>
          </w:tcPr>
          <w:p w14:paraId="32D91698"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Standardised, independent, not specified, some errors</w:t>
            </w:r>
          </w:p>
        </w:tc>
        <w:tc>
          <w:tcPr>
            <w:tcW w:w="640" w:type="dxa"/>
            <w:tcBorders>
              <w:top w:val="nil"/>
              <w:left w:val="nil"/>
              <w:bottom w:val="nil"/>
              <w:right w:val="nil"/>
            </w:tcBorders>
            <w:shd w:val="clear" w:color="000000" w:fill="FFFFFF"/>
            <w:noWrap/>
            <w:vAlign w:val="center"/>
            <w:hideMark/>
          </w:tcPr>
          <w:p w14:paraId="4D448AFA" w14:textId="77777777" w:rsidR="00847361" w:rsidRPr="00847361" w:rsidRDefault="00847361" w:rsidP="00847361">
            <w:pPr>
              <w:spacing w:after="0" w:line="240" w:lineRule="auto"/>
              <w:jc w:val="center"/>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3</w:t>
            </w:r>
          </w:p>
        </w:tc>
      </w:tr>
      <w:tr w:rsidR="00847361" w:rsidRPr="00847361" w14:paraId="37BDD352" w14:textId="77777777" w:rsidTr="00847361">
        <w:trPr>
          <w:trHeight w:val="640"/>
        </w:trPr>
        <w:tc>
          <w:tcPr>
            <w:tcW w:w="1760" w:type="dxa"/>
            <w:tcBorders>
              <w:top w:val="nil"/>
              <w:left w:val="nil"/>
              <w:bottom w:val="nil"/>
              <w:right w:val="nil"/>
            </w:tcBorders>
            <w:shd w:val="clear" w:color="000000" w:fill="FFFFFF"/>
            <w:vAlign w:val="bottom"/>
            <w:hideMark/>
          </w:tcPr>
          <w:p w14:paraId="2F9DA7F4"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Weak design for research question</w:t>
            </w:r>
          </w:p>
        </w:tc>
        <w:tc>
          <w:tcPr>
            <w:tcW w:w="2340" w:type="dxa"/>
            <w:tcBorders>
              <w:top w:val="nil"/>
              <w:left w:val="nil"/>
              <w:bottom w:val="nil"/>
              <w:right w:val="nil"/>
            </w:tcBorders>
            <w:shd w:val="clear" w:color="000000" w:fill="FFFFFF"/>
            <w:vAlign w:val="bottom"/>
            <w:hideMark/>
          </w:tcPr>
          <w:p w14:paraId="4E41188D"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Small number of cases per comparison group</w:t>
            </w:r>
          </w:p>
        </w:tc>
        <w:tc>
          <w:tcPr>
            <w:tcW w:w="2520" w:type="dxa"/>
            <w:tcBorders>
              <w:top w:val="nil"/>
              <w:left w:val="nil"/>
              <w:bottom w:val="nil"/>
              <w:right w:val="nil"/>
            </w:tcBorders>
            <w:shd w:val="clear" w:color="000000" w:fill="FFFFFF"/>
            <w:vAlign w:val="bottom"/>
            <w:hideMark/>
          </w:tcPr>
          <w:p w14:paraId="3257BC0E"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Moderate missing data, no evidence of impact on findings</w:t>
            </w:r>
          </w:p>
        </w:tc>
        <w:tc>
          <w:tcPr>
            <w:tcW w:w="2520" w:type="dxa"/>
            <w:tcBorders>
              <w:top w:val="nil"/>
              <w:left w:val="nil"/>
              <w:bottom w:val="nil"/>
              <w:right w:val="nil"/>
            </w:tcBorders>
            <w:shd w:val="clear" w:color="000000" w:fill="FFFFFF"/>
            <w:vAlign w:val="bottom"/>
            <w:hideMark/>
          </w:tcPr>
          <w:p w14:paraId="6AD62EF7"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Not standardised, independent, pre-specified, some errors</w:t>
            </w:r>
          </w:p>
        </w:tc>
        <w:tc>
          <w:tcPr>
            <w:tcW w:w="640" w:type="dxa"/>
            <w:tcBorders>
              <w:top w:val="nil"/>
              <w:left w:val="nil"/>
              <w:bottom w:val="nil"/>
              <w:right w:val="nil"/>
            </w:tcBorders>
            <w:shd w:val="clear" w:color="000000" w:fill="FFFFFF"/>
            <w:noWrap/>
            <w:vAlign w:val="center"/>
            <w:hideMark/>
          </w:tcPr>
          <w:p w14:paraId="35D49751" w14:textId="77777777" w:rsidR="00847361" w:rsidRPr="00847361" w:rsidRDefault="00847361" w:rsidP="00847361">
            <w:pPr>
              <w:spacing w:after="0" w:line="240" w:lineRule="auto"/>
              <w:jc w:val="center"/>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2</w:t>
            </w:r>
          </w:p>
        </w:tc>
      </w:tr>
      <w:tr w:rsidR="00847361" w:rsidRPr="00847361" w14:paraId="308154FE" w14:textId="77777777" w:rsidTr="00847361">
        <w:trPr>
          <w:trHeight w:val="640"/>
        </w:trPr>
        <w:tc>
          <w:tcPr>
            <w:tcW w:w="1760" w:type="dxa"/>
            <w:tcBorders>
              <w:top w:val="nil"/>
              <w:left w:val="nil"/>
              <w:bottom w:val="nil"/>
              <w:right w:val="nil"/>
            </w:tcBorders>
            <w:shd w:val="clear" w:color="000000" w:fill="FFFFFF"/>
            <w:vAlign w:val="bottom"/>
            <w:hideMark/>
          </w:tcPr>
          <w:p w14:paraId="0860C2EA"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Very weak design for research question</w:t>
            </w:r>
          </w:p>
        </w:tc>
        <w:tc>
          <w:tcPr>
            <w:tcW w:w="2340" w:type="dxa"/>
            <w:tcBorders>
              <w:top w:val="nil"/>
              <w:left w:val="nil"/>
              <w:bottom w:val="nil"/>
              <w:right w:val="nil"/>
            </w:tcBorders>
            <w:shd w:val="clear" w:color="000000" w:fill="FFFFFF"/>
            <w:vAlign w:val="bottom"/>
            <w:hideMark/>
          </w:tcPr>
          <w:p w14:paraId="0322417C"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Very small number of cases per comparison group</w:t>
            </w:r>
          </w:p>
        </w:tc>
        <w:tc>
          <w:tcPr>
            <w:tcW w:w="2520" w:type="dxa"/>
            <w:tcBorders>
              <w:top w:val="nil"/>
              <w:left w:val="nil"/>
              <w:bottom w:val="nil"/>
              <w:right w:val="nil"/>
            </w:tcBorders>
            <w:shd w:val="clear" w:color="000000" w:fill="FFFFFF"/>
            <w:vAlign w:val="bottom"/>
            <w:hideMark/>
          </w:tcPr>
          <w:p w14:paraId="5436E78B"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High level of missing data, no evidence of impact on findings</w:t>
            </w:r>
          </w:p>
        </w:tc>
        <w:tc>
          <w:tcPr>
            <w:tcW w:w="2520" w:type="dxa"/>
            <w:tcBorders>
              <w:top w:val="nil"/>
              <w:left w:val="nil"/>
              <w:bottom w:val="nil"/>
              <w:right w:val="nil"/>
            </w:tcBorders>
            <w:shd w:val="clear" w:color="000000" w:fill="FFFFFF"/>
            <w:vAlign w:val="bottom"/>
            <w:hideMark/>
          </w:tcPr>
          <w:p w14:paraId="595DB3DC"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Weak measures, high level of error, too many outcomes</w:t>
            </w:r>
          </w:p>
        </w:tc>
        <w:tc>
          <w:tcPr>
            <w:tcW w:w="640" w:type="dxa"/>
            <w:tcBorders>
              <w:top w:val="nil"/>
              <w:left w:val="nil"/>
              <w:bottom w:val="nil"/>
              <w:right w:val="nil"/>
            </w:tcBorders>
            <w:shd w:val="clear" w:color="000000" w:fill="FFFFFF"/>
            <w:noWrap/>
            <w:vAlign w:val="center"/>
            <w:hideMark/>
          </w:tcPr>
          <w:p w14:paraId="7AC9F322" w14:textId="77777777" w:rsidR="00847361" w:rsidRPr="00847361" w:rsidRDefault="00847361" w:rsidP="00847361">
            <w:pPr>
              <w:spacing w:after="0" w:line="240" w:lineRule="auto"/>
              <w:jc w:val="center"/>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1</w:t>
            </w:r>
          </w:p>
        </w:tc>
      </w:tr>
      <w:tr w:rsidR="00847361" w:rsidRPr="00847361" w14:paraId="1FD60D8E" w14:textId="77777777" w:rsidTr="00847361">
        <w:trPr>
          <w:trHeight w:val="640"/>
        </w:trPr>
        <w:tc>
          <w:tcPr>
            <w:tcW w:w="1760" w:type="dxa"/>
            <w:tcBorders>
              <w:top w:val="nil"/>
              <w:left w:val="nil"/>
              <w:bottom w:val="single" w:sz="4" w:space="0" w:color="auto"/>
              <w:right w:val="nil"/>
            </w:tcBorders>
            <w:shd w:val="clear" w:color="000000" w:fill="FFFFFF"/>
            <w:vAlign w:val="bottom"/>
            <w:hideMark/>
          </w:tcPr>
          <w:p w14:paraId="6CA64EA4"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No consideration of design</w:t>
            </w:r>
          </w:p>
        </w:tc>
        <w:tc>
          <w:tcPr>
            <w:tcW w:w="2340" w:type="dxa"/>
            <w:tcBorders>
              <w:top w:val="nil"/>
              <w:left w:val="nil"/>
              <w:bottom w:val="single" w:sz="4" w:space="0" w:color="auto"/>
              <w:right w:val="nil"/>
            </w:tcBorders>
            <w:shd w:val="clear" w:color="000000" w:fill="FFFFFF"/>
            <w:vAlign w:val="bottom"/>
            <w:hideMark/>
          </w:tcPr>
          <w:p w14:paraId="4323D686"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A trivial scale of study, or number is unclear</w:t>
            </w:r>
          </w:p>
        </w:tc>
        <w:tc>
          <w:tcPr>
            <w:tcW w:w="2520" w:type="dxa"/>
            <w:tcBorders>
              <w:top w:val="nil"/>
              <w:left w:val="nil"/>
              <w:bottom w:val="single" w:sz="4" w:space="0" w:color="auto"/>
              <w:right w:val="nil"/>
            </w:tcBorders>
            <w:shd w:val="clear" w:color="000000" w:fill="FFFFFF"/>
            <w:vAlign w:val="bottom"/>
            <w:hideMark/>
          </w:tcPr>
          <w:p w14:paraId="50E9B0B7"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Huge amount of missing data, or not reported</w:t>
            </w:r>
          </w:p>
        </w:tc>
        <w:tc>
          <w:tcPr>
            <w:tcW w:w="2520" w:type="dxa"/>
            <w:tcBorders>
              <w:top w:val="nil"/>
              <w:left w:val="nil"/>
              <w:bottom w:val="single" w:sz="4" w:space="0" w:color="auto"/>
              <w:right w:val="nil"/>
            </w:tcBorders>
            <w:shd w:val="clear" w:color="000000" w:fill="FFFFFF"/>
            <w:vAlign w:val="bottom"/>
            <w:hideMark/>
          </w:tcPr>
          <w:p w14:paraId="302D34BF" w14:textId="77777777" w:rsidR="00847361" w:rsidRPr="00847361" w:rsidRDefault="00847361" w:rsidP="00847361">
            <w:pPr>
              <w:spacing w:after="0" w:line="240" w:lineRule="auto"/>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Very weak measures, or accuracy not addressed</w:t>
            </w:r>
          </w:p>
        </w:tc>
        <w:tc>
          <w:tcPr>
            <w:tcW w:w="640" w:type="dxa"/>
            <w:tcBorders>
              <w:top w:val="nil"/>
              <w:left w:val="nil"/>
              <w:bottom w:val="single" w:sz="4" w:space="0" w:color="auto"/>
              <w:right w:val="nil"/>
            </w:tcBorders>
            <w:shd w:val="clear" w:color="000000" w:fill="FFFFFF"/>
            <w:noWrap/>
            <w:vAlign w:val="center"/>
            <w:hideMark/>
          </w:tcPr>
          <w:p w14:paraId="514D5C2D" w14:textId="77777777" w:rsidR="00847361" w:rsidRPr="00847361" w:rsidRDefault="00847361" w:rsidP="00847361">
            <w:pPr>
              <w:spacing w:after="0" w:line="240" w:lineRule="auto"/>
              <w:jc w:val="center"/>
              <w:rPr>
                <w:rFonts w:ascii="Times New Roman" w:eastAsia="Times New Roman" w:hAnsi="Times New Roman" w:cs="Times New Roman"/>
                <w:color w:val="000000"/>
                <w:sz w:val="20"/>
                <w:szCs w:val="20"/>
                <w:lang w:val="en-GB" w:eastAsia="en-GB"/>
              </w:rPr>
            </w:pPr>
            <w:r w:rsidRPr="00847361">
              <w:rPr>
                <w:rFonts w:ascii="Times New Roman" w:eastAsia="Times New Roman" w:hAnsi="Times New Roman" w:cs="Times New Roman"/>
                <w:color w:val="000000"/>
                <w:sz w:val="20"/>
                <w:szCs w:val="20"/>
                <w:lang w:val="en-GB" w:eastAsia="en-GB"/>
              </w:rPr>
              <w:t>0</w:t>
            </w:r>
          </w:p>
        </w:tc>
      </w:tr>
    </w:tbl>
    <w:p w14:paraId="1921CBC9" w14:textId="0EEC46FE" w:rsidR="003653C3" w:rsidRPr="00847361" w:rsidRDefault="003653C3" w:rsidP="00277BD5">
      <w:pPr>
        <w:jc w:val="both"/>
        <w:rPr>
          <w:rStyle w:val="jlqj4b"/>
          <w:rFonts w:ascii="Times New Roman" w:hAnsi="Times New Roman" w:cs="Times New Roman"/>
          <w:b/>
          <w:bCs/>
          <w:sz w:val="24"/>
          <w:szCs w:val="24"/>
          <w:lang w:val="en-GB"/>
        </w:rPr>
      </w:pPr>
    </w:p>
    <w:p w14:paraId="2D8FED7C" w14:textId="6AB3E131" w:rsidR="00D01289" w:rsidRPr="008E2CAA" w:rsidRDefault="003B6541" w:rsidP="00277BD5">
      <w:pPr>
        <w:jc w:val="both"/>
        <w:rPr>
          <w:rFonts w:ascii="Times New Roman" w:hAnsi="Times New Roman" w:cs="Times New Roman"/>
          <w:sz w:val="24"/>
          <w:szCs w:val="24"/>
          <w:lang w:val="en-GB"/>
        </w:rPr>
      </w:pPr>
      <w:r w:rsidRPr="009C7B09">
        <w:rPr>
          <w:rFonts w:ascii="Times New Roman" w:hAnsi="Times New Roman" w:cs="Times New Roman"/>
          <w:sz w:val="24"/>
          <w:szCs w:val="24"/>
          <w:lang w:val="en-GB"/>
        </w:rPr>
        <w:t>Data from the extraction forms was analysed</w:t>
      </w:r>
      <w:r w:rsidR="00BA7857" w:rsidRPr="009C7B09">
        <w:rPr>
          <w:rFonts w:ascii="Times New Roman" w:hAnsi="Times New Roman" w:cs="Times New Roman"/>
          <w:sz w:val="24"/>
          <w:szCs w:val="24"/>
          <w:lang w:val="en-GB"/>
        </w:rPr>
        <w:t xml:space="preserve"> using the following steps. First a</w:t>
      </w:r>
      <w:r w:rsidRPr="009C7B09">
        <w:rPr>
          <w:rFonts w:ascii="Times New Roman" w:hAnsi="Times New Roman" w:cs="Times New Roman"/>
          <w:sz w:val="24"/>
          <w:szCs w:val="24"/>
          <w:lang w:val="en-GB"/>
        </w:rPr>
        <w:t xml:space="preserve"> </w:t>
      </w:r>
      <w:r w:rsidR="00BA7857" w:rsidRPr="009C7B09">
        <w:rPr>
          <w:rFonts w:ascii="Times New Roman" w:hAnsi="Times New Roman" w:cs="Times New Roman"/>
          <w:sz w:val="24"/>
          <w:szCs w:val="24"/>
          <w:lang w:val="en-GB"/>
        </w:rPr>
        <w:t>deductive classification was undertaken, where publications where categorised in terms of what steps in the logic model (activit</w:t>
      </w:r>
      <w:r w:rsidR="004C1DE3" w:rsidRPr="009C7B09">
        <w:rPr>
          <w:rFonts w:ascii="Times New Roman" w:hAnsi="Times New Roman" w:cs="Times New Roman"/>
          <w:sz w:val="24"/>
          <w:szCs w:val="24"/>
          <w:lang w:val="en-GB"/>
        </w:rPr>
        <w:t>ies</w:t>
      </w:r>
      <w:r w:rsidR="00BA7857" w:rsidRPr="009C7B09">
        <w:rPr>
          <w:rFonts w:ascii="Times New Roman" w:hAnsi="Times New Roman" w:cs="Times New Roman"/>
          <w:sz w:val="24"/>
          <w:szCs w:val="24"/>
          <w:lang w:val="en-GB"/>
        </w:rPr>
        <w:t>, output</w:t>
      </w:r>
      <w:r w:rsidR="004C1DE3" w:rsidRPr="009C7B09">
        <w:rPr>
          <w:rFonts w:ascii="Times New Roman" w:hAnsi="Times New Roman" w:cs="Times New Roman"/>
          <w:sz w:val="24"/>
          <w:szCs w:val="24"/>
          <w:lang w:val="en-GB"/>
        </w:rPr>
        <w:t>s</w:t>
      </w:r>
      <w:r w:rsidR="00BA7857" w:rsidRPr="009C7B09">
        <w:rPr>
          <w:rFonts w:ascii="Times New Roman" w:hAnsi="Times New Roman" w:cs="Times New Roman"/>
          <w:sz w:val="24"/>
          <w:szCs w:val="24"/>
          <w:lang w:val="en-GB"/>
        </w:rPr>
        <w:t xml:space="preserve">, outcomes) they spoke to and the perspective of what stakeholder they described. Second, we then proceeded to examine the data inductively </w:t>
      </w:r>
      <w:r w:rsidR="00BA7857" w:rsidRPr="009C7B09">
        <w:rPr>
          <w:rFonts w:ascii="Times New Roman" w:hAnsi="Times New Roman" w:cs="Times New Roman"/>
          <w:sz w:val="24"/>
          <w:szCs w:val="24"/>
          <w:lang w:val="en-GB"/>
        </w:rPr>
        <w:lastRenderedPageBreak/>
        <w:t>(Strauss, 1987) identifying topics in the publications and examin</w:t>
      </w:r>
      <w:r w:rsidR="009700EA" w:rsidRPr="009C7B09">
        <w:rPr>
          <w:rFonts w:ascii="Times New Roman" w:hAnsi="Times New Roman" w:cs="Times New Roman"/>
          <w:sz w:val="24"/>
          <w:szCs w:val="24"/>
          <w:lang w:val="en-GB"/>
        </w:rPr>
        <w:t>ing</w:t>
      </w:r>
      <w:r w:rsidR="00BA7857" w:rsidRPr="009C7B09">
        <w:rPr>
          <w:rFonts w:ascii="Times New Roman" w:hAnsi="Times New Roman" w:cs="Times New Roman"/>
          <w:sz w:val="24"/>
          <w:szCs w:val="24"/>
          <w:lang w:val="en-GB"/>
        </w:rPr>
        <w:t xml:space="preserve"> the relationships between these categories</w:t>
      </w:r>
      <w:r w:rsidR="009700EA" w:rsidRPr="009C7B09">
        <w:rPr>
          <w:rFonts w:ascii="Times New Roman" w:hAnsi="Times New Roman" w:cs="Times New Roman"/>
          <w:sz w:val="24"/>
          <w:szCs w:val="24"/>
          <w:lang w:val="en-GB"/>
        </w:rPr>
        <w:t>.</w:t>
      </w:r>
      <w:r w:rsidR="00BA7857" w:rsidRPr="009C7B09">
        <w:rPr>
          <w:rFonts w:ascii="Times New Roman" w:hAnsi="Times New Roman" w:cs="Times New Roman"/>
          <w:sz w:val="24"/>
          <w:szCs w:val="24"/>
          <w:lang w:val="en-GB"/>
        </w:rPr>
        <w:t xml:space="preserve"> </w:t>
      </w:r>
      <w:r w:rsidR="009700EA" w:rsidRPr="009C7B09">
        <w:rPr>
          <w:rFonts w:ascii="Times New Roman" w:hAnsi="Times New Roman" w:cs="Times New Roman"/>
          <w:sz w:val="24"/>
          <w:szCs w:val="24"/>
          <w:lang w:val="en-GB"/>
        </w:rPr>
        <w:t>F</w:t>
      </w:r>
      <w:r w:rsidR="00BA7857" w:rsidRPr="009C7B09">
        <w:rPr>
          <w:rFonts w:ascii="Times New Roman" w:hAnsi="Times New Roman" w:cs="Times New Roman"/>
          <w:sz w:val="24"/>
          <w:szCs w:val="24"/>
          <w:lang w:val="en-GB"/>
        </w:rPr>
        <w:t xml:space="preserve">inally, </w:t>
      </w:r>
      <w:r w:rsidR="009700EA" w:rsidRPr="009C7B09">
        <w:rPr>
          <w:rFonts w:ascii="Times New Roman" w:hAnsi="Times New Roman" w:cs="Times New Roman"/>
          <w:sz w:val="24"/>
          <w:szCs w:val="24"/>
          <w:lang w:val="en-GB"/>
        </w:rPr>
        <w:t xml:space="preserve">we synthesize the findings of selected studies to develop and inform further the logic model </w:t>
      </w:r>
      <w:r w:rsidR="00026D24" w:rsidRPr="009C7B09">
        <w:rPr>
          <w:rFonts w:ascii="Times New Roman" w:hAnsi="Times New Roman" w:cs="Times New Roman"/>
          <w:sz w:val="24"/>
          <w:szCs w:val="24"/>
          <w:lang w:val="en-GB"/>
        </w:rPr>
        <w:t xml:space="preserve">(Gough et al. 2012) </w:t>
      </w:r>
      <w:r w:rsidR="009700EA" w:rsidRPr="009C7B09">
        <w:rPr>
          <w:rFonts w:ascii="Times New Roman" w:hAnsi="Times New Roman" w:cs="Times New Roman"/>
          <w:sz w:val="24"/>
          <w:szCs w:val="24"/>
          <w:lang w:val="en-GB"/>
        </w:rPr>
        <w:t xml:space="preserve">and </w:t>
      </w:r>
      <w:r w:rsidR="00BA7857" w:rsidRPr="009C7B09">
        <w:rPr>
          <w:rFonts w:ascii="Times New Roman" w:hAnsi="Times New Roman" w:cs="Times New Roman"/>
          <w:sz w:val="24"/>
          <w:szCs w:val="24"/>
          <w:lang w:val="en-GB"/>
        </w:rPr>
        <w:t xml:space="preserve">clarify </w:t>
      </w:r>
      <w:r w:rsidR="00FC05BE" w:rsidRPr="009C7B09">
        <w:rPr>
          <w:rFonts w:ascii="Times New Roman" w:hAnsi="Times New Roman" w:cs="Times New Roman"/>
          <w:sz w:val="24"/>
          <w:szCs w:val="24"/>
          <w:lang w:val="en-GB"/>
        </w:rPr>
        <w:t>on aggregate</w:t>
      </w:r>
      <w:r w:rsidR="003D3E9E" w:rsidRPr="009C7B09">
        <w:rPr>
          <w:rFonts w:ascii="Times New Roman" w:hAnsi="Times New Roman" w:cs="Times New Roman"/>
          <w:sz w:val="24"/>
          <w:szCs w:val="24"/>
          <w:lang w:val="en-GB"/>
        </w:rPr>
        <w:t xml:space="preserve"> </w:t>
      </w:r>
      <w:r w:rsidR="00BA7857" w:rsidRPr="009C7B09">
        <w:rPr>
          <w:rFonts w:ascii="Times New Roman" w:hAnsi="Times New Roman" w:cs="Times New Roman"/>
          <w:sz w:val="24"/>
          <w:szCs w:val="24"/>
          <w:lang w:val="en-GB"/>
        </w:rPr>
        <w:t>how these might augment our understanding.</w:t>
      </w:r>
    </w:p>
    <w:bookmarkEnd w:id="5"/>
    <w:p w14:paraId="5F2DAD25" w14:textId="47E89582" w:rsidR="00EB3648" w:rsidRPr="008E2CAA" w:rsidRDefault="00EB3648"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Most of the corpus (60 studies out of 87) is made up of similar articles on small case studies evaluating WBL programs at a quasi-atomistic scale (a specific course in a degree program, a specific faculty, or a specific HEI). They share a simple research design, usually qualitative with limited amount of interviews to students (sometimes connected with a survey), HEIs personnel and, more rarely, employers involved in placement and internship (5). Studies tend to be from Anglo-Saxon institutions, mostly England, Scotland, </w:t>
      </w:r>
      <w:r w:rsidR="00FF795D" w:rsidRPr="008E2CAA">
        <w:rPr>
          <w:rFonts w:ascii="Times New Roman" w:hAnsi="Times New Roman" w:cs="Times New Roman"/>
          <w:sz w:val="24"/>
          <w:szCs w:val="24"/>
          <w:lang w:val="en-GB"/>
        </w:rPr>
        <w:t>US,</w:t>
      </w:r>
      <w:r w:rsidRPr="008E2CAA">
        <w:rPr>
          <w:rFonts w:ascii="Times New Roman" w:hAnsi="Times New Roman" w:cs="Times New Roman"/>
          <w:sz w:val="24"/>
          <w:szCs w:val="24"/>
          <w:lang w:val="en-GB"/>
        </w:rPr>
        <w:t xml:space="preserve"> and Australia</w:t>
      </w:r>
      <w:r w:rsidR="00BA7857" w:rsidRPr="008E2CAA">
        <w:rPr>
          <w:rFonts w:ascii="Times New Roman" w:hAnsi="Times New Roman" w:cs="Times New Roman"/>
          <w:sz w:val="24"/>
          <w:szCs w:val="24"/>
          <w:lang w:val="en-GB"/>
        </w:rPr>
        <w:t xml:space="preserve">, with some notable exceptions </w:t>
      </w:r>
      <w:r w:rsidRPr="008E2CAA">
        <w:rPr>
          <w:rFonts w:ascii="Times New Roman" w:hAnsi="Times New Roman" w:cs="Times New Roman"/>
          <w:sz w:val="24"/>
          <w:szCs w:val="24"/>
          <w:lang w:val="en-GB"/>
        </w:rPr>
        <w:t>for instance from Malaysia, Iran</w:t>
      </w:r>
      <w:r w:rsidR="00341A4A">
        <w:rPr>
          <w:rFonts w:ascii="Times New Roman" w:hAnsi="Times New Roman" w:cs="Times New Roman"/>
          <w:sz w:val="24"/>
          <w:szCs w:val="24"/>
          <w:lang w:val="en-GB"/>
        </w:rPr>
        <w:t>,</w:t>
      </w:r>
      <w:r w:rsidRPr="008E2CAA">
        <w:rPr>
          <w:rFonts w:ascii="Times New Roman" w:hAnsi="Times New Roman" w:cs="Times New Roman"/>
          <w:sz w:val="24"/>
          <w:szCs w:val="24"/>
          <w:lang w:val="en-GB"/>
        </w:rPr>
        <w:t xml:space="preserve"> </w:t>
      </w:r>
      <w:r w:rsidR="00BA7857" w:rsidRPr="008E2CAA">
        <w:rPr>
          <w:rFonts w:ascii="Times New Roman" w:hAnsi="Times New Roman" w:cs="Times New Roman"/>
          <w:sz w:val="24"/>
          <w:szCs w:val="24"/>
          <w:lang w:val="en-GB"/>
        </w:rPr>
        <w:t>and</w:t>
      </w:r>
      <w:r w:rsidRPr="008E2CAA">
        <w:rPr>
          <w:rFonts w:ascii="Times New Roman" w:hAnsi="Times New Roman" w:cs="Times New Roman"/>
          <w:sz w:val="24"/>
          <w:szCs w:val="24"/>
          <w:lang w:val="en-GB"/>
        </w:rPr>
        <w:t xml:space="preserve"> India. Several publications are descriptive, an</w:t>
      </w:r>
      <w:r w:rsidR="00BA7857" w:rsidRPr="008E2CAA">
        <w:rPr>
          <w:rFonts w:ascii="Times New Roman" w:hAnsi="Times New Roman" w:cs="Times New Roman"/>
          <w:sz w:val="24"/>
          <w:szCs w:val="24"/>
          <w:lang w:val="en-GB"/>
        </w:rPr>
        <w:t>d some can best be described as opinion pieces</w:t>
      </w:r>
      <w:r w:rsidRPr="008E2CAA">
        <w:rPr>
          <w:rFonts w:ascii="Times New Roman" w:hAnsi="Times New Roman" w:cs="Times New Roman"/>
          <w:sz w:val="24"/>
          <w:szCs w:val="24"/>
          <w:lang w:val="en-GB"/>
        </w:rPr>
        <w:t>. A minority adopt an explanatory approach (</w:t>
      </w:r>
      <w:proofErr w:type="spellStart"/>
      <w:r w:rsidRPr="008E2CAA">
        <w:rPr>
          <w:rFonts w:ascii="Times New Roman" w:hAnsi="Times New Roman" w:cs="Times New Roman"/>
          <w:sz w:val="24"/>
          <w:szCs w:val="24"/>
          <w:lang w:val="en-GB"/>
        </w:rPr>
        <w:t>Tomic</w:t>
      </w:r>
      <w:proofErr w:type="spellEnd"/>
      <w:r w:rsidRPr="008E2CAA">
        <w:rPr>
          <w:rFonts w:ascii="Times New Roman" w:hAnsi="Times New Roman" w:cs="Times New Roman"/>
          <w:sz w:val="24"/>
          <w:szCs w:val="24"/>
          <w:lang w:val="en-GB"/>
        </w:rPr>
        <w:t xml:space="preserve"> &amp; </w:t>
      </w:r>
      <w:proofErr w:type="spellStart"/>
      <w:r w:rsidRPr="008E2CAA">
        <w:rPr>
          <w:rFonts w:ascii="Times New Roman" w:hAnsi="Times New Roman" w:cs="Times New Roman"/>
          <w:sz w:val="24"/>
          <w:szCs w:val="24"/>
          <w:lang w:val="en-GB"/>
        </w:rPr>
        <w:t>Zilic</w:t>
      </w:r>
      <w:proofErr w:type="spellEnd"/>
      <w:r w:rsidRPr="008E2CAA">
        <w:rPr>
          <w:rFonts w:ascii="Times New Roman" w:hAnsi="Times New Roman" w:cs="Times New Roman"/>
          <w:sz w:val="24"/>
          <w:szCs w:val="24"/>
          <w:lang w:val="en-GB"/>
        </w:rPr>
        <w:t>, 2020; Lim &amp; Lee, 2019), and 21 out of 87 use quantitative analysis (almost exclusively based on surveys).</w:t>
      </w:r>
      <w:r w:rsidR="00866DDE">
        <w:rPr>
          <w:rFonts w:ascii="Times New Roman" w:hAnsi="Times New Roman" w:cs="Times New Roman"/>
          <w:sz w:val="24"/>
          <w:szCs w:val="24"/>
          <w:lang w:val="en-GB"/>
        </w:rPr>
        <w:t xml:space="preserve"> More than half are very recent in fact 56% of the papers were published within the last 7 years.</w:t>
      </w:r>
    </w:p>
    <w:p w14:paraId="5652B1AE" w14:textId="77777777" w:rsidR="00EB3648" w:rsidRPr="008E2CAA" w:rsidRDefault="00EB3648" w:rsidP="00277BD5">
      <w:pPr>
        <w:jc w:val="both"/>
        <w:rPr>
          <w:rFonts w:ascii="Times New Roman" w:hAnsi="Times New Roman" w:cs="Times New Roman"/>
          <w:sz w:val="24"/>
          <w:szCs w:val="24"/>
          <w:lang w:val="en-GB"/>
        </w:rPr>
      </w:pPr>
    </w:p>
    <w:p w14:paraId="7281F73A" w14:textId="794FEDC0" w:rsidR="00EB3648" w:rsidRPr="00622BF0" w:rsidRDefault="00EB3648" w:rsidP="00EB3648">
      <w:pPr>
        <w:pStyle w:val="Caption"/>
        <w:rPr>
          <w:rFonts w:ascii="Times New Roman" w:hAnsi="Times New Roman" w:cs="Times New Roman"/>
          <w:bCs/>
          <w:sz w:val="24"/>
          <w:szCs w:val="24"/>
          <w:lang w:val="en-GB"/>
        </w:rPr>
      </w:pPr>
      <w:bookmarkStart w:id="6" w:name="_Ref120723022"/>
      <w:r w:rsidRPr="008E2CAA">
        <w:rPr>
          <w:rFonts w:ascii="Times New Roman" w:hAnsi="Times New Roman" w:cs="Times New Roman"/>
          <w:sz w:val="24"/>
          <w:szCs w:val="24"/>
          <w:lang w:val="en-GB"/>
        </w:rPr>
        <w:t xml:space="preserve">Table </w:t>
      </w: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SEQ Table \* ARABIC </w:instrText>
      </w:r>
      <w:r w:rsidRPr="008E2CAA">
        <w:rPr>
          <w:rFonts w:ascii="Times New Roman" w:hAnsi="Times New Roman" w:cs="Times New Roman"/>
          <w:sz w:val="24"/>
          <w:szCs w:val="24"/>
          <w:lang w:val="en-GB"/>
        </w:rPr>
        <w:fldChar w:fldCharType="separate"/>
      </w:r>
      <w:r w:rsidR="00225553" w:rsidRPr="008E2CAA">
        <w:rPr>
          <w:rFonts w:ascii="Times New Roman" w:hAnsi="Times New Roman" w:cs="Times New Roman"/>
          <w:noProof/>
          <w:sz w:val="24"/>
          <w:szCs w:val="24"/>
          <w:lang w:val="en-GB"/>
        </w:rPr>
        <w:t>5</w:t>
      </w:r>
      <w:r w:rsidRPr="008E2CAA">
        <w:rPr>
          <w:rFonts w:ascii="Times New Roman" w:hAnsi="Times New Roman" w:cs="Times New Roman"/>
          <w:sz w:val="24"/>
          <w:szCs w:val="24"/>
          <w:lang w:val="en-GB"/>
        </w:rPr>
        <w:fldChar w:fldCharType="end"/>
      </w:r>
      <w:bookmarkEnd w:id="6"/>
      <w:r w:rsidR="00781A3E">
        <w:rPr>
          <w:rFonts w:ascii="Times New Roman" w:hAnsi="Times New Roman" w:cs="Times New Roman"/>
          <w:sz w:val="24"/>
          <w:szCs w:val="24"/>
          <w:lang w:val="en-GB"/>
        </w:rPr>
        <w:t xml:space="preserve"> HERE.</w:t>
      </w:r>
      <w:r w:rsidRPr="00622BF0">
        <w:rPr>
          <w:rFonts w:ascii="Times New Roman" w:hAnsi="Times New Roman" w:cs="Times New Roman"/>
          <w:bCs/>
          <w:sz w:val="24"/>
          <w:szCs w:val="24"/>
          <w:lang w:val="en-GB"/>
        </w:rPr>
        <w:t xml:space="preserve"> Research design</w:t>
      </w:r>
    </w:p>
    <w:p w14:paraId="7EF669A6" w14:textId="77777777" w:rsidR="00EB3648" w:rsidRPr="008E2CAA" w:rsidRDefault="00EB3648" w:rsidP="00277BD5">
      <w:pPr>
        <w:jc w:val="both"/>
        <w:rPr>
          <w:rFonts w:ascii="Times New Roman" w:hAnsi="Times New Roman" w:cs="Times New Roman"/>
          <w:sz w:val="24"/>
          <w:szCs w:val="24"/>
          <w:lang w:val="en-GB"/>
        </w:rPr>
      </w:pPr>
      <w:r w:rsidRPr="008E2CAA">
        <w:rPr>
          <w:rFonts w:ascii="Times New Roman" w:hAnsi="Times New Roman" w:cs="Times New Roman"/>
          <w:noProof/>
          <w:sz w:val="24"/>
          <w:szCs w:val="24"/>
          <w:lang w:val="en-GB"/>
        </w:rPr>
        <w:drawing>
          <wp:inline distT="0" distB="0" distL="0" distR="0" wp14:anchorId="535559B3" wp14:editId="0C5EFCED">
            <wp:extent cx="5247860" cy="2161309"/>
            <wp:effectExtent l="0" t="0" r="10160" b="10795"/>
            <wp:docPr id="14" name="Gráfico 14">
              <a:extLst xmlns:a="http://schemas.openxmlformats.org/drawingml/2006/main">
                <a:ext uri="{FF2B5EF4-FFF2-40B4-BE49-F238E27FC236}">
                  <a16:creationId xmlns:a16="http://schemas.microsoft.com/office/drawing/2014/main" id="{E870BA3B-ABF0-4313-96FB-ACB655522D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4C7D41" w14:textId="77777777" w:rsidR="00EB3648" w:rsidRPr="008E2CAA" w:rsidRDefault="00EB3648" w:rsidP="00277BD5">
      <w:pPr>
        <w:jc w:val="both"/>
        <w:rPr>
          <w:rFonts w:ascii="Times New Roman" w:hAnsi="Times New Roman" w:cs="Times New Roman"/>
          <w:sz w:val="24"/>
          <w:szCs w:val="24"/>
          <w:lang w:val="en-GB"/>
        </w:rPr>
      </w:pPr>
    </w:p>
    <w:p w14:paraId="1270F6DC" w14:textId="3F3B96E7" w:rsidR="0044493E" w:rsidRPr="008E2CAA" w:rsidRDefault="0044493E" w:rsidP="0044493E">
      <w:pPr>
        <w:pStyle w:val="Heading1"/>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 xml:space="preserve">Thematic </w:t>
      </w:r>
      <w:r w:rsidR="004325EB" w:rsidRPr="008E2CAA">
        <w:rPr>
          <w:rFonts w:ascii="Times New Roman" w:hAnsi="Times New Roman" w:cs="Times New Roman"/>
          <w:b/>
          <w:bCs/>
          <w:sz w:val="24"/>
          <w:szCs w:val="24"/>
          <w:lang w:val="en-GB"/>
        </w:rPr>
        <w:t>F</w:t>
      </w:r>
      <w:r w:rsidRPr="008E2CAA">
        <w:rPr>
          <w:rFonts w:ascii="Times New Roman" w:hAnsi="Times New Roman" w:cs="Times New Roman"/>
          <w:b/>
          <w:bCs/>
          <w:sz w:val="24"/>
          <w:szCs w:val="24"/>
          <w:lang w:val="en-GB"/>
        </w:rPr>
        <w:t xml:space="preserve">indings </w:t>
      </w:r>
    </w:p>
    <w:p w14:paraId="1CF9BF96" w14:textId="63295EE8" w:rsidR="00225553" w:rsidRPr="008E2CAA" w:rsidRDefault="00944752"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In this section, we summarize the findings of the literature review.</w:t>
      </w:r>
      <w:r w:rsidR="00026D24">
        <w:rPr>
          <w:rFonts w:ascii="Times New Roman" w:hAnsi="Times New Roman" w:cs="Times New Roman"/>
          <w:sz w:val="24"/>
          <w:szCs w:val="24"/>
          <w:lang w:val="en-GB"/>
        </w:rPr>
        <w:t xml:space="preserve"> This is designed to integrate our findings in an amalgam that is “greater than the sum of the individual studies” (Gough et al. 2012, p. 283).</w:t>
      </w:r>
      <w:r w:rsidRPr="008E2CAA">
        <w:rPr>
          <w:rFonts w:ascii="Times New Roman" w:hAnsi="Times New Roman" w:cs="Times New Roman"/>
          <w:sz w:val="24"/>
          <w:szCs w:val="24"/>
          <w:lang w:val="en-GB"/>
        </w:rPr>
        <w:t xml:space="preserve"> It reveals that many different employability programmes take different form such as internships; WBL programmes and project-collaboration with firms. After having systematized the evidence and extracted the information through the literature review extraction form, ascertained the main categories and the relationships among them, thematically, we identify three main categories together with some subcategories to consider when engaging with employability programmes in HE sector. The categories identified are in relation to the actors involved in employability practices: </w:t>
      </w:r>
      <w:r w:rsidR="00F76A4A" w:rsidRPr="008E2CAA">
        <w:rPr>
          <w:rFonts w:ascii="Times New Roman" w:hAnsi="Times New Roman" w:cs="Times New Roman"/>
          <w:sz w:val="24"/>
          <w:szCs w:val="24"/>
          <w:lang w:val="en-GB"/>
        </w:rPr>
        <w:t xml:space="preserve">HEIs, </w:t>
      </w:r>
      <w:r w:rsidRPr="008E2CAA">
        <w:rPr>
          <w:rFonts w:ascii="Times New Roman" w:hAnsi="Times New Roman" w:cs="Times New Roman"/>
          <w:sz w:val="24"/>
          <w:szCs w:val="24"/>
          <w:lang w:val="en-GB"/>
        </w:rPr>
        <w:t>students and graduates;</w:t>
      </w:r>
      <w:r w:rsidR="00F76A4A" w:rsidRPr="008E2CAA">
        <w:rPr>
          <w:rFonts w:ascii="Times New Roman" w:hAnsi="Times New Roman" w:cs="Times New Roman"/>
          <w:sz w:val="24"/>
          <w:szCs w:val="24"/>
          <w:lang w:val="en-GB"/>
        </w:rPr>
        <w:t xml:space="preserve"> and</w:t>
      </w:r>
      <w:r w:rsidRPr="008E2CAA">
        <w:rPr>
          <w:rFonts w:ascii="Times New Roman" w:hAnsi="Times New Roman" w:cs="Times New Roman"/>
          <w:sz w:val="24"/>
          <w:szCs w:val="24"/>
          <w:lang w:val="en-GB"/>
        </w:rPr>
        <w:t xml:space="preserve"> firms</w:t>
      </w:r>
      <w:r w:rsidR="00F76A4A" w:rsidRPr="008E2CAA">
        <w:rPr>
          <w:rFonts w:ascii="Times New Roman" w:hAnsi="Times New Roman" w:cs="Times New Roman"/>
          <w:sz w:val="24"/>
          <w:szCs w:val="24"/>
          <w:lang w:val="en-GB"/>
        </w:rPr>
        <w:t>.</w:t>
      </w:r>
      <w:r w:rsidR="00225553" w:rsidRPr="008E2CAA">
        <w:rPr>
          <w:rFonts w:ascii="Times New Roman" w:hAnsi="Times New Roman" w:cs="Times New Roman"/>
          <w:sz w:val="24"/>
          <w:szCs w:val="24"/>
          <w:lang w:val="en-GB"/>
        </w:rPr>
        <w:t xml:space="preserve"> The logic model informed by our survey of the literature is shown in below.</w:t>
      </w:r>
    </w:p>
    <w:p w14:paraId="73B89258" w14:textId="77777777" w:rsidR="00225553" w:rsidRPr="008E2CAA" w:rsidRDefault="00225553" w:rsidP="00277BD5">
      <w:pPr>
        <w:jc w:val="both"/>
        <w:rPr>
          <w:rFonts w:ascii="Times New Roman" w:hAnsi="Times New Roman" w:cs="Times New Roman"/>
          <w:sz w:val="24"/>
          <w:szCs w:val="24"/>
          <w:lang w:val="en-GB"/>
        </w:rPr>
        <w:sectPr w:rsidR="00225553" w:rsidRPr="008E2CAA" w:rsidSect="00455834">
          <w:footerReference w:type="first" r:id="rId10"/>
          <w:pgSz w:w="11906" w:h="16838"/>
          <w:pgMar w:top="1440" w:right="1440" w:bottom="1440" w:left="1440" w:header="708" w:footer="708" w:gutter="0"/>
          <w:cols w:space="708"/>
          <w:titlePg/>
          <w:docGrid w:linePitch="360"/>
        </w:sectPr>
      </w:pPr>
    </w:p>
    <w:p w14:paraId="7A7AF6D7" w14:textId="5A5C8287" w:rsidR="00225553" w:rsidRPr="008E2CAA" w:rsidRDefault="00225553" w:rsidP="00277BD5">
      <w:pPr>
        <w:jc w:val="both"/>
        <w:rPr>
          <w:rFonts w:ascii="Times New Roman" w:hAnsi="Times New Roman" w:cs="Times New Roman"/>
          <w:sz w:val="24"/>
          <w:szCs w:val="24"/>
          <w:lang w:val="en-GB"/>
        </w:rPr>
      </w:pPr>
    </w:p>
    <w:p w14:paraId="1AD590A4" w14:textId="4286BAAE" w:rsidR="00225553" w:rsidRPr="008E2CAA" w:rsidRDefault="00225553" w:rsidP="00225553">
      <w:pPr>
        <w:pStyle w:val="Caption"/>
        <w:rPr>
          <w:rFonts w:ascii="Times New Roman" w:hAnsi="Times New Roman" w:cs="Times New Roman"/>
          <w:b w:val="0"/>
          <w:sz w:val="24"/>
          <w:szCs w:val="24"/>
          <w:lang w:val="en-GB"/>
        </w:rPr>
      </w:pPr>
      <w:r w:rsidRPr="008E2CAA">
        <w:rPr>
          <w:rFonts w:ascii="Times New Roman" w:hAnsi="Times New Roman" w:cs="Times New Roman"/>
          <w:sz w:val="24"/>
          <w:szCs w:val="24"/>
          <w:lang w:val="en-GB"/>
        </w:rPr>
        <w:t xml:space="preserve">Table </w:t>
      </w:r>
      <w:r w:rsidRPr="008E2CAA">
        <w:rPr>
          <w:rFonts w:ascii="Times New Roman" w:hAnsi="Times New Roman" w:cs="Times New Roman"/>
          <w:sz w:val="24"/>
          <w:szCs w:val="24"/>
        </w:rPr>
        <w:fldChar w:fldCharType="begin"/>
      </w:r>
      <w:r w:rsidRPr="008E2CAA">
        <w:rPr>
          <w:rFonts w:ascii="Times New Roman" w:hAnsi="Times New Roman" w:cs="Times New Roman"/>
          <w:sz w:val="24"/>
          <w:szCs w:val="24"/>
          <w:lang w:val="en-GB"/>
        </w:rPr>
        <w:instrText xml:space="preserve"> SEQ Table \* ARABIC </w:instrText>
      </w:r>
      <w:r w:rsidRPr="008E2CAA">
        <w:rPr>
          <w:rFonts w:ascii="Times New Roman" w:hAnsi="Times New Roman" w:cs="Times New Roman"/>
          <w:sz w:val="24"/>
          <w:szCs w:val="24"/>
        </w:rPr>
        <w:fldChar w:fldCharType="separate"/>
      </w:r>
      <w:r w:rsidRPr="008E2CAA">
        <w:rPr>
          <w:rFonts w:ascii="Times New Roman" w:hAnsi="Times New Roman" w:cs="Times New Roman"/>
          <w:noProof/>
          <w:sz w:val="24"/>
          <w:szCs w:val="24"/>
          <w:lang w:val="en-GB"/>
        </w:rPr>
        <w:t>6</w:t>
      </w:r>
      <w:r w:rsidRPr="008E2CAA">
        <w:rPr>
          <w:rFonts w:ascii="Times New Roman" w:hAnsi="Times New Roman" w:cs="Times New Roman"/>
          <w:sz w:val="24"/>
          <w:szCs w:val="24"/>
        </w:rPr>
        <w:fldChar w:fldCharType="end"/>
      </w:r>
      <w:r w:rsidR="00781A3E" w:rsidRPr="00847361">
        <w:rPr>
          <w:rFonts w:ascii="Times New Roman" w:hAnsi="Times New Roman" w:cs="Times New Roman"/>
          <w:sz w:val="24"/>
          <w:szCs w:val="24"/>
          <w:lang w:val="en-GB"/>
        </w:rPr>
        <w:t xml:space="preserve"> </w:t>
      </w:r>
      <w:r w:rsidR="00781A3E">
        <w:rPr>
          <w:rFonts w:ascii="Times New Roman" w:hAnsi="Times New Roman" w:cs="Times New Roman"/>
          <w:sz w:val="24"/>
          <w:szCs w:val="24"/>
          <w:lang w:val="en-GB"/>
        </w:rPr>
        <w:t>HERE</w:t>
      </w:r>
      <w:r w:rsidRPr="008E2CAA">
        <w:rPr>
          <w:rFonts w:ascii="Times New Roman" w:hAnsi="Times New Roman" w:cs="Times New Roman"/>
          <w:sz w:val="24"/>
          <w:szCs w:val="24"/>
          <w:lang w:val="en-GB"/>
        </w:rPr>
        <w:t>. Employability activities, outputs, and outcomes by actor.</w:t>
      </w:r>
    </w:p>
    <w:tbl>
      <w:tblPr>
        <w:tblW w:w="5000" w:type="pct"/>
        <w:tblLook w:val="04A0" w:firstRow="1" w:lastRow="0" w:firstColumn="1" w:lastColumn="0" w:noHBand="0" w:noVBand="1"/>
      </w:tblPr>
      <w:tblGrid>
        <w:gridCol w:w="364"/>
        <w:gridCol w:w="4411"/>
        <w:gridCol w:w="4340"/>
        <w:gridCol w:w="4843"/>
      </w:tblGrid>
      <w:tr w:rsidR="00C64165" w:rsidRPr="00C64165" w14:paraId="37554F58" w14:textId="77777777" w:rsidTr="008E2CAA">
        <w:trPr>
          <w:trHeight w:val="151"/>
        </w:trPr>
        <w:tc>
          <w:tcPr>
            <w:tcW w:w="169" w:type="pct"/>
            <w:tcBorders>
              <w:top w:val="nil"/>
              <w:left w:val="nil"/>
              <w:bottom w:val="nil"/>
              <w:right w:val="nil"/>
            </w:tcBorders>
            <w:shd w:val="clear" w:color="000000" w:fill="FFFFFF"/>
            <w:noWrap/>
            <w:vAlign w:val="center"/>
            <w:hideMark/>
          </w:tcPr>
          <w:p w14:paraId="0E1A9782" w14:textId="77777777" w:rsidR="00225553" w:rsidRPr="008E2CAA" w:rsidRDefault="00225553" w:rsidP="008E2CAA">
            <w:pPr>
              <w:spacing w:after="0" w:line="240" w:lineRule="auto"/>
              <w:jc w:val="both"/>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w:t>
            </w:r>
          </w:p>
        </w:tc>
        <w:tc>
          <w:tcPr>
            <w:tcW w:w="1610" w:type="pct"/>
            <w:tcBorders>
              <w:top w:val="nil"/>
              <w:left w:val="nil"/>
              <w:bottom w:val="nil"/>
              <w:right w:val="nil"/>
            </w:tcBorders>
            <w:shd w:val="clear" w:color="000000" w:fill="FFFFFF"/>
            <w:noWrap/>
            <w:vAlign w:val="center"/>
            <w:hideMark/>
          </w:tcPr>
          <w:p w14:paraId="2D3304FC" w14:textId="6C8B5FBD" w:rsidR="00225553" w:rsidRPr="008E2CAA" w:rsidRDefault="00225553" w:rsidP="008E2CAA">
            <w:pPr>
              <w:spacing w:after="0" w:line="240" w:lineRule="auto"/>
              <w:jc w:val="center"/>
              <w:rPr>
                <w:rFonts w:ascii="Times New Roman" w:hAnsi="Times New Roman" w:cs="Times New Roman"/>
                <w:b/>
                <w:bCs/>
                <w:sz w:val="18"/>
                <w:szCs w:val="18"/>
                <w:lang w:val="en-GB" w:eastAsia="en-GB"/>
              </w:rPr>
            </w:pPr>
            <w:r w:rsidRPr="008E2CAA">
              <w:rPr>
                <w:rFonts w:ascii="Times New Roman" w:hAnsi="Times New Roman" w:cs="Times New Roman"/>
                <w:b/>
                <w:bCs/>
                <w:sz w:val="18"/>
                <w:szCs w:val="18"/>
                <w:lang w:val="en-GB" w:eastAsia="en-GB"/>
              </w:rPr>
              <w:t>Activities</w:t>
            </w:r>
          </w:p>
        </w:tc>
        <w:tc>
          <w:tcPr>
            <w:tcW w:w="1610" w:type="pct"/>
            <w:tcBorders>
              <w:top w:val="nil"/>
              <w:left w:val="nil"/>
              <w:bottom w:val="nil"/>
              <w:right w:val="nil"/>
            </w:tcBorders>
            <w:shd w:val="clear" w:color="000000" w:fill="FFFFFF"/>
            <w:noWrap/>
            <w:vAlign w:val="center"/>
            <w:hideMark/>
          </w:tcPr>
          <w:p w14:paraId="1952F836" w14:textId="77777777" w:rsidR="00225553" w:rsidRPr="008E2CAA" w:rsidRDefault="00225553" w:rsidP="008E2CAA">
            <w:pPr>
              <w:spacing w:after="0" w:line="240" w:lineRule="auto"/>
              <w:jc w:val="center"/>
              <w:rPr>
                <w:rFonts w:ascii="Times New Roman" w:hAnsi="Times New Roman" w:cs="Times New Roman"/>
                <w:b/>
                <w:bCs/>
                <w:sz w:val="18"/>
                <w:szCs w:val="18"/>
                <w:lang w:val="en-GB" w:eastAsia="en-GB"/>
              </w:rPr>
            </w:pPr>
            <w:r w:rsidRPr="008E2CAA">
              <w:rPr>
                <w:rFonts w:ascii="Times New Roman" w:hAnsi="Times New Roman" w:cs="Times New Roman"/>
                <w:b/>
                <w:bCs/>
                <w:sz w:val="18"/>
                <w:szCs w:val="18"/>
                <w:lang w:val="en-GB" w:eastAsia="en-GB"/>
              </w:rPr>
              <w:t>Outputs</w:t>
            </w:r>
          </w:p>
        </w:tc>
        <w:tc>
          <w:tcPr>
            <w:tcW w:w="1610" w:type="pct"/>
            <w:tcBorders>
              <w:top w:val="nil"/>
              <w:left w:val="nil"/>
              <w:bottom w:val="nil"/>
              <w:right w:val="nil"/>
            </w:tcBorders>
            <w:shd w:val="clear" w:color="000000" w:fill="FFFFFF"/>
            <w:noWrap/>
            <w:vAlign w:val="center"/>
            <w:hideMark/>
          </w:tcPr>
          <w:p w14:paraId="1F090018" w14:textId="77777777" w:rsidR="00225553" w:rsidRPr="008E2CAA" w:rsidRDefault="00225553" w:rsidP="008E2CAA">
            <w:pPr>
              <w:spacing w:after="0" w:line="240" w:lineRule="auto"/>
              <w:jc w:val="center"/>
              <w:rPr>
                <w:rFonts w:ascii="Times New Roman" w:hAnsi="Times New Roman" w:cs="Times New Roman"/>
                <w:b/>
                <w:bCs/>
                <w:sz w:val="18"/>
                <w:szCs w:val="18"/>
                <w:lang w:val="en-GB" w:eastAsia="en-GB"/>
              </w:rPr>
            </w:pPr>
            <w:r w:rsidRPr="008E2CAA">
              <w:rPr>
                <w:rFonts w:ascii="Times New Roman" w:hAnsi="Times New Roman" w:cs="Times New Roman"/>
                <w:b/>
                <w:bCs/>
                <w:sz w:val="18"/>
                <w:szCs w:val="18"/>
                <w:lang w:val="en-GB" w:eastAsia="en-GB"/>
              </w:rPr>
              <w:t>Outcomes</w:t>
            </w:r>
          </w:p>
        </w:tc>
      </w:tr>
      <w:tr w:rsidR="00C64165" w:rsidRPr="00847361" w14:paraId="180B315E" w14:textId="77777777" w:rsidTr="008E2CAA">
        <w:trPr>
          <w:trHeight w:val="151"/>
        </w:trPr>
        <w:tc>
          <w:tcPr>
            <w:tcW w:w="169" w:type="pct"/>
            <w:vMerge w:val="restart"/>
            <w:tcBorders>
              <w:top w:val="single" w:sz="4" w:space="0" w:color="auto"/>
              <w:left w:val="nil"/>
              <w:bottom w:val="single" w:sz="4" w:space="0" w:color="000000"/>
              <w:right w:val="nil"/>
            </w:tcBorders>
            <w:shd w:val="clear" w:color="000000" w:fill="FFFFFF"/>
            <w:noWrap/>
            <w:textDirection w:val="btLr"/>
            <w:vAlign w:val="center"/>
            <w:hideMark/>
          </w:tcPr>
          <w:p w14:paraId="5ED1A667" w14:textId="77777777" w:rsidR="00225553" w:rsidRPr="008E2CAA" w:rsidRDefault="00225553" w:rsidP="008E2CAA">
            <w:pPr>
              <w:spacing w:after="0" w:line="240" w:lineRule="auto"/>
              <w:contextualSpacing/>
              <w:jc w:val="center"/>
              <w:rPr>
                <w:rFonts w:ascii="Times New Roman" w:hAnsi="Times New Roman" w:cs="Times New Roman"/>
                <w:b/>
                <w:bCs/>
                <w:sz w:val="18"/>
                <w:szCs w:val="18"/>
                <w:lang w:val="en-GB" w:eastAsia="en-GB"/>
              </w:rPr>
            </w:pPr>
            <w:r w:rsidRPr="008E2CAA">
              <w:rPr>
                <w:rFonts w:ascii="Times New Roman" w:hAnsi="Times New Roman" w:cs="Times New Roman"/>
                <w:b/>
                <w:bCs/>
                <w:sz w:val="18"/>
                <w:szCs w:val="18"/>
                <w:lang w:val="en-GB" w:eastAsia="en-GB"/>
              </w:rPr>
              <w:t>Students</w:t>
            </w:r>
          </w:p>
        </w:tc>
        <w:tc>
          <w:tcPr>
            <w:tcW w:w="1610" w:type="pct"/>
            <w:tcBorders>
              <w:top w:val="single" w:sz="4" w:space="0" w:color="auto"/>
              <w:left w:val="single" w:sz="4" w:space="0" w:color="auto"/>
              <w:bottom w:val="nil"/>
              <w:right w:val="single" w:sz="4" w:space="0" w:color="auto"/>
            </w:tcBorders>
            <w:shd w:val="clear" w:color="000000" w:fill="FFFFFF"/>
            <w:noWrap/>
            <w:vAlign w:val="center"/>
            <w:hideMark/>
          </w:tcPr>
          <w:p w14:paraId="2BE9A98B" w14:textId="1780988E"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Courses and placements and part-time working opportunities</w:t>
            </w:r>
          </w:p>
        </w:tc>
        <w:tc>
          <w:tcPr>
            <w:tcW w:w="1610" w:type="pct"/>
            <w:tcBorders>
              <w:top w:val="single" w:sz="4" w:space="0" w:color="auto"/>
              <w:left w:val="nil"/>
              <w:bottom w:val="nil"/>
              <w:right w:val="single" w:sz="4" w:space="0" w:color="auto"/>
            </w:tcBorders>
            <w:shd w:val="clear" w:color="000000" w:fill="FFFFFF"/>
            <w:noWrap/>
            <w:vAlign w:val="center"/>
            <w:hideMark/>
          </w:tcPr>
          <w:p w14:paraId="3E19F118"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Application of existing knowledge</w:t>
            </w:r>
          </w:p>
        </w:tc>
        <w:tc>
          <w:tcPr>
            <w:tcW w:w="1610" w:type="pct"/>
            <w:tcBorders>
              <w:top w:val="single" w:sz="4" w:space="0" w:color="auto"/>
              <w:left w:val="nil"/>
              <w:bottom w:val="nil"/>
              <w:right w:val="nil"/>
            </w:tcBorders>
            <w:shd w:val="clear" w:color="000000" w:fill="FFFFFF"/>
            <w:noWrap/>
            <w:vAlign w:val="center"/>
            <w:hideMark/>
          </w:tcPr>
          <w:p w14:paraId="0442F705"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Competitive advantage in gaining employment</w:t>
            </w:r>
          </w:p>
        </w:tc>
      </w:tr>
      <w:tr w:rsidR="00C64165" w:rsidRPr="00847361" w14:paraId="71C8D7B6"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00719F9F"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22053A48" w14:textId="4E8256DB"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xml:space="preserve">● Exposure to the workplace </w:t>
            </w:r>
          </w:p>
        </w:tc>
        <w:tc>
          <w:tcPr>
            <w:tcW w:w="1610" w:type="pct"/>
            <w:tcBorders>
              <w:top w:val="nil"/>
              <w:left w:val="nil"/>
              <w:bottom w:val="nil"/>
              <w:right w:val="single" w:sz="4" w:space="0" w:color="auto"/>
            </w:tcBorders>
            <w:shd w:val="clear" w:color="000000" w:fill="FFFFFF"/>
            <w:noWrap/>
            <w:vAlign w:val="center"/>
            <w:hideMark/>
          </w:tcPr>
          <w:p w14:paraId="3D999361"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Work experience</w:t>
            </w:r>
          </w:p>
        </w:tc>
        <w:tc>
          <w:tcPr>
            <w:tcW w:w="1610" w:type="pct"/>
            <w:tcBorders>
              <w:top w:val="nil"/>
              <w:left w:val="nil"/>
              <w:bottom w:val="nil"/>
              <w:right w:val="nil"/>
            </w:tcBorders>
            <w:shd w:val="clear" w:color="000000" w:fill="FFFFFF"/>
            <w:noWrap/>
            <w:vAlign w:val="center"/>
            <w:hideMark/>
          </w:tcPr>
          <w:p w14:paraId="47B7D08F"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Gain control and awareness in the development of their working careers</w:t>
            </w:r>
          </w:p>
        </w:tc>
      </w:tr>
      <w:tr w:rsidR="00C64165" w:rsidRPr="00C64165" w14:paraId="62F6204F"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4108522F"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7745B2A8" w14:textId="47E636E0"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Specific skills or careers modules</w:t>
            </w:r>
          </w:p>
        </w:tc>
        <w:tc>
          <w:tcPr>
            <w:tcW w:w="1610" w:type="pct"/>
            <w:tcBorders>
              <w:top w:val="nil"/>
              <w:left w:val="nil"/>
              <w:bottom w:val="nil"/>
              <w:right w:val="single" w:sz="4" w:space="0" w:color="auto"/>
            </w:tcBorders>
            <w:shd w:val="clear" w:color="000000" w:fill="FFFFFF"/>
            <w:noWrap/>
            <w:vAlign w:val="center"/>
            <w:hideMark/>
          </w:tcPr>
          <w:p w14:paraId="47E3D237"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xml:space="preserve">● Ability to transfer knowledge acquired academically to diverging work contexts </w:t>
            </w:r>
          </w:p>
        </w:tc>
        <w:tc>
          <w:tcPr>
            <w:tcW w:w="1610" w:type="pct"/>
            <w:tcBorders>
              <w:top w:val="nil"/>
              <w:left w:val="nil"/>
              <w:bottom w:val="nil"/>
              <w:right w:val="nil"/>
            </w:tcBorders>
            <w:shd w:val="clear" w:color="000000" w:fill="FFFFFF"/>
            <w:noWrap/>
            <w:vAlign w:val="center"/>
            <w:hideMark/>
          </w:tcPr>
          <w:p w14:paraId="0A045323"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Increase professional network</w:t>
            </w:r>
          </w:p>
        </w:tc>
      </w:tr>
      <w:tr w:rsidR="00C64165" w:rsidRPr="00C64165" w14:paraId="23F2177B"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17425231"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6657CCF5" w14:textId="13B4462C"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Project learning</w:t>
            </w:r>
          </w:p>
        </w:tc>
        <w:tc>
          <w:tcPr>
            <w:tcW w:w="1610" w:type="pct"/>
            <w:tcBorders>
              <w:top w:val="nil"/>
              <w:left w:val="nil"/>
              <w:bottom w:val="nil"/>
              <w:right w:val="single" w:sz="4" w:space="0" w:color="auto"/>
            </w:tcBorders>
            <w:shd w:val="clear" w:color="000000" w:fill="FFFFFF"/>
            <w:noWrap/>
            <w:vAlign w:val="center"/>
            <w:hideMark/>
          </w:tcPr>
          <w:p w14:paraId="515EC4D2"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Informal social networks in the process of selection</w:t>
            </w:r>
          </w:p>
        </w:tc>
        <w:tc>
          <w:tcPr>
            <w:tcW w:w="1610" w:type="pct"/>
            <w:tcBorders>
              <w:top w:val="nil"/>
              <w:left w:val="nil"/>
              <w:bottom w:val="nil"/>
              <w:right w:val="nil"/>
            </w:tcBorders>
            <w:shd w:val="clear" w:color="000000" w:fill="FFFFFF"/>
            <w:noWrap/>
            <w:vAlign w:val="center"/>
            <w:hideMark/>
          </w:tcPr>
          <w:p w14:paraId="3BB182C2"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Transversal skills</w:t>
            </w:r>
          </w:p>
        </w:tc>
      </w:tr>
      <w:tr w:rsidR="00C64165" w:rsidRPr="00847361" w14:paraId="15A32A85"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197B9CB5"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3637891F" w14:textId="183C7863"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Time commitment for students</w:t>
            </w:r>
          </w:p>
        </w:tc>
        <w:tc>
          <w:tcPr>
            <w:tcW w:w="1610" w:type="pct"/>
            <w:tcBorders>
              <w:top w:val="nil"/>
              <w:left w:val="nil"/>
              <w:bottom w:val="nil"/>
              <w:right w:val="single" w:sz="4" w:space="0" w:color="auto"/>
            </w:tcBorders>
            <w:shd w:val="clear" w:color="000000" w:fill="FFFFFF"/>
            <w:noWrap/>
            <w:vAlign w:val="center"/>
            <w:hideMark/>
          </w:tcPr>
          <w:p w14:paraId="0B943B0A"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Work practices, feedback, and reflective self-learning</w:t>
            </w:r>
          </w:p>
        </w:tc>
        <w:tc>
          <w:tcPr>
            <w:tcW w:w="1610" w:type="pct"/>
            <w:tcBorders>
              <w:top w:val="nil"/>
              <w:left w:val="nil"/>
              <w:bottom w:val="nil"/>
              <w:right w:val="nil"/>
            </w:tcBorders>
            <w:shd w:val="clear" w:color="000000" w:fill="FFFFFF"/>
            <w:noWrap/>
            <w:vAlign w:val="center"/>
            <w:hideMark/>
          </w:tcPr>
          <w:p w14:paraId="50A99AC4"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Improvement of graduates’ career adaptability</w:t>
            </w:r>
          </w:p>
        </w:tc>
      </w:tr>
      <w:tr w:rsidR="00C64165" w:rsidRPr="00847361" w14:paraId="4AB50DD8"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2FA2F793"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tcPr>
          <w:p w14:paraId="1A009247" w14:textId="408C2672"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single" w:sz="4" w:space="0" w:color="auto"/>
            </w:tcBorders>
            <w:shd w:val="clear" w:color="000000" w:fill="FFFFFF"/>
            <w:noWrap/>
            <w:vAlign w:val="center"/>
            <w:hideMark/>
          </w:tcPr>
          <w:p w14:paraId="22F87966"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Ability to identify their own skills</w:t>
            </w:r>
          </w:p>
        </w:tc>
        <w:tc>
          <w:tcPr>
            <w:tcW w:w="1610" w:type="pct"/>
            <w:tcBorders>
              <w:top w:val="nil"/>
              <w:left w:val="nil"/>
              <w:bottom w:val="nil"/>
              <w:right w:val="nil"/>
            </w:tcBorders>
            <w:shd w:val="clear" w:color="000000" w:fill="FFFFFF"/>
            <w:noWrap/>
            <w:vAlign w:val="center"/>
            <w:hideMark/>
          </w:tcPr>
          <w:p w14:paraId="3155FC19"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xml:space="preserve">● Smoother and successful school-to-work transition experience </w:t>
            </w:r>
          </w:p>
        </w:tc>
      </w:tr>
      <w:tr w:rsidR="00C64165" w:rsidRPr="00847361" w14:paraId="778BF44D"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1EE0EB3E"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tcPr>
          <w:p w14:paraId="35AD5FD9" w14:textId="64888F4E"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single" w:sz="4" w:space="0" w:color="auto"/>
            </w:tcBorders>
            <w:shd w:val="clear" w:color="000000" w:fill="FFFFFF"/>
            <w:noWrap/>
            <w:vAlign w:val="center"/>
          </w:tcPr>
          <w:p w14:paraId="5742D5C2"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nil"/>
            </w:tcBorders>
            <w:shd w:val="clear" w:color="000000" w:fill="FFFFFF"/>
            <w:noWrap/>
            <w:vAlign w:val="center"/>
            <w:hideMark/>
          </w:tcPr>
          <w:p w14:paraId="3A0F49B8"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Gender differences in graduate self-reported skills acquisition</w:t>
            </w:r>
          </w:p>
        </w:tc>
      </w:tr>
      <w:tr w:rsidR="00C64165" w:rsidRPr="00847361" w14:paraId="6CA0ADF1"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4F2833B8"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tcPr>
          <w:p w14:paraId="5454FC86" w14:textId="09E5F1C8"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single" w:sz="4" w:space="0" w:color="auto"/>
            </w:tcBorders>
            <w:shd w:val="clear" w:color="000000" w:fill="FFFFFF"/>
            <w:noWrap/>
            <w:vAlign w:val="center"/>
          </w:tcPr>
          <w:p w14:paraId="5B6882FC"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nil"/>
            </w:tcBorders>
            <w:shd w:val="clear" w:color="000000" w:fill="FFFFFF"/>
            <w:noWrap/>
            <w:vAlign w:val="center"/>
            <w:hideMark/>
          </w:tcPr>
          <w:p w14:paraId="5375E360"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Racial barriers in hiring and engaging with international students from other ethnic cultures</w:t>
            </w:r>
          </w:p>
        </w:tc>
      </w:tr>
      <w:tr w:rsidR="00C64165" w:rsidRPr="00C64165" w14:paraId="3A4F53B9" w14:textId="77777777" w:rsidTr="008E2CAA">
        <w:trPr>
          <w:trHeight w:val="151"/>
        </w:trPr>
        <w:tc>
          <w:tcPr>
            <w:tcW w:w="169" w:type="pct"/>
            <w:vMerge/>
            <w:tcBorders>
              <w:top w:val="single" w:sz="4" w:space="0" w:color="auto"/>
              <w:left w:val="nil"/>
              <w:bottom w:val="single" w:sz="4" w:space="0" w:color="000000"/>
              <w:right w:val="nil"/>
            </w:tcBorders>
            <w:textDirection w:val="btLr"/>
            <w:vAlign w:val="center"/>
            <w:hideMark/>
          </w:tcPr>
          <w:p w14:paraId="6B3DEF1C"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single" w:sz="4" w:space="0" w:color="auto"/>
              <w:right w:val="single" w:sz="4" w:space="0" w:color="auto"/>
            </w:tcBorders>
            <w:shd w:val="clear" w:color="000000" w:fill="FFFFFF"/>
            <w:noWrap/>
            <w:vAlign w:val="center"/>
          </w:tcPr>
          <w:p w14:paraId="420AE90D" w14:textId="266960D6"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single" w:sz="4" w:space="0" w:color="auto"/>
              <w:right w:val="single" w:sz="4" w:space="0" w:color="auto"/>
            </w:tcBorders>
            <w:shd w:val="clear" w:color="000000" w:fill="FFFFFF"/>
            <w:noWrap/>
            <w:vAlign w:val="center"/>
          </w:tcPr>
          <w:p w14:paraId="379B7682"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single" w:sz="4" w:space="0" w:color="auto"/>
              <w:right w:val="nil"/>
            </w:tcBorders>
            <w:shd w:val="clear" w:color="000000" w:fill="FFFFFF"/>
            <w:noWrap/>
            <w:vAlign w:val="center"/>
            <w:hideMark/>
          </w:tcPr>
          <w:p w14:paraId="621E2A72"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Competitive employment preparation behaviour</w:t>
            </w:r>
          </w:p>
        </w:tc>
      </w:tr>
      <w:tr w:rsidR="00C64165" w:rsidRPr="00C64165" w14:paraId="13C68325" w14:textId="77777777" w:rsidTr="008E2CAA">
        <w:trPr>
          <w:trHeight w:val="151"/>
        </w:trPr>
        <w:tc>
          <w:tcPr>
            <w:tcW w:w="169" w:type="pct"/>
            <w:vMerge w:val="restart"/>
            <w:tcBorders>
              <w:top w:val="nil"/>
              <w:left w:val="nil"/>
              <w:bottom w:val="single" w:sz="4" w:space="0" w:color="000000"/>
              <w:right w:val="nil"/>
            </w:tcBorders>
            <w:shd w:val="clear" w:color="000000" w:fill="FFFFFF"/>
            <w:noWrap/>
            <w:textDirection w:val="btLr"/>
            <w:vAlign w:val="center"/>
            <w:hideMark/>
          </w:tcPr>
          <w:p w14:paraId="104BA0CC" w14:textId="77777777" w:rsidR="00225553" w:rsidRPr="008E2CAA" w:rsidRDefault="00225553" w:rsidP="008E2CAA">
            <w:pPr>
              <w:spacing w:after="0" w:line="240" w:lineRule="auto"/>
              <w:contextualSpacing/>
              <w:jc w:val="center"/>
              <w:rPr>
                <w:rFonts w:ascii="Times New Roman" w:hAnsi="Times New Roman" w:cs="Times New Roman"/>
                <w:b/>
                <w:bCs/>
                <w:sz w:val="18"/>
                <w:szCs w:val="18"/>
                <w:lang w:val="en-GB" w:eastAsia="en-GB"/>
              </w:rPr>
            </w:pPr>
            <w:r w:rsidRPr="008E2CAA">
              <w:rPr>
                <w:rFonts w:ascii="Times New Roman" w:hAnsi="Times New Roman" w:cs="Times New Roman"/>
                <w:b/>
                <w:bCs/>
                <w:sz w:val="18"/>
                <w:szCs w:val="18"/>
                <w:lang w:val="en-GB" w:eastAsia="en-GB"/>
              </w:rPr>
              <w:t>Firms</w:t>
            </w:r>
          </w:p>
        </w:tc>
        <w:tc>
          <w:tcPr>
            <w:tcW w:w="1610" w:type="pct"/>
            <w:tcBorders>
              <w:top w:val="nil"/>
              <w:left w:val="single" w:sz="4" w:space="0" w:color="auto"/>
              <w:bottom w:val="nil"/>
              <w:right w:val="single" w:sz="4" w:space="0" w:color="auto"/>
            </w:tcBorders>
            <w:shd w:val="clear" w:color="000000" w:fill="FFFFFF"/>
            <w:noWrap/>
            <w:vAlign w:val="center"/>
            <w:hideMark/>
          </w:tcPr>
          <w:p w14:paraId="40647B9D" w14:textId="3707866D"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Interplay between HEIs and firms and professions in the training of future graduates</w:t>
            </w:r>
          </w:p>
        </w:tc>
        <w:tc>
          <w:tcPr>
            <w:tcW w:w="1610" w:type="pct"/>
            <w:tcBorders>
              <w:top w:val="nil"/>
              <w:left w:val="nil"/>
              <w:bottom w:val="nil"/>
              <w:right w:val="single" w:sz="4" w:space="0" w:color="auto"/>
            </w:tcBorders>
            <w:shd w:val="clear" w:color="000000" w:fill="FFFFFF"/>
            <w:noWrap/>
            <w:vAlign w:val="center"/>
            <w:hideMark/>
          </w:tcPr>
          <w:p w14:paraId="69E71724"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Risk reduction in recruitment</w:t>
            </w:r>
          </w:p>
        </w:tc>
        <w:tc>
          <w:tcPr>
            <w:tcW w:w="1610" w:type="pct"/>
            <w:tcBorders>
              <w:top w:val="nil"/>
              <w:left w:val="nil"/>
              <w:bottom w:val="nil"/>
              <w:right w:val="nil"/>
            </w:tcBorders>
            <w:shd w:val="clear" w:color="000000" w:fill="FFFFFF"/>
            <w:noWrap/>
            <w:vAlign w:val="center"/>
            <w:hideMark/>
          </w:tcPr>
          <w:p w14:paraId="616FA980"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Reduction of skills mismatch</w:t>
            </w:r>
          </w:p>
        </w:tc>
      </w:tr>
      <w:tr w:rsidR="00C64165" w:rsidRPr="00C64165" w14:paraId="18BE0032" w14:textId="77777777" w:rsidTr="008E2CAA">
        <w:trPr>
          <w:trHeight w:val="151"/>
        </w:trPr>
        <w:tc>
          <w:tcPr>
            <w:tcW w:w="169" w:type="pct"/>
            <w:vMerge/>
            <w:tcBorders>
              <w:top w:val="nil"/>
              <w:left w:val="nil"/>
              <w:bottom w:val="single" w:sz="4" w:space="0" w:color="000000"/>
              <w:right w:val="nil"/>
            </w:tcBorders>
            <w:textDirection w:val="btLr"/>
            <w:vAlign w:val="center"/>
            <w:hideMark/>
          </w:tcPr>
          <w:p w14:paraId="41A1EEA5"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7C4CFF5D" w14:textId="060F28CB"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Train students (financial and HR inputs)</w:t>
            </w:r>
          </w:p>
        </w:tc>
        <w:tc>
          <w:tcPr>
            <w:tcW w:w="1610" w:type="pct"/>
            <w:tcBorders>
              <w:top w:val="nil"/>
              <w:left w:val="nil"/>
              <w:bottom w:val="nil"/>
              <w:right w:val="single" w:sz="4" w:space="0" w:color="auto"/>
            </w:tcBorders>
            <w:shd w:val="clear" w:color="000000" w:fill="FFFFFF"/>
            <w:noWrap/>
            <w:vAlign w:val="center"/>
            <w:hideMark/>
          </w:tcPr>
          <w:p w14:paraId="30ED814E"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Collecting more accurate information about the capabilities of potential employees</w:t>
            </w:r>
          </w:p>
        </w:tc>
        <w:tc>
          <w:tcPr>
            <w:tcW w:w="1610" w:type="pct"/>
            <w:tcBorders>
              <w:top w:val="nil"/>
              <w:left w:val="nil"/>
              <w:bottom w:val="nil"/>
              <w:right w:val="nil"/>
            </w:tcBorders>
            <w:shd w:val="clear" w:color="000000" w:fill="FFFFFF"/>
            <w:noWrap/>
            <w:vAlign w:val="center"/>
            <w:hideMark/>
          </w:tcPr>
          <w:p w14:paraId="2286642E" w14:textId="0D790ABD"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●Reduction of recruitment cost</w:t>
            </w:r>
          </w:p>
        </w:tc>
      </w:tr>
      <w:tr w:rsidR="00C64165" w:rsidRPr="00847361" w14:paraId="79EAA575" w14:textId="77777777" w:rsidTr="008E2CAA">
        <w:trPr>
          <w:trHeight w:val="151"/>
        </w:trPr>
        <w:tc>
          <w:tcPr>
            <w:tcW w:w="169" w:type="pct"/>
            <w:vMerge/>
            <w:tcBorders>
              <w:top w:val="nil"/>
              <w:left w:val="nil"/>
              <w:bottom w:val="single" w:sz="4" w:space="0" w:color="000000"/>
              <w:right w:val="nil"/>
            </w:tcBorders>
            <w:textDirection w:val="btLr"/>
            <w:vAlign w:val="center"/>
            <w:hideMark/>
          </w:tcPr>
          <w:p w14:paraId="4C1A3C94"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2592DF5F" w14:textId="2DA7E646"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Remuneration for students and HEIs</w:t>
            </w:r>
          </w:p>
        </w:tc>
        <w:tc>
          <w:tcPr>
            <w:tcW w:w="1610" w:type="pct"/>
            <w:tcBorders>
              <w:top w:val="nil"/>
              <w:left w:val="nil"/>
              <w:bottom w:val="nil"/>
              <w:right w:val="single" w:sz="4" w:space="0" w:color="auto"/>
            </w:tcBorders>
            <w:shd w:val="clear" w:color="000000" w:fill="FFFFFF"/>
            <w:noWrap/>
            <w:vAlign w:val="center"/>
            <w:hideMark/>
          </w:tcPr>
          <w:p w14:paraId="0E8FFEAE"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Tailored competences adapted to firm needs</w:t>
            </w:r>
          </w:p>
        </w:tc>
        <w:tc>
          <w:tcPr>
            <w:tcW w:w="1610" w:type="pct"/>
            <w:tcBorders>
              <w:top w:val="nil"/>
              <w:left w:val="nil"/>
              <w:bottom w:val="nil"/>
              <w:right w:val="nil"/>
            </w:tcBorders>
            <w:shd w:val="clear" w:color="000000" w:fill="FFFFFF"/>
            <w:noWrap/>
            <w:vAlign w:val="center"/>
          </w:tcPr>
          <w:p w14:paraId="452A1168"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C64165" w14:paraId="38C88F2A" w14:textId="77777777" w:rsidTr="008E2CAA">
        <w:trPr>
          <w:trHeight w:val="151"/>
        </w:trPr>
        <w:tc>
          <w:tcPr>
            <w:tcW w:w="169" w:type="pct"/>
            <w:vMerge/>
            <w:tcBorders>
              <w:top w:val="nil"/>
              <w:left w:val="nil"/>
              <w:bottom w:val="single" w:sz="4" w:space="0" w:color="000000"/>
              <w:right w:val="nil"/>
            </w:tcBorders>
            <w:textDirection w:val="btLr"/>
            <w:vAlign w:val="center"/>
            <w:hideMark/>
          </w:tcPr>
          <w:p w14:paraId="39DA822C"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0EC0B7D1" w14:textId="4E2C3B9F"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Time commitment for employers</w:t>
            </w:r>
          </w:p>
        </w:tc>
        <w:tc>
          <w:tcPr>
            <w:tcW w:w="1610" w:type="pct"/>
            <w:tcBorders>
              <w:top w:val="nil"/>
              <w:left w:val="nil"/>
              <w:bottom w:val="nil"/>
              <w:right w:val="single" w:sz="4" w:space="0" w:color="auto"/>
            </w:tcBorders>
            <w:shd w:val="clear" w:color="000000" w:fill="FFFFFF"/>
            <w:noWrap/>
            <w:vAlign w:val="center"/>
            <w:hideMark/>
          </w:tcPr>
          <w:p w14:paraId="12587AA3"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Increase cooperation among HR</w:t>
            </w:r>
          </w:p>
        </w:tc>
        <w:tc>
          <w:tcPr>
            <w:tcW w:w="1610" w:type="pct"/>
            <w:tcBorders>
              <w:top w:val="nil"/>
              <w:left w:val="nil"/>
              <w:bottom w:val="nil"/>
              <w:right w:val="nil"/>
            </w:tcBorders>
            <w:shd w:val="clear" w:color="000000" w:fill="FFFFFF"/>
            <w:noWrap/>
            <w:vAlign w:val="center"/>
          </w:tcPr>
          <w:p w14:paraId="67656B0C"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847361" w14:paraId="4B54B7F6" w14:textId="77777777" w:rsidTr="008E2CAA">
        <w:trPr>
          <w:trHeight w:val="151"/>
        </w:trPr>
        <w:tc>
          <w:tcPr>
            <w:tcW w:w="169" w:type="pct"/>
            <w:vMerge/>
            <w:tcBorders>
              <w:top w:val="nil"/>
              <w:left w:val="nil"/>
              <w:bottom w:val="single" w:sz="4" w:space="0" w:color="000000"/>
              <w:right w:val="nil"/>
            </w:tcBorders>
            <w:textDirection w:val="btLr"/>
            <w:vAlign w:val="center"/>
            <w:hideMark/>
          </w:tcPr>
          <w:p w14:paraId="01291601" w14:textId="77777777" w:rsidR="00225553" w:rsidRPr="00622BF0" w:rsidRDefault="00225553" w:rsidP="008E2CAA">
            <w:pPr>
              <w:spacing w:after="0" w:line="240" w:lineRule="auto"/>
              <w:contextualSpacing/>
              <w:jc w:val="center"/>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single" w:sz="4" w:space="0" w:color="auto"/>
              <w:right w:val="single" w:sz="4" w:space="0" w:color="auto"/>
            </w:tcBorders>
            <w:shd w:val="clear" w:color="000000" w:fill="FFFFFF"/>
            <w:noWrap/>
            <w:vAlign w:val="center"/>
            <w:hideMark/>
          </w:tcPr>
          <w:p w14:paraId="203DCC61" w14:textId="773188D2"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xml:space="preserve">● Involvement in the design and delivery of training </w:t>
            </w:r>
          </w:p>
        </w:tc>
        <w:tc>
          <w:tcPr>
            <w:tcW w:w="1610" w:type="pct"/>
            <w:tcBorders>
              <w:top w:val="nil"/>
              <w:left w:val="nil"/>
              <w:bottom w:val="single" w:sz="4" w:space="0" w:color="auto"/>
              <w:right w:val="single" w:sz="4" w:space="0" w:color="auto"/>
            </w:tcBorders>
            <w:shd w:val="clear" w:color="000000" w:fill="FFFFFF"/>
            <w:vAlign w:val="center"/>
            <w:hideMark/>
          </w:tcPr>
          <w:p w14:paraId="7DD65890"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single" w:sz="4" w:space="0" w:color="auto"/>
              <w:right w:val="nil"/>
            </w:tcBorders>
            <w:shd w:val="clear" w:color="000000" w:fill="FFFFFF"/>
            <w:noWrap/>
            <w:vAlign w:val="center"/>
          </w:tcPr>
          <w:p w14:paraId="231081EA"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847361" w14:paraId="576AECBC" w14:textId="77777777" w:rsidTr="008E2CAA">
        <w:trPr>
          <w:trHeight w:val="151"/>
        </w:trPr>
        <w:tc>
          <w:tcPr>
            <w:tcW w:w="169" w:type="pct"/>
            <w:vMerge w:val="restart"/>
            <w:tcBorders>
              <w:top w:val="nil"/>
              <w:left w:val="nil"/>
              <w:bottom w:val="single" w:sz="4" w:space="0" w:color="000000"/>
              <w:right w:val="nil"/>
            </w:tcBorders>
            <w:shd w:val="clear" w:color="000000" w:fill="FFFFFF"/>
            <w:noWrap/>
            <w:textDirection w:val="btLr"/>
            <w:vAlign w:val="center"/>
            <w:hideMark/>
          </w:tcPr>
          <w:p w14:paraId="0C223CED" w14:textId="77777777" w:rsidR="00225553" w:rsidRPr="008E2CAA" w:rsidRDefault="00225553" w:rsidP="008E2CAA">
            <w:pPr>
              <w:spacing w:after="0" w:line="240" w:lineRule="auto"/>
              <w:contextualSpacing/>
              <w:jc w:val="center"/>
              <w:rPr>
                <w:rFonts w:ascii="Times New Roman" w:hAnsi="Times New Roman" w:cs="Times New Roman"/>
                <w:b/>
                <w:bCs/>
                <w:sz w:val="18"/>
                <w:szCs w:val="18"/>
                <w:lang w:val="en-GB" w:eastAsia="en-GB"/>
              </w:rPr>
            </w:pPr>
            <w:r w:rsidRPr="008E2CAA">
              <w:rPr>
                <w:rFonts w:ascii="Times New Roman" w:hAnsi="Times New Roman" w:cs="Times New Roman"/>
                <w:b/>
                <w:bCs/>
                <w:sz w:val="18"/>
                <w:szCs w:val="18"/>
                <w:lang w:val="en-GB" w:eastAsia="en-GB"/>
              </w:rPr>
              <w:t>HEIs</w:t>
            </w:r>
          </w:p>
        </w:tc>
        <w:tc>
          <w:tcPr>
            <w:tcW w:w="1610" w:type="pct"/>
            <w:tcBorders>
              <w:top w:val="nil"/>
              <w:left w:val="single" w:sz="4" w:space="0" w:color="auto"/>
              <w:bottom w:val="nil"/>
              <w:right w:val="single" w:sz="4" w:space="0" w:color="auto"/>
            </w:tcBorders>
            <w:shd w:val="clear" w:color="000000" w:fill="FFFFFF"/>
            <w:noWrap/>
            <w:vAlign w:val="center"/>
            <w:hideMark/>
          </w:tcPr>
          <w:p w14:paraId="1887FA6F" w14:textId="31916879"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Time commitment for academics</w:t>
            </w:r>
          </w:p>
        </w:tc>
        <w:tc>
          <w:tcPr>
            <w:tcW w:w="1610" w:type="pct"/>
            <w:tcBorders>
              <w:top w:val="nil"/>
              <w:left w:val="nil"/>
              <w:bottom w:val="nil"/>
              <w:right w:val="single" w:sz="4" w:space="0" w:color="auto"/>
            </w:tcBorders>
            <w:shd w:val="clear" w:color="000000" w:fill="FFFFFF"/>
            <w:noWrap/>
            <w:vAlign w:val="center"/>
            <w:hideMark/>
          </w:tcPr>
          <w:p w14:paraId="339F3FDA"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Long and co-adaptive process between HEIs and firms</w:t>
            </w:r>
          </w:p>
        </w:tc>
        <w:tc>
          <w:tcPr>
            <w:tcW w:w="1610" w:type="pct"/>
            <w:tcBorders>
              <w:top w:val="nil"/>
              <w:left w:val="nil"/>
              <w:bottom w:val="nil"/>
              <w:right w:val="nil"/>
            </w:tcBorders>
            <w:shd w:val="clear" w:color="000000" w:fill="FFFFFF"/>
            <w:noWrap/>
            <w:vAlign w:val="center"/>
            <w:hideMark/>
          </w:tcPr>
          <w:p w14:paraId="7F616BA1" w14:textId="15734246"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xml:space="preserve">● Render the decision making in curriculum development more flexible to </w:t>
            </w:r>
            <w:r w:rsidR="00FF795D" w:rsidRPr="008E2CAA">
              <w:rPr>
                <w:rFonts w:ascii="Times New Roman" w:hAnsi="Times New Roman" w:cs="Times New Roman"/>
                <w:sz w:val="18"/>
                <w:szCs w:val="18"/>
                <w:lang w:val="en-GB" w:eastAsia="en-GB"/>
              </w:rPr>
              <w:t>labour</w:t>
            </w:r>
            <w:r w:rsidRPr="008E2CAA">
              <w:rPr>
                <w:rFonts w:ascii="Times New Roman" w:hAnsi="Times New Roman" w:cs="Times New Roman"/>
                <w:sz w:val="18"/>
                <w:szCs w:val="18"/>
                <w:lang w:val="en-GB" w:eastAsia="en-GB"/>
              </w:rPr>
              <w:t xml:space="preserve"> market needs</w:t>
            </w:r>
          </w:p>
        </w:tc>
      </w:tr>
      <w:tr w:rsidR="00C64165" w:rsidRPr="00847361" w14:paraId="1AB03747" w14:textId="77777777" w:rsidTr="008E2CAA">
        <w:trPr>
          <w:trHeight w:val="151"/>
        </w:trPr>
        <w:tc>
          <w:tcPr>
            <w:tcW w:w="169" w:type="pct"/>
            <w:vMerge/>
            <w:tcBorders>
              <w:top w:val="nil"/>
              <w:left w:val="nil"/>
              <w:bottom w:val="single" w:sz="4" w:space="0" w:color="000000"/>
              <w:right w:val="nil"/>
            </w:tcBorders>
            <w:vAlign w:val="center"/>
            <w:hideMark/>
          </w:tcPr>
          <w:p w14:paraId="3C08BBD8" w14:textId="77777777" w:rsidR="00225553" w:rsidRPr="00622BF0" w:rsidRDefault="00225553" w:rsidP="00622BF0">
            <w:pPr>
              <w:spacing w:after="0" w:line="240" w:lineRule="auto"/>
              <w:contextualSpacing/>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361B1540" w14:textId="692BB71A"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Application and selection process</w:t>
            </w:r>
          </w:p>
        </w:tc>
        <w:tc>
          <w:tcPr>
            <w:tcW w:w="1610" w:type="pct"/>
            <w:tcBorders>
              <w:top w:val="nil"/>
              <w:left w:val="nil"/>
              <w:bottom w:val="nil"/>
              <w:right w:val="single" w:sz="4" w:space="0" w:color="auto"/>
            </w:tcBorders>
            <w:shd w:val="clear" w:color="000000" w:fill="FFFFFF"/>
            <w:noWrap/>
            <w:vAlign w:val="center"/>
            <w:hideMark/>
          </w:tcPr>
          <w:p w14:paraId="480B128A" w14:textId="77777777"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Adaptation of the content of the curriculum</w:t>
            </w:r>
          </w:p>
        </w:tc>
        <w:tc>
          <w:tcPr>
            <w:tcW w:w="1610" w:type="pct"/>
            <w:tcBorders>
              <w:top w:val="nil"/>
              <w:left w:val="nil"/>
              <w:bottom w:val="nil"/>
              <w:right w:val="nil"/>
            </w:tcBorders>
            <w:shd w:val="clear" w:color="000000" w:fill="FFFFFF"/>
            <w:noWrap/>
            <w:vAlign w:val="center"/>
          </w:tcPr>
          <w:p w14:paraId="6BD30D40"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847361" w14:paraId="0D797B22" w14:textId="77777777" w:rsidTr="008E2CAA">
        <w:trPr>
          <w:trHeight w:val="151"/>
        </w:trPr>
        <w:tc>
          <w:tcPr>
            <w:tcW w:w="169" w:type="pct"/>
            <w:vMerge/>
            <w:tcBorders>
              <w:top w:val="nil"/>
              <w:left w:val="nil"/>
              <w:bottom w:val="single" w:sz="4" w:space="0" w:color="000000"/>
              <w:right w:val="nil"/>
            </w:tcBorders>
            <w:vAlign w:val="center"/>
            <w:hideMark/>
          </w:tcPr>
          <w:p w14:paraId="75456F57" w14:textId="77777777" w:rsidR="00225553" w:rsidRPr="00622BF0" w:rsidRDefault="00225553" w:rsidP="00622BF0">
            <w:pPr>
              <w:spacing w:after="0" w:line="240" w:lineRule="auto"/>
              <w:contextualSpacing/>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03CD4090" w14:textId="51E8D22E"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Resources for administrative staff and academics</w:t>
            </w:r>
          </w:p>
        </w:tc>
        <w:tc>
          <w:tcPr>
            <w:tcW w:w="1610" w:type="pct"/>
            <w:tcBorders>
              <w:top w:val="nil"/>
              <w:left w:val="nil"/>
              <w:bottom w:val="nil"/>
              <w:right w:val="single" w:sz="4" w:space="0" w:color="auto"/>
            </w:tcBorders>
            <w:shd w:val="clear" w:color="000000" w:fill="FFFFFF"/>
            <w:noWrap/>
            <w:vAlign w:val="center"/>
          </w:tcPr>
          <w:p w14:paraId="743293C6"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nil"/>
            </w:tcBorders>
            <w:shd w:val="clear" w:color="000000" w:fill="FFFFFF"/>
            <w:noWrap/>
            <w:vAlign w:val="center"/>
          </w:tcPr>
          <w:p w14:paraId="535C0D5D"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847361" w14:paraId="3395407D" w14:textId="77777777" w:rsidTr="008E2CAA">
        <w:trPr>
          <w:trHeight w:val="151"/>
        </w:trPr>
        <w:tc>
          <w:tcPr>
            <w:tcW w:w="169" w:type="pct"/>
            <w:vMerge/>
            <w:tcBorders>
              <w:top w:val="nil"/>
              <w:left w:val="nil"/>
              <w:bottom w:val="single" w:sz="4" w:space="0" w:color="000000"/>
              <w:right w:val="nil"/>
            </w:tcBorders>
            <w:vAlign w:val="center"/>
            <w:hideMark/>
          </w:tcPr>
          <w:p w14:paraId="087592BC" w14:textId="77777777" w:rsidR="00225553" w:rsidRPr="00622BF0" w:rsidRDefault="00225553" w:rsidP="00622BF0">
            <w:pPr>
              <w:spacing w:after="0" w:line="240" w:lineRule="auto"/>
              <w:contextualSpacing/>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218ADF6F" w14:textId="3ED4CC5B"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Setting and governing employability programmes</w:t>
            </w:r>
          </w:p>
        </w:tc>
        <w:tc>
          <w:tcPr>
            <w:tcW w:w="1610" w:type="pct"/>
            <w:tcBorders>
              <w:top w:val="nil"/>
              <w:left w:val="nil"/>
              <w:bottom w:val="nil"/>
              <w:right w:val="single" w:sz="4" w:space="0" w:color="auto"/>
            </w:tcBorders>
            <w:shd w:val="clear" w:color="000000" w:fill="FFFFFF"/>
            <w:noWrap/>
            <w:vAlign w:val="center"/>
          </w:tcPr>
          <w:p w14:paraId="67AA7472"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nil"/>
            </w:tcBorders>
            <w:shd w:val="clear" w:color="000000" w:fill="FFFFFF"/>
            <w:noWrap/>
            <w:vAlign w:val="bottom"/>
          </w:tcPr>
          <w:p w14:paraId="1142326D"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847361" w14:paraId="5968F9D9" w14:textId="77777777" w:rsidTr="008E2CAA">
        <w:trPr>
          <w:trHeight w:val="151"/>
        </w:trPr>
        <w:tc>
          <w:tcPr>
            <w:tcW w:w="169" w:type="pct"/>
            <w:vMerge/>
            <w:tcBorders>
              <w:top w:val="nil"/>
              <w:left w:val="nil"/>
              <w:bottom w:val="single" w:sz="4" w:space="0" w:color="000000"/>
              <w:right w:val="nil"/>
            </w:tcBorders>
            <w:vAlign w:val="center"/>
            <w:hideMark/>
          </w:tcPr>
          <w:p w14:paraId="7FD7BA6C" w14:textId="77777777" w:rsidR="00225553" w:rsidRPr="00622BF0" w:rsidRDefault="00225553" w:rsidP="00622BF0">
            <w:pPr>
              <w:spacing w:after="0" w:line="240" w:lineRule="auto"/>
              <w:contextualSpacing/>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nil"/>
              <w:right w:val="single" w:sz="4" w:space="0" w:color="auto"/>
            </w:tcBorders>
            <w:shd w:val="clear" w:color="000000" w:fill="FFFFFF"/>
            <w:noWrap/>
            <w:vAlign w:val="center"/>
            <w:hideMark/>
          </w:tcPr>
          <w:p w14:paraId="1217B839" w14:textId="02FB22DB"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Mentoring and support to students</w:t>
            </w:r>
          </w:p>
        </w:tc>
        <w:tc>
          <w:tcPr>
            <w:tcW w:w="1610" w:type="pct"/>
            <w:tcBorders>
              <w:top w:val="nil"/>
              <w:left w:val="nil"/>
              <w:bottom w:val="nil"/>
              <w:right w:val="single" w:sz="4" w:space="0" w:color="auto"/>
            </w:tcBorders>
            <w:shd w:val="clear" w:color="000000" w:fill="FFFFFF"/>
            <w:noWrap/>
            <w:vAlign w:val="center"/>
          </w:tcPr>
          <w:p w14:paraId="33032744"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nil"/>
              <w:right w:val="nil"/>
            </w:tcBorders>
            <w:shd w:val="clear" w:color="000000" w:fill="FFFFFF"/>
            <w:noWrap/>
            <w:vAlign w:val="bottom"/>
          </w:tcPr>
          <w:p w14:paraId="1B063D43"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r w:rsidR="00C64165" w:rsidRPr="00847361" w14:paraId="757F82BA" w14:textId="77777777" w:rsidTr="008E2CAA">
        <w:trPr>
          <w:trHeight w:val="151"/>
        </w:trPr>
        <w:tc>
          <w:tcPr>
            <w:tcW w:w="169" w:type="pct"/>
            <w:vMerge/>
            <w:tcBorders>
              <w:top w:val="nil"/>
              <w:left w:val="nil"/>
              <w:bottom w:val="single" w:sz="4" w:space="0" w:color="000000"/>
              <w:right w:val="nil"/>
            </w:tcBorders>
            <w:vAlign w:val="center"/>
            <w:hideMark/>
          </w:tcPr>
          <w:p w14:paraId="2B45D0C0" w14:textId="77777777" w:rsidR="00225553" w:rsidRPr="00622BF0" w:rsidRDefault="00225553" w:rsidP="00622BF0">
            <w:pPr>
              <w:spacing w:after="0" w:line="240" w:lineRule="auto"/>
              <w:contextualSpacing/>
              <w:rPr>
                <w:rFonts w:ascii="Times New Roman" w:eastAsia="Times New Roman" w:hAnsi="Times New Roman" w:cs="Times New Roman"/>
                <w:b/>
                <w:bCs/>
                <w:color w:val="000000"/>
                <w:sz w:val="18"/>
                <w:szCs w:val="18"/>
                <w:lang w:val="en-GB" w:eastAsia="en-GB"/>
              </w:rPr>
            </w:pPr>
          </w:p>
        </w:tc>
        <w:tc>
          <w:tcPr>
            <w:tcW w:w="1610" w:type="pct"/>
            <w:tcBorders>
              <w:top w:val="nil"/>
              <w:left w:val="single" w:sz="4" w:space="0" w:color="auto"/>
              <w:bottom w:val="single" w:sz="4" w:space="0" w:color="auto"/>
              <w:right w:val="single" w:sz="4" w:space="0" w:color="auto"/>
            </w:tcBorders>
            <w:shd w:val="clear" w:color="000000" w:fill="FFFFFF"/>
            <w:noWrap/>
            <w:vAlign w:val="center"/>
            <w:hideMark/>
          </w:tcPr>
          <w:p w14:paraId="30662434" w14:textId="59247360" w:rsidR="00225553" w:rsidRPr="008E2CAA" w:rsidRDefault="00225553" w:rsidP="00622BF0">
            <w:pPr>
              <w:spacing w:after="0" w:line="240" w:lineRule="auto"/>
              <w:contextualSpacing/>
              <w:rPr>
                <w:rFonts w:ascii="Times New Roman" w:hAnsi="Times New Roman" w:cs="Times New Roman"/>
                <w:sz w:val="18"/>
                <w:szCs w:val="18"/>
                <w:lang w:val="en-GB" w:eastAsia="en-GB"/>
              </w:rPr>
            </w:pPr>
            <w:r w:rsidRPr="008E2CAA">
              <w:rPr>
                <w:rFonts w:ascii="Times New Roman" w:hAnsi="Times New Roman" w:cs="Times New Roman"/>
                <w:sz w:val="18"/>
                <w:szCs w:val="18"/>
                <w:lang w:val="en-GB" w:eastAsia="en-GB"/>
              </w:rPr>
              <w:t>● Establishing long term relationships with employers</w:t>
            </w:r>
          </w:p>
        </w:tc>
        <w:tc>
          <w:tcPr>
            <w:tcW w:w="1610" w:type="pct"/>
            <w:tcBorders>
              <w:top w:val="nil"/>
              <w:left w:val="nil"/>
              <w:bottom w:val="single" w:sz="4" w:space="0" w:color="auto"/>
              <w:right w:val="single" w:sz="4" w:space="0" w:color="auto"/>
            </w:tcBorders>
            <w:shd w:val="clear" w:color="000000" w:fill="FFFFFF"/>
            <w:noWrap/>
            <w:vAlign w:val="center"/>
          </w:tcPr>
          <w:p w14:paraId="5987992F"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c>
          <w:tcPr>
            <w:tcW w:w="1610" w:type="pct"/>
            <w:tcBorders>
              <w:top w:val="nil"/>
              <w:left w:val="nil"/>
              <w:bottom w:val="single" w:sz="4" w:space="0" w:color="auto"/>
              <w:right w:val="nil"/>
            </w:tcBorders>
            <w:shd w:val="clear" w:color="000000" w:fill="FFFFFF"/>
            <w:noWrap/>
            <w:vAlign w:val="bottom"/>
          </w:tcPr>
          <w:p w14:paraId="420C860D" w14:textId="77777777" w:rsidR="00225553" w:rsidRPr="00622BF0" w:rsidRDefault="00225553" w:rsidP="00622BF0">
            <w:pPr>
              <w:spacing w:after="0" w:line="240" w:lineRule="auto"/>
              <w:contextualSpacing/>
              <w:rPr>
                <w:rFonts w:ascii="Times New Roman" w:eastAsia="Times New Roman" w:hAnsi="Times New Roman" w:cs="Times New Roman"/>
                <w:color w:val="000000"/>
                <w:sz w:val="18"/>
                <w:szCs w:val="18"/>
                <w:lang w:val="en-GB" w:eastAsia="en-GB"/>
              </w:rPr>
            </w:pPr>
          </w:p>
        </w:tc>
      </w:tr>
    </w:tbl>
    <w:p w14:paraId="37C709E3" w14:textId="77777777" w:rsidR="00225553" w:rsidRPr="008E2CAA" w:rsidRDefault="00225553" w:rsidP="00F71527">
      <w:pPr>
        <w:spacing w:after="0" w:line="240" w:lineRule="auto"/>
        <w:contextualSpacing/>
        <w:rPr>
          <w:rFonts w:ascii="Times New Roman" w:hAnsi="Times New Roman" w:cs="Times New Roman"/>
          <w:sz w:val="24"/>
          <w:szCs w:val="24"/>
          <w:lang w:val="en-GB"/>
        </w:rPr>
      </w:pPr>
    </w:p>
    <w:p w14:paraId="0AD33CDF" w14:textId="77777777" w:rsidR="00225553" w:rsidRPr="008E2CAA" w:rsidRDefault="00225553" w:rsidP="00277BD5">
      <w:pPr>
        <w:jc w:val="both"/>
        <w:rPr>
          <w:rFonts w:ascii="Times New Roman" w:hAnsi="Times New Roman" w:cs="Times New Roman"/>
          <w:sz w:val="24"/>
          <w:szCs w:val="24"/>
          <w:lang w:val="en-GB"/>
        </w:rPr>
        <w:sectPr w:rsidR="00225553" w:rsidRPr="008E2CAA" w:rsidSect="00225553">
          <w:pgSz w:w="16838" w:h="11906" w:orient="landscape"/>
          <w:pgMar w:top="1440" w:right="1440" w:bottom="1440" w:left="1440" w:header="708" w:footer="708" w:gutter="0"/>
          <w:cols w:space="708"/>
          <w:titlePg/>
          <w:docGrid w:linePitch="360"/>
        </w:sectPr>
      </w:pPr>
    </w:p>
    <w:p w14:paraId="541345AB" w14:textId="01C222E4" w:rsidR="00075259" w:rsidRPr="008E2CAA" w:rsidRDefault="00075259" w:rsidP="00277BD5">
      <w:pPr>
        <w:jc w:val="both"/>
        <w:rPr>
          <w:rFonts w:ascii="Times New Roman" w:hAnsi="Times New Roman" w:cs="Times New Roman"/>
          <w:sz w:val="24"/>
          <w:szCs w:val="24"/>
          <w:lang w:val="en-GB"/>
        </w:rPr>
      </w:pPr>
    </w:p>
    <w:p w14:paraId="78A13412" w14:textId="77777777" w:rsidR="00075259" w:rsidRPr="00622BF0" w:rsidRDefault="00075259" w:rsidP="00075259">
      <w:pPr>
        <w:pStyle w:val="Heading2"/>
        <w:jc w:val="both"/>
        <w:rPr>
          <w:rFonts w:ascii="Times New Roman" w:hAnsi="Times New Roman" w:cs="Times New Roman"/>
          <w:b/>
          <w:bCs/>
          <w:sz w:val="24"/>
          <w:szCs w:val="24"/>
          <w:lang w:val="en-GB"/>
        </w:rPr>
      </w:pPr>
      <w:bookmarkStart w:id="7" w:name="_Toc111393098"/>
      <w:r w:rsidRPr="00622BF0">
        <w:rPr>
          <w:rFonts w:ascii="Times New Roman" w:hAnsi="Times New Roman" w:cs="Times New Roman"/>
          <w:b/>
          <w:bCs/>
          <w:sz w:val="24"/>
          <w:szCs w:val="24"/>
          <w:lang w:val="en-GB"/>
        </w:rPr>
        <w:t>HEIs and characteristics of the programmes</w:t>
      </w:r>
      <w:bookmarkEnd w:id="7"/>
    </w:p>
    <w:p w14:paraId="2CCD3090" w14:textId="07B993B6" w:rsidR="009041E9" w:rsidRPr="008E2CAA" w:rsidRDefault="0007525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Usually, HEI activities </w:t>
      </w:r>
      <w:r w:rsidR="00866DDE">
        <w:rPr>
          <w:rFonts w:ascii="Times New Roman" w:hAnsi="Times New Roman" w:cs="Times New Roman"/>
          <w:sz w:val="24"/>
          <w:szCs w:val="24"/>
          <w:lang w:val="en-GB"/>
        </w:rPr>
        <w:t>in order to</w:t>
      </w:r>
      <w:r w:rsidR="00866DDE"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promote employability include a wide range of activities, going from brief visits to worksites, or job-shadowing to observing the process of work, to school-based enterprise, work-placements, </w:t>
      </w:r>
      <w:r w:rsidR="00FF795D" w:rsidRPr="008E2CAA">
        <w:rPr>
          <w:rFonts w:ascii="Times New Roman" w:hAnsi="Times New Roman" w:cs="Times New Roman"/>
          <w:sz w:val="24"/>
          <w:szCs w:val="24"/>
          <w:lang w:val="en-GB"/>
        </w:rPr>
        <w:t>internships,</w:t>
      </w:r>
      <w:r w:rsidRPr="008E2CAA">
        <w:rPr>
          <w:rFonts w:ascii="Times New Roman" w:hAnsi="Times New Roman" w:cs="Times New Roman"/>
          <w:sz w:val="24"/>
          <w:szCs w:val="24"/>
          <w:lang w:val="en-GB"/>
        </w:rPr>
        <w:t xml:space="preserve"> and apprenticeships (Stern, 1999). HEIs are essentially the initiator and the key players in setting and governing employability programmes. The involvement and ties with local environment and economy varies largely by type and historical mission of HEIs. </w:t>
      </w:r>
      <w:r w:rsidR="009041E9" w:rsidRPr="008E2CAA">
        <w:rPr>
          <w:rFonts w:ascii="Times New Roman" w:hAnsi="Times New Roman" w:cs="Times New Roman"/>
          <w:sz w:val="24"/>
          <w:szCs w:val="24"/>
          <w:lang w:val="en-GB"/>
        </w:rPr>
        <w:t xml:space="preserve">According to </w:t>
      </w:r>
      <w:proofErr w:type="spellStart"/>
      <w:r w:rsidR="009041E9" w:rsidRPr="008E2CAA">
        <w:rPr>
          <w:rFonts w:ascii="Times New Roman" w:hAnsi="Times New Roman" w:cs="Times New Roman"/>
          <w:sz w:val="24"/>
          <w:szCs w:val="24"/>
          <w:lang w:val="en-GB"/>
        </w:rPr>
        <w:t>Beaven</w:t>
      </w:r>
      <w:proofErr w:type="spellEnd"/>
      <w:r w:rsidR="009041E9" w:rsidRPr="008E2CAA">
        <w:rPr>
          <w:rFonts w:ascii="Times New Roman" w:hAnsi="Times New Roman" w:cs="Times New Roman"/>
          <w:sz w:val="24"/>
          <w:szCs w:val="24"/>
          <w:lang w:val="en-GB"/>
        </w:rPr>
        <w:t xml:space="preserve"> et al., (2009), the role of employability programmes is to facilitate success in a specific field, therefore emphasis is on practical measures that HEIs can deploy, such as training in transferable workplace skills through placements, part-time working opportunities, and specific skills or careers modules.</w:t>
      </w:r>
    </w:p>
    <w:p w14:paraId="56CCBF81" w14:textId="77777777" w:rsidR="009041E9" w:rsidRPr="008E2CAA" w:rsidRDefault="009041E9" w:rsidP="009041E9">
      <w:pPr>
        <w:pStyle w:val="Heading3"/>
        <w:rPr>
          <w:rFonts w:ascii="Times New Roman" w:hAnsi="Times New Roman" w:cs="Times New Roman"/>
          <w:b/>
          <w:bCs/>
          <w:lang w:val="en-GB"/>
        </w:rPr>
      </w:pPr>
      <w:r w:rsidRPr="008E2CAA">
        <w:rPr>
          <w:rFonts w:ascii="Times New Roman" w:hAnsi="Times New Roman" w:cs="Times New Roman"/>
          <w:b/>
          <w:bCs/>
          <w:lang w:val="en-GB"/>
        </w:rPr>
        <w:t>What do employability programmes in HE do?</w:t>
      </w:r>
    </w:p>
    <w:p w14:paraId="07DBA4BD" w14:textId="4A9A5781" w:rsidR="009041E9" w:rsidRPr="008E2CAA" w:rsidRDefault="009041E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From the corpus analysed, we find that fostering employability (with various tools and modes) is predominantly seen by HEIs </w:t>
      </w:r>
      <w:r w:rsidR="00341A4A" w:rsidRPr="00622BF0">
        <w:rPr>
          <w:rFonts w:ascii="Times New Roman" w:hAnsi="Times New Roman" w:cs="Times New Roman"/>
          <w:sz w:val="24"/>
          <w:szCs w:val="24"/>
          <w:lang w:val="en-GB"/>
        </w:rPr>
        <w:t>to</w:t>
      </w:r>
      <w:r w:rsidRPr="008E2CAA">
        <w:rPr>
          <w:rFonts w:ascii="Times New Roman" w:hAnsi="Times New Roman" w:cs="Times New Roman"/>
          <w:sz w:val="24"/>
          <w:szCs w:val="24"/>
          <w:lang w:val="en-GB"/>
        </w:rPr>
        <w:t xml:space="preserve"> adapt and improve the curricula offered to students (Smith et al., 2019; </w:t>
      </w:r>
      <w:proofErr w:type="spellStart"/>
      <w:r w:rsidRPr="008E2CAA">
        <w:rPr>
          <w:rFonts w:ascii="Times New Roman" w:hAnsi="Times New Roman" w:cs="Times New Roman"/>
          <w:sz w:val="24"/>
          <w:szCs w:val="24"/>
          <w:lang w:val="en-GB"/>
        </w:rPr>
        <w:t>Beaven</w:t>
      </w:r>
      <w:proofErr w:type="spellEnd"/>
      <w:r w:rsidRPr="008E2CAA">
        <w:rPr>
          <w:rFonts w:ascii="Times New Roman" w:hAnsi="Times New Roman" w:cs="Times New Roman"/>
          <w:sz w:val="24"/>
          <w:szCs w:val="24"/>
          <w:lang w:val="en-GB"/>
        </w:rPr>
        <w:t xml:space="preserve"> et al., 2009; Drake et al., 2009, Thomson, 2010). As noted by Saville et al., (2020), in the UK the Leitch Review emphasised the importance of raising the attainment of the workforce by providing vocational education beyond </w:t>
      </w:r>
      <w:r w:rsidR="00740443">
        <w:rPr>
          <w:rFonts w:ascii="Times New Roman" w:hAnsi="Times New Roman" w:cs="Times New Roman"/>
          <w:sz w:val="24"/>
          <w:szCs w:val="24"/>
          <w:lang w:val="en-GB"/>
        </w:rPr>
        <w:t xml:space="preserve">ISCED </w:t>
      </w:r>
      <w:r w:rsidRPr="008E2CAA">
        <w:rPr>
          <w:rFonts w:ascii="Times New Roman" w:hAnsi="Times New Roman" w:cs="Times New Roman"/>
          <w:sz w:val="24"/>
          <w:szCs w:val="24"/>
          <w:lang w:val="en-GB"/>
        </w:rPr>
        <w:t>level 5. Work experience is thought to supplement learning, enabling it to see how theory is applied in practice (Little &amp; Harvey, 2007) and improve personal and transferable skills, such as communication, confidence, perseverance, and empowerment (Helyer, 2011; Lim &amp; Lee, 2019). Employability programmes may enhance students critical thinking and “encourage them to reach their creative limits to look for new ideas, identify new approaches, and create new solutions” (</w:t>
      </w:r>
      <w:proofErr w:type="spellStart"/>
      <w:r w:rsidRPr="008E2CAA">
        <w:rPr>
          <w:rFonts w:ascii="Times New Roman" w:hAnsi="Times New Roman" w:cs="Times New Roman"/>
          <w:sz w:val="24"/>
          <w:szCs w:val="24"/>
          <w:lang w:val="en-GB"/>
        </w:rPr>
        <w:t>Soltani</w:t>
      </w:r>
      <w:proofErr w:type="spellEnd"/>
      <w:r w:rsidRPr="008E2CAA">
        <w:rPr>
          <w:rFonts w:ascii="Times New Roman" w:hAnsi="Times New Roman" w:cs="Times New Roman"/>
          <w:sz w:val="24"/>
          <w:szCs w:val="24"/>
          <w:lang w:val="en-GB"/>
        </w:rPr>
        <w:t xml:space="preserve"> et al., 2013</w:t>
      </w:r>
      <w:r w:rsidR="00DC0FC9" w:rsidRPr="008E2CAA">
        <w:rPr>
          <w:rFonts w:ascii="Times New Roman" w:hAnsi="Times New Roman" w:cs="Times New Roman"/>
          <w:sz w:val="24"/>
          <w:szCs w:val="24"/>
          <w:lang w:val="en-GB"/>
        </w:rPr>
        <w:t xml:space="preserve">, </w:t>
      </w:r>
      <w:r w:rsidR="00341A4A">
        <w:rPr>
          <w:rFonts w:ascii="Times New Roman" w:hAnsi="Times New Roman" w:cs="Times New Roman"/>
          <w:sz w:val="24"/>
          <w:szCs w:val="24"/>
          <w:lang w:val="en-GB"/>
        </w:rPr>
        <w:t>p</w:t>
      </w:r>
      <w:r w:rsidR="00341A4A" w:rsidRPr="00622BF0">
        <w:rPr>
          <w:rFonts w:ascii="Times New Roman" w:hAnsi="Times New Roman" w:cs="Times New Roman"/>
          <w:sz w:val="24"/>
          <w:szCs w:val="24"/>
          <w:lang w:val="en-GB"/>
        </w:rPr>
        <w:t xml:space="preserve">. </w:t>
      </w:r>
      <w:r w:rsidR="00341A4A" w:rsidRPr="008E2CAA">
        <w:rPr>
          <w:rFonts w:ascii="Times New Roman" w:hAnsi="Times New Roman" w:cs="Times New Roman"/>
          <w:sz w:val="24"/>
          <w:szCs w:val="24"/>
          <w:lang w:val="en-GB"/>
        </w:rPr>
        <w:t>173</w:t>
      </w:r>
      <w:r w:rsidRPr="008E2CAA">
        <w:rPr>
          <w:rFonts w:ascii="Times New Roman" w:hAnsi="Times New Roman" w:cs="Times New Roman"/>
          <w:sz w:val="24"/>
          <w:szCs w:val="24"/>
          <w:lang w:val="en-GB"/>
        </w:rPr>
        <w:t>). Cross-exposure with workplace settings yields valuable experience and helps to improve problem-solving skills (</w:t>
      </w:r>
      <w:proofErr w:type="spellStart"/>
      <w:r w:rsidRPr="008E2CAA">
        <w:rPr>
          <w:rFonts w:ascii="Times New Roman" w:hAnsi="Times New Roman" w:cs="Times New Roman"/>
          <w:sz w:val="24"/>
          <w:szCs w:val="24"/>
          <w:lang w:val="en-GB"/>
        </w:rPr>
        <w:t>Kasa</w:t>
      </w:r>
      <w:proofErr w:type="spellEnd"/>
      <w:r w:rsidRPr="008E2CAA">
        <w:rPr>
          <w:rFonts w:ascii="Times New Roman" w:hAnsi="Times New Roman" w:cs="Times New Roman"/>
          <w:sz w:val="24"/>
          <w:szCs w:val="24"/>
          <w:lang w:val="en-GB"/>
        </w:rPr>
        <w:t xml:space="preserve"> et al., 2020). Moreover, Doss et al. (2021) argue WBL in HE can contribute to improved engagement with learning and grade-attainment. Further potential benefits include improvement of graduates’ career adaptability, optimism</w:t>
      </w:r>
      <w:r w:rsidR="00FF795D" w:rsidRPr="008E2CAA">
        <w:rPr>
          <w:rFonts w:ascii="Times New Roman" w:hAnsi="Times New Roman" w:cs="Times New Roman"/>
          <w:sz w:val="24"/>
          <w:szCs w:val="24"/>
          <w:lang w:val="en-GB"/>
        </w:rPr>
        <w:t>,</w:t>
      </w:r>
      <w:r w:rsidR="00DC0FC9"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and a smoother school-to-work transition (</w:t>
      </w:r>
      <w:proofErr w:type="spellStart"/>
      <w:r w:rsidRPr="008E2CAA">
        <w:rPr>
          <w:rFonts w:ascii="Times New Roman" w:hAnsi="Times New Roman" w:cs="Times New Roman"/>
          <w:sz w:val="24"/>
          <w:szCs w:val="24"/>
          <w:lang w:val="en-GB"/>
        </w:rPr>
        <w:t>Kepir</w:t>
      </w:r>
      <w:proofErr w:type="spellEnd"/>
      <w:r w:rsidRPr="008E2CAA">
        <w:rPr>
          <w:rFonts w:ascii="Times New Roman" w:hAnsi="Times New Roman" w:cs="Times New Roman"/>
          <w:sz w:val="24"/>
          <w:szCs w:val="24"/>
          <w:lang w:val="en-GB"/>
        </w:rPr>
        <w:t xml:space="preserve"> </w:t>
      </w:r>
      <w:proofErr w:type="spellStart"/>
      <w:r w:rsidRPr="008E2CAA">
        <w:rPr>
          <w:rFonts w:ascii="Times New Roman" w:hAnsi="Times New Roman" w:cs="Times New Roman"/>
          <w:sz w:val="24"/>
          <w:szCs w:val="24"/>
          <w:lang w:val="en-GB"/>
        </w:rPr>
        <w:t>Sávoly</w:t>
      </w:r>
      <w:proofErr w:type="spellEnd"/>
      <w:r w:rsidRPr="008E2CAA">
        <w:rPr>
          <w:rFonts w:ascii="Times New Roman" w:hAnsi="Times New Roman" w:cs="Times New Roman"/>
          <w:sz w:val="24"/>
          <w:szCs w:val="24"/>
          <w:lang w:val="en-GB"/>
        </w:rPr>
        <w:t xml:space="preserve"> et al.,2020).</w:t>
      </w:r>
    </w:p>
    <w:p w14:paraId="3EF4E76E" w14:textId="73343C9A" w:rsidR="009041E9" w:rsidRPr="008E2CAA" w:rsidRDefault="009041E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Several studies argue that WBL improves confidence about doing a task and this in turn reinforces perseverance and effort (Thomson, 2010; Lester &amp; Costley, 2010). However, as highlighted earlier, this feature cannot be deduced a priori from participation in a WBL settings (Feldman 2016; </w:t>
      </w:r>
      <w:proofErr w:type="spellStart"/>
      <w:r w:rsidRPr="008E2CAA">
        <w:rPr>
          <w:rFonts w:ascii="Times New Roman" w:hAnsi="Times New Roman" w:cs="Times New Roman"/>
          <w:sz w:val="24"/>
          <w:szCs w:val="24"/>
          <w:lang w:val="en-GB"/>
        </w:rPr>
        <w:t>Kettis</w:t>
      </w:r>
      <w:proofErr w:type="spellEnd"/>
      <w:r w:rsidRPr="008E2CAA">
        <w:rPr>
          <w:rFonts w:ascii="Times New Roman" w:hAnsi="Times New Roman" w:cs="Times New Roman"/>
          <w:sz w:val="24"/>
          <w:szCs w:val="24"/>
          <w:lang w:val="en-GB"/>
        </w:rPr>
        <w:t xml:space="preserve"> et al., 2013). Some authors argue that classroom-based learning lacks features of work-based learning that enable students to learn how to transfer knowledge to real-world scenarios (Chen &amp; </w:t>
      </w:r>
      <w:proofErr w:type="spellStart"/>
      <w:r w:rsidRPr="008E2CAA">
        <w:rPr>
          <w:rFonts w:ascii="Times New Roman" w:hAnsi="Times New Roman" w:cs="Times New Roman"/>
          <w:sz w:val="24"/>
          <w:szCs w:val="24"/>
          <w:lang w:val="en-GB"/>
        </w:rPr>
        <w:t>Adefila</w:t>
      </w:r>
      <w:proofErr w:type="spellEnd"/>
      <w:r w:rsidRPr="008E2CAA">
        <w:rPr>
          <w:rFonts w:ascii="Times New Roman" w:hAnsi="Times New Roman" w:cs="Times New Roman"/>
          <w:sz w:val="24"/>
          <w:szCs w:val="24"/>
          <w:lang w:val="en-GB"/>
        </w:rPr>
        <w:t>, 20</w:t>
      </w:r>
      <w:r w:rsidR="000E7D14">
        <w:rPr>
          <w:rFonts w:ascii="Times New Roman" w:hAnsi="Times New Roman" w:cs="Times New Roman"/>
          <w:sz w:val="24"/>
          <w:szCs w:val="24"/>
          <w:lang w:val="en-GB"/>
        </w:rPr>
        <w:t>20</w:t>
      </w:r>
      <w:r w:rsidRPr="008E2CAA">
        <w:rPr>
          <w:rFonts w:ascii="Times New Roman" w:hAnsi="Times New Roman" w:cs="Times New Roman"/>
          <w:sz w:val="24"/>
          <w:szCs w:val="24"/>
          <w:lang w:val="en-GB"/>
        </w:rPr>
        <w:t xml:space="preserve">). </w:t>
      </w:r>
      <w:r w:rsidR="000E7D14" w:rsidRPr="000E7D14">
        <w:rPr>
          <w:rFonts w:ascii="Times New Roman" w:hAnsi="Times New Roman" w:cs="Times New Roman"/>
          <w:sz w:val="24"/>
          <w:szCs w:val="24"/>
          <w:lang w:val="en-GB"/>
        </w:rPr>
        <w:t>Fletcher-</w:t>
      </w:r>
      <w:r w:rsidRPr="000E7D14">
        <w:rPr>
          <w:rFonts w:ascii="Times New Roman" w:hAnsi="Times New Roman" w:cs="Times New Roman"/>
          <w:sz w:val="24"/>
          <w:szCs w:val="24"/>
          <w:lang w:val="en-GB"/>
        </w:rPr>
        <w:t>Brown et al., (20</w:t>
      </w:r>
      <w:r w:rsidR="000E7D14" w:rsidRPr="000576B2">
        <w:rPr>
          <w:rFonts w:ascii="Times New Roman" w:hAnsi="Times New Roman" w:cs="Times New Roman"/>
          <w:sz w:val="24"/>
          <w:szCs w:val="24"/>
          <w:lang w:val="en-GB"/>
        </w:rPr>
        <w:t>15</w:t>
      </w:r>
      <w:r w:rsidRPr="000E7D14">
        <w:rPr>
          <w:rFonts w:ascii="Times New Roman" w:hAnsi="Times New Roman" w:cs="Times New Roman"/>
          <w:sz w:val="24"/>
          <w:szCs w:val="24"/>
          <w:lang w:val="en-GB"/>
        </w:rPr>
        <w:t>),</w:t>
      </w:r>
      <w:r w:rsidRPr="008E2CAA">
        <w:rPr>
          <w:rFonts w:ascii="Times New Roman" w:hAnsi="Times New Roman" w:cs="Times New Roman"/>
          <w:sz w:val="24"/>
          <w:szCs w:val="24"/>
          <w:lang w:val="en-GB"/>
        </w:rPr>
        <w:t xml:space="preserve"> point to the importance of “live project learning” giving students exposure to the workplace resulting in personal, professional growth and self-confidence (Santiago, 2009). In a similar vein, </w:t>
      </w:r>
      <w:r w:rsidRPr="008E2CAA">
        <w:rPr>
          <w:rFonts w:ascii="Times New Roman" w:hAnsi="Times New Roman" w:cs="Times New Roman"/>
          <w:sz w:val="24"/>
          <w:szCs w:val="24"/>
          <w:lang w:val="en-GB"/>
        </w:rPr>
        <w:fldChar w:fldCharType="begin" w:fldLock="1"/>
      </w:r>
      <w:r w:rsidRPr="008E2CAA">
        <w:rPr>
          <w:rFonts w:ascii="Times New Roman" w:hAnsi="Times New Roman" w:cs="Times New Roman"/>
          <w:sz w:val="24"/>
          <w:szCs w:val="24"/>
          <w:lang w:val="en-GB"/>
        </w:rPr>
        <w:instrText>ADDIN CSL_CITATION {"citationItems":[{"id":"ITEM-1","itemData":{"DOI":"10.1080/03075079.2014.942273","ISSN":"1470174X","abstract":"The National Committee of Inquiry into Higher Education (1996) chaired by Lord Dearing envisioned a university sector central to the UK's knowledge-based economy. With successive government support...","author":[{"dropping-particle":"","family":"Thatcher","given":"James","non-dropping-particle":"","parse-names":false,"suffix":""},{"dropping-particle":"","family":"Alao","given":"Hanan","non-dropping-particle":"","parse-names":false,"suffix":""},{"dropping-particle":"","family":"Brown","given":"Christopher J.","non-dropping-particle":"","parse-names":false,"suffix":""},{"dropping-particle":"","family":"Choudhary","given":"Shahriar","non-dropping-particle":"","parse-names":false,"suffix":""}],"container-title":"https://doi.org/10.1080/03075079.2014.942273","id":"ITEM-1","issue":"3","issued":{"date-parts":[["2014","3","3"]]},"page":"560-581","publisher":"Routledge","title":"Enriching the values of micro and small business research projects: co-creation service provision as perceived by academic, business and student","type":"article-journal","volume":"41"},"uris":["http://www.mendeley.com/documents/?uuid=6bbf4c89-f5fc-3ae5-89bd-db1ffca115af"]}],"mendeley":{"formattedCitation":"(Thatcher, Alao, Brown, &amp; Choudhary, 2014)","plainTextFormattedCitation":"(Thatcher, Alao, Brown, &amp; Choudhary, 2014)","previouslyFormattedCitation":"(Thatcher &lt;i&gt;et al.&lt;/i&gt;, 2014)"},"properties":{"noteIndex":0},"schema":"https://github.com/citation-style-language/schema/raw/master/csl-citation.json"}</w:instrText>
      </w:r>
      <w:r w:rsidRPr="008E2CAA">
        <w:rPr>
          <w:rFonts w:ascii="Times New Roman" w:hAnsi="Times New Roman" w:cs="Times New Roman"/>
          <w:sz w:val="24"/>
          <w:szCs w:val="24"/>
          <w:lang w:val="en-GB"/>
        </w:rPr>
        <w:fldChar w:fldCharType="separate"/>
      </w:r>
      <w:r w:rsidRPr="008E2CAA">
        <w:rPr>
          <w:rFonts w:ascii="Times New Roman" w:hAnsi="Times New Roman" w:cs="Times New Roman"/>
          <w:noProof/>
          <w:sz w:val="24"/>
          <w:szCs w:val="24"/>
          <w:lang w:val="en-GB"/>
        </w:rPr>
        <w:t xml:space="preserve">Thatcher </w:t>
      </w:r>
      <w:r w:rsidRPr="008E2CAA">
        <w:rPr>
          <w:rFonts w:ascii="Times New Roman" w:hAnsi="Times New Roman" w:cs="Times New Roman"/>
          <w:sz w:val="24"/>
          <w:szCs w:val="24"/>
          <w:lang w:val="en-GB"/>
        </w:rPr>
        <w:t>et al.,</w:t>
      </w:r>
      <w:r w:rsidRPr="008E2CAA">
        <w:rPr>
          <w:rFonts w:ascii="Times New Roman" w:hAnsi="Times New Roman" w:cs="Times New Roman"/>
          <w:noProof/>
          <w:sz w:val="24"/>
          <w:szCs w:val="24"/>
          <w:lang w:val="en-GB"/>
        </w:rPr>
        <w:t xml:space="preserve"> (2016)</w:t>
      </w:r>
      <w:r w:rsidRPr="008E2CAA">
        <w:rPr>
          <w:rFonts w:ascii="Times New Roman" w:hAnsi="Times New Roman" w:cs="Times New Roman"/>
          <w:sz w:val="24"/>
          <w:szCs w:val="24"/>
          <w:lang w:val="en-GB"/>
        </w:rPr>
        <w:fldChar w:fldCharType="end"/>
      </w:r>
      <w:r w:rsidRPr="008E2CAA">
        <w:rPr>
          <w:rFonts w:ascii="Times New Roman" w:hAnsi="Times New Roman" w:cs="Times New Roman"/>
          <w:sz w:val="24"/>
          <w:szCs w:val="24"/>
          <w:lang w:val="en-GB"/>
        </w:rPr>
        <w:t xml:space="preserve"> report that WBL facilitates learning through dialogue and service engagement. Such programmes combine the theoretical knowledge previously acquired with practical content and are deemed to be beneficial for the acquisition of transversal skills, such as communication and technical skills, teamwork, and adaptation to change (</w:t>
      </w:r>
      <w:proofErr w:type="spellStart"/>
      <w:r w:rsidRPr="000E7D14">
        <w:rPr>
          <w:rFonts w:ascii="Times New Roman" w:hAnsi="Times New Roman" w:cs="Times New Roman"/>
          <w:sz w:val="24"/>
          <w:szCs w:val="24"/>
          <w:lang w:val="en-GB"/>
        </w:rPr>
        <w:t>Herv</w:t>
      </w:r>
      <w:r w:rsidR="000E7D14" w:rsidRPr="000576B2">
        <w:rPr>
          <w:rFonts w:ascii="Times New Roman" w:hAnsi="Times New Roman" w:cs="Times New Roman"/>
          <w:sz w:val="24"/>
          <w:szCs w:val="24"/>
          <w:lang w:val="en-GB"/>
        </w:rPr>
        <w:t>á</w:t>
      </w:r>
      <w:r w:rsidRPr="000E7D14">
        <w:rPr>
          <w:rFonts w:ascii="Times New Roman" w:hAnsi="Times New Roman" w:cs="Times New Roman"/>
          <w:sz w:val="24"/>
          <w:szCs w:val="24"/>
          <w:lang w:val="en-GB"/>
        </w:rPr>
        <w:t>s</w:t>
      </w:r>
      <w:proofErr w:type="spellEnd"/>
      <w:r w:rsidRPr="000E7D14">
        <w:rPr>
          <w:rFonts w:ascii="Times New Roman" w:hAnsi="Times New Roman" w:cs="Times New Roman"/>
          <w:sz w:val="24"/>
          <w:szCs w:val="24"/>
          <w:lang w:val="en-GB"/>
        </w:rPr>
        <w:t xml:space="preserve"> et al., 2012;</w:t>
      </w:r>
      <w:r w:rsidRPr="008E2CAA">
        <w:rPr>
          <w:rFonts w:ascii="Times New Roman" w:hAnsi="Times New Roman" w:cs="Times New Roman"/>
          <w:sz w:val="24"/>
          <w:szCs w:val="24"/>
          <w:lang w:val="en-GB"/>
        </w:rPr>
        <w:t xml:space="preserve"> </w:t>
      </w:r>
      <w:proofErr w:type="spellStart"/>
      <w:r w:rsidRPr="008E2CAA">
        <w:rPr>
          <w:rFonts w:ascii="Times New Roman" w:hAnsi="Times New Roman" w:cs="Times New Roman"/>
          <w:sz w:val="24"/>
          <w:szCs w:val="24"/>
          <w:lang w:val="en-GB"/>
        </w:rPr>
        <w:t>Soltani</w:t>
      </w:r>
      <w:proofErr w:type="spellEnd"/>
      <w:r w:rsidRPr="008E2CAA">
        <w:rPr>
          <w:rFonts w:ascii="Times New Roman" w:hAnsi="Times New Roman" w:cs="Times New Roman"/>
          <w:sz w:val="24"/>
          <w:szCs w:val="24"/>
          <w:lang w:val="en-GB"/>
        </w:rPr>
        <w:t xml:space="preserve"> et al., 2013; Walker et al., 2018). </w:t>
      </w:r>
    </w:p>
    <w:p w14:paraId="664B5E60" w14:textId="25B78721" w:rsidR="009041E9" w:rsidRPr="008E2CAA" w:rsidRDefault="009041E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Based on a systematic literature review, </w:t>
      </w:r>
      <w:r w:rsidRPr="008E2CAA">
        <w:rPr>
          <w:rFonts w:ascii="Times New Roman" w:hAnsi="Times New Roman" w:cs="Times New Roman"/>
          <w:sz w:val="24"/>
          <w:szCs w:val="24"/>
          <w:lang w:val="en-GB"/>
        </w:rPr>
        <w:fldChar w:fldCharType="begin" w:fldLock="1"/>
      </w:r>
      <w:r w:rsidRPr="008E2CAA">
        <w:rPr>
          <w:rFonts w:ascii="Times New Roman" w:hAnsi="Times New Roman" w:cs="Times New Roman"/>
          <w:sz w:val="24"/>
          <w:szCs w:val="24"/>
          <w:lang w:val="en-GB"/>
        </w:rPr>
        <w:instrText>ADDIN CSL_CITATION {"citationItems":[{"id":"ITEM-1","itemData":{"DOI":"10.1108/HESWBL-09-2014-0044/FULL/XML","ISSN":"2042390X","abstract":"Purpose-A central aim of higher education is employability, in order to enable graduates to act in dynamic working environments. Internships as the prevalent work-based learning (WBL) settings offer such an opportunity during the studies; they are commonly used and broadly researched as interventions to improve students' skills and competences. The purpose of this paper is to examine the influencing factors on students' skills and competences that lead to employability in WBL settings. Design/methodology/approach-The paper provides a synthesis of relevant international empirical research on beneficial effects of the very common WBL setting, internship, to create a research framework across disciplines. Findings-The current research is characterized by a search for \"best practices,\" rather than a holistic and systematic view, acknowledging and taking into account different perspectives and their influence. It cannot sufficiently explain why employability in some WBL settings is enhanced more than in others. Therefore, it is necessary to expand the current understanding and evaluation of WBL as an experiential and situated learning experience. It is essential to take promotive factors from the university, the practical partner and the student perspective into account to understand employability enhancement. Based on these findings, a research framework for a holistic perspective on influencing factors of students' employability is designed. Research limitations/implications-There is no empirical proof for the findings yet. Future empirical research may, therefore, be directed toward empirical testing of the impact of WBL settings. Originality/value-It is possible to infer recommendations for improving WBL settings from the three parties involved by interlinking situated and experiential theory.","author":[{"dropping-particle":"","family":"Feldmann","given":"Louisa","non-dropping-particle":"","parse-names":false,"suffix":""}],"container-title":"Higher Education, Skills and Work-based Learning","id":"ITEM-1","issue":"2","issued":{"date-parts":[["2016","5","9"]]},"page":"131-145","publisher":"Emerald Group Publishing Ltd.","title":"Considerations in the design of WBL settings to enhance students' employability: A synthesis of individual and contextual perspectives","type":"article-journal","volume":"6"},"uris":["http://www.mendeley.com/documents/?uuid=aa50dfee-88cf-3b83-91fc-247e6a78e661"]}],"mendeley":{"formattedCitation":"(Feldmann, 2016)","manualFormatting":"Feldmann (2016)","plainTextFormattedCitation":"(Feldmann, 2016)","previouslyFormattedCitation":"(Feldmann, 2016)"},"properties":{"noteIndex":0},"schema":"https://github.com/citation-style-language/schema/raw/master/csl-citation.json"}</w:instrText>
      </w:r>
      <w:r w:rsidRPr="008E2CAA">
        <w:rPr>
          <w:rFonts w:ascii="Times New Roman" w:hAnsi="Times New Roman" w:cs="Times New Roman"/>
          <w:sz w:val="24"/>
          <w:szCs w:val="24"/>
          <w:lang w:val="en-GB"/>
        </w:rPr>
        <w:fldChar w:fldCharType="separate"/>
      </w:r>
      <w:r w:rsidRPr="008E2CAA">
        <w:rPr>
          <w:rFonts w:ascii="Times New Roman" w:hAnsi="Times New Roman" w:cs="Times New Roman"/>
          <w:sz w:val="24"/>
          <w:szCs w:val="24"/>
          <w:lang w:val="en-GB"/>
        </w:rPr>
        <w:t>Feldmann (2016)</w:t>
      </w:r>
      <w:r w:rsidRPr="008E2CAA">
        <w:rPr>
          <w:rFonts w:ascii="Times New Roman" w:hAnsi="Times New Roman" w:cs="Times New Roman"/>
          <w:sz w:val="24"/>
          <w:szCs w:val="24"/>
          <w:lang w:val="en-GB"/>
        </w:rPr>
        <w:fldChar w:fldCharType="end"/>
      </w:r>
      <w:r w:rsidRPr="008E2CAA">
        <w:rPr>
          <w:rFonts w:ascii="Times New Roman" w:hAnsi="Times New Roman" w:cs="Times New Roman"/>
          <w:sz w:val="24"/>
          <w:szCs w:val="24"/>
          <w:lang w:val="en-GB"/>
        </w:rPr>
        <w:t xml:space="preserve"> concludes that WBL strengthens student motivation and transferable skills because it exposes them to variable situations. This is further endorsed by </w:t>
      </w:r>
      <w:proofErr w:type="spellStart"/>
      <w:r w:rsidRPr="008E2CAA">
        <w:rPr>
          <w:rFonts w:ascii="Times New Roman" w:hAnsi="Times New Roman" w:cs="Times New Roman"/>
          <w:sz w:val="24"/>
          <w:szCs w:val="24"/>
          <w:lang w:val="en-GB"/>
        </w:rPr>
        <w:t>Dogara</w:t>
      </w:r>
      <w:proofErr w:type="spellEnd"/>
      <w:r w:rsidRPr="008E2CAA">
        <w:rPr>
          <w:rFonts w:ascii="Times New Roman" w:hAnsi="Times New Roman" w:cs="Times New Roman"/>
          <w:sz w:val="24"/>
          <w:szCs w:val="24"/>
          <w:lang w:val="en-GB"/>
        </w:rPr>
        <w:t xml:space="preserve"> et al., (2020), Hegarty &amp; Johnston (2009) Woodley &amp; Beattie (2011) and Yorke (2011) who all emphasised that learning is essentially a social and </w:t>
      </w:r>
      <w:r w:rsidRPr="008E2CAA">
        <w:rPr>
          <w:rFonts w:ascii="Times New Roman" w:hAnsi="Times New Roman" w:cs="Times New Roman"/>
          <w:sz w:val="24"/>
          <w:szCs w:val="24"/>
          <w:lang w:val="en-GB"/>
        </w:rPr>
        <w:lastRenderedPageBreak/>
        <w:t xml:space="preserve">experiential process, and that for WBL to be effective, the pedological design should have the student in the centre, ensuring effective student experience, reflection, and assessment. However, </w:t>
      </w:r>
      <w:proofErr w:type="spellStart"/>
      <w:r w:rsidRPr="008E2CAA">
        <w:rPr>
          <w:rFonts w:ascii="Times New Roman" w:hAnsi="Times New Roman" w:cs="Times New Roman"/>
          <w:sz w:val="24"/>
          <w:szCs w:val="24"/>
          <w:lang w:val="en-GB"/>
        </w:rPr>
        <w:t>Kettis</w:t>
      </w:r>
      <w:proofErr w:type="spellEnd"/>
      <w:r w:rsidRPr="008E2CAA">
        <w:rPr>
          <w:rFonts w:ascii="Times New Roman" w:hAnsi="Times New Roman" w:cs="Times New Roman"/>
          <w:sz w:val="24"/>
          <w:szCs w:val="24"/>
          <w:lang w:val="en-GB"/>
        </w:rPr>
        <w:t xml:space="preserve"> et al., (2013) emphasises the need to get away from the “magic ingredient of placement” approach, advocating more structure and training for academics in providing WBL support for students. Gomes et al., (2018) and Diver, (2021) go further, poor</w:t>
      </w:r>
      <w:r w:rsidR="00FF795D" w:rsidRPr="008E2CAA">
        <w:rPr>
          <w:rFonts w:ascii="Times New Roman" w:hAnsi="Times New Roman" w:cs="Times New Roman"/>
          <w:sz w:val="24"/>
          <w:szCs w:val="24"/>
          <w:lang w:val="en-GB"/>
        </w:rPr>
        <w:t>,</w:t>
      </w:r>
      <w:r w:rsidRPr="008E2CAA">
        <w:rPr>
          <w:rFonts w:ascii="Times New Roman" w:hAnsi="Times New Roman" w:cs="Times New Roman"/>
          <w:sz w:val="24"/>
          <w:szCs w:val="24"/>
          <w:lang w:val="en-GB"/>
        </w:rPr>
        <w:t xml:space="preserve"> or inappropriate placements having a negative impact on motivation. Conversely, a temporary loss in confidence during WBL can be interpreted as a growing awareness of their own weakness and skill gaps, providing further motivation to learn more strategically in their remaining years in HE (McKinnon &amp; McCrae, 2012).</w:t>
      </w:r>
    </w:p>
    <w:p w14:paraId="101D12D2" w14:textId="3605DAAE" w:rsidR="009041E9" w:rsidRPr="008E2CAA" w:rsidRDefault="009041E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A substantial share of the corpus studied internships as a route to promote employability. Qualitatively, internships are seen to impact on student’s learning in similar ways as WBL. Internships are seen as a way to develop transferable skills and enhance the ability to transfer knowledge acquired academically to diverging work contexts and to constantly adapt to these contexts with the aim of systematically renewing actions (Smith et al., 2017, </w:t>
      </w:r>
      <w:proofErr w:type="spellStart"/>
      <w:r w:rsidRPr="008E2CAA">
        <w:rPr>
          <w:rFonts w:ascii="Times New Roman" w:hAnsi="Times New Roman" w:cs="Times New Roman"/>
          <w:sz w:val="24"/>
          <w:szCs w:val="24"/>
          <w:lang w:val="en-GB"/>
        </w:rPr>
        <w:t>Moscardo</w:t>
      </w:r>
      <w:proofErr w:type="spellEnd"/>
      <w:r w:rsidRPr="008E2CAA">
        <w:rPr>
          <w:rFonts w:ascii="Times New Roman" w:hAnsi="Times New Roman" w:cs="Times New Roman"/>
          <w:sz w:val="24"/>
          <w:szCs w:val="24"/>
          <w:lang w:val="en-GB"/>
        </w:rPr>
        <w:t xml:space="preserve"> &amp; Pearce 2007). As a practical experience for applying academic concepts, internships deepen students’ understanding of an organization or profession (Hervas et al., 2012). As presented in Table 1, internships can also provide students with an opportunity to improve their personal, professional</w:t>
      </w:r>
      <w:r w:rsidR="00FF795D" w:rsidRPr="008E2CAA">
        <w:rPr>
          <w:rFonts w:ascii="Times New Roman" w:hAnsi="Times New Roman" w:cs="Times New Roman"/>
          <w:sz w:val="24"/>
          <w:szCs w:val="24"/>
          <w:lang w:val="en-GB"/>
        </w:rPr>
        <w:t>,</w:t>
      </w:r>
      <w:r w:rsidRPr="008E2CAA">
        <w:rPr>
          <w:rFonts w:ascii="Times New Roman" w:hAnsi="Times New Roman" w:cs="Times New Roman"/>
          <w:sz w:val="24"/>
          <w:szCs w:val="24"/>
          <w:lang w:val="en-GB"/>
        </w:rPr>
        <w:t xml:space="preserve"> and social skills, promoting career prospects (McKinnon &amp; McCrae, 2012). Internships also foster students’ ability to make decisions and cope with complex real-life scenarios (</w:t>
      </w:r>
      <w:proofErr w:type="spellStart"/>
      <w:r w:rsidRPr="008E2CAA">
        <w:rPr>
          <w:rFonts w:ascii="Times New Roman" w:hAnsi="Times New Roman" w:cs="Times New Roman"/>
          <w:sz w:val="24"/>
          <w:szCs w:val="24"/>
          <w:lang w:val="en-GB"/>
        </w:rPr>
        <w:t>Herv</w:t>
      </w:r>
      <w:r w:rsidR="000E7D14">
        <w:rPr>
          <w:rFonts w:ascii="Times New Roman" w:hAnsi="Times New Roman" w:cs="Times New Roman"/>
          <w:sz w:val="24"/>
          <w:szCs w:val="24"/>
          <w:lang w:val="en-GB"/>
        </w:rPr>
        <w:t>á</w:t>
      </w:r>
      <w:r w:rsidRPr="008E2CAA">
        <w:rPr>
          <w:rFonts w:ascii="Times New Roman" w:hAnsi="Times New Roman" w:cs="Times New Roman"/>
          <w:sz w:val="24"/>
          <w:szCs w:val="24"/>
          <w:lang w:val="en-GB"/>
        </w:rPr>
        <w:t>s</w:t>
      </w:r>
      <w:proofErr w:type="spellEnd"/>
      <w:r w:rsidRPr="008E2CAA">
        <w:rPr>
          <w:rFonts w:ascii="Times New Roman" w:hAnsi="Times New Roman" w:cs="Times New Roman"/>
          <w:sz w:val="24"/>
          <w:szCs w:val="24"/>
          <w:lang w:val="en-GB"/>
        </w:rPr>
        <w:t xml:space="preserve"> et al., 2012). </w:t>
      </w:r>
      <w:proofErr w:type="spellStart"/>
      <w:r w:rsidRPr="008E2CAA">
        <w:rPr>
          <w:rFonts w:ascii="Times New Roman" w:hAnsi="Times New Roman" w:cs="Times New Roman"/>
          <w:sz w:val="24"/>
          <w:szCs w:val="24"/>
          <w:lang w:val="en-GB"/>
        </w:rPr>
        <w:t>Beaven</w:t>
      </w:r>
      <w:proofErr w:type="spellEnd"/>
      <w:r w:rsidRPr="008E2CAA">
        <w:rPr>
          <w:rFonts w:ascii="Times New Roman" w:hAnsi="Times New Roman" w:cs="Times New Roman"/>
          <w:sz w:val="24"/>
          <w:szCs w:val="24"/>
          <w:lang w:val="en-GB"/>
        </w:rPr>
        <w:t xml:space="preserve"> et al., (2009), point out that students place high value on learning through challenging practical projects and being ‘thrown in at the deep end’.</w:t>
      </w:r>
    </w:p>
    <w:p w14:paraId="465395FB" w14:textId="77777777" w:rsidR="00075259" w:rsidRPr="00622BF0" w:rsidRDefault="00075259" w:rsidP="00075259">
      <w:pPr>
        <w:pStyle w:val="Heading3"/>
        <w:jc w:val="both"/>
        <w:rPr>
          <w:rFonts w:ascii="Times New Roman" w:hAnsi="Times New Roman" w:cs="Times New Roman"/>
          <w:b/>
          <w:bCs/>
          <w:lang w:val="en-GB"/>
        </w:rPr>
      </w:pPr>
      <w:r w:rsidRPr="00622BF0">
        <w:rPr>
          <w:rFonts w:ascii="Times New Roman" w:hAnsi="Times New Roman" w:cs="Times New Roman"/>
          <w:b/>
          <w:bCs/>
          <w:lang w:val="en-GB"/>
        </w:rPr>
        <w:t>What is the right balance of skills?</w:t>
      </w:r>
    </w:p>
    <w:p w14:paraId="5FD8DA09" w14:textId="77777777" w:rsidR="00683328" w:rsidRPr="008E2CAA" w:rsidRDefault="0007525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eastAsia="en-GB"/>
        </w:rPr>
        <w:t>A key challenge facing HEIs seeking to cultivate the employability of their prospective graduates is determining the most appropriate balance of skills for successful labour market engagement. The underlying idea is that there is an optimal combination of general and specific competencies that is required by firms (</w:t>
      </w:r>
      <w:proofErr w:type="spellStart"/>
      <w:r w:rsidRPr="008E2CAA">
        <w:rPr>
          <w:rFonts w:ascii="Times New Roman" w:hAnsi="Times New Roman" w:cs="Times New Roman"/>
          <w:sz w:val="24"/>
          <w:szCs w:val="24"/>
          <w:lang w:val="en-GB" w:eastAsia="en-GB"/>
        </w:rPr>
        <w:t>Pouratashi</w:t>
      </w:r>
      <w:proofErr w:type="spellEnd"/>
      <w:r w:rsidRPr="008E2CAA">
        <w:rPr>
          <w:rFonts w:ascii="Times New Roman" w:hAnsi="Times New Roman" w:cs="Times New Roman"/>
          <w:sz w:val="24"/>
          <w:szCs w:val="24"/>
          <w:lang w:val="en-GB" w:eastAsia="en-GB"/>
        </w:rPr>
        <w:t xml:space="preserve"> &amp; Zamani, 2019; Chen &amp; </w:t>
      </w:r>
      <w:proofErr w:type="spellStart"/>
      <w:r w:rsidRPr="008E2CAA">
        <w:rPr>
          <w:rFonts w:ascii="Times New Roman" w:hAnsi="Times New Roman" w:cs="Times New Roman"/>
          <w:sz w:val="24"/>
          <w:szCs w:val="24"/>
          <w:lang w:val="en-GB" w:eastAsia="en-GB"/>
        </w:rPr>
        <w:t>Adefila</w:t>
      </w:r>
      <w:proofErr w:type="spellEnd"/>
      <w:r w:rsidRPr="008E2CAA">
        <w:rPr>
          <w:rFonts w:ascii="Times New Roman" w:hAnsi="Times New Roman" w:cs="Times New Roman"/>
          <w:sz w:val="24"/>
          <w:szCs w:val="24"/>
          <w:lang w:val="en-GB" w:eastAsia="en-GB"/>
        </w:rPr>
        <w:t xml:space="preserve">, 2020; Forsyth &amp; </w:t>
      </w:r>
      <w:proofErr w:type="spellStart"/>
      <w:r w:rsidRPr="008E2CAA">
        <w:rPr>
          <w:rFonts w:ascii="Times New Roman" w:hAnsi="Times New Roman" w:cs="Times New Roman"/>
          <w:sz w:val="24"/>
          <w:szCs w:val="24"/>
          <w:lang w:val="en-GB" w:eastAsia="en-GB"/>
        </w:rPr>
        <w:t>Cowap</w:t>
      </w:r>
      <w:proofErr w:type="spellEnd"/>
      <w:r w:rsidRPr="008E2CAA">
        <w:rPr>
          <w:rFonts w:ascii="Times New Roman" w:hAnsi="Times New Roman" w:cs="Times New Roman"/>
          <w:sz w:val="24"/>
          <w:szCs w:val="24"/>
          <w:lang w:val="en-GB" w:eastAsia="en-GB"/>
        </w:rPr>
        <w:t>, 2017). O</w:t>
      </w:r>
      <w:r w:rsidRPr="008E2CAA">
        <w:rPr>
          <w:rFonts w:ascii="Times New Roman" w:hAnsi="Times New Roman" w:cs="Times New Roman"/>
          <w:sz w:val="24"/>
          <w:szCs w:val="24"/>
          <w:lang w:val="en-GB"/>
        </w:rPr>
        <w:t xml:space="preserve">n the one hand, several authors highlight the importance of acquiring specific (or vocational) competencies, as they can considerably reduce the extent of job-education mismatches </w:t>
      </w:r>
      <w:r w:rsidRPr="008E2CAA">
        <w:rPr>
          <w:rFonts w:ascii="Times New Roman" w:hAnsi="Times New Roman" w:cs="Times New Roman"/>
          <w:noProof/>
          <w:sz w:val="24"/>
          <w:szCs w:val="24"/>
          <w:lang w:val="en-GB"/>
        </w:rPr>
        <w:t>(Heijke et al., 2003; Verhaest &amp; Baert, 2018)</w:t>
      </w:r>
      <w:r w:rsidRPr="008E2CAA">
        <w:rPr>
          <w:rFonts w:ascii="Times New Roman" w:hAnsi="Times New Roman" w:cs="Times New Roman"/>
          <w:sz w:val="24"/>
          <w:szCs w:val="24"/>
          <w:lang w:val="en-GB"/>
        </w:rPr>
        <w:t>.</w:t>
      </w:r>
    </w:p>
    <w:p w14:paraId="0FAD91F5" w14:textId="50530BB1" w:rsidR="00075259" w:rsidRPr="008E2CAA" w:rsidRDefault="00075259" w:rsidP="00277BD5">
      <w:pPr>
        <w:jc w:val="both"/>
        <w:rPr>
          <w:rFonts w:ascii="Times New Roman" w:hAnsi="Times New Roman" w:cs="Times New Roman"/>
          <w:sz w:val="24"/>
          <w:szCs w:val="24"/>
          <w:lang w:val="en-GB"/>
        </w:rPr>
      </w:pPr>
      <w:proofErr w:type="spellStart"/>
      <w:r w:rsidRPr="008E2CAA">
        <w:rPr>
          <w:rFonts w:ascii="Times New Roman" w:hAnsi="Times New Roman" w:cs="Times New Roman"/>
          <w:sz w:val="24"/>
          <w:szCs w:val="24"/>
          <w:lang w:val="en-GB"/>
        </w:rPr>
        <w:t>Pegg</w:t>
      </w:r>
      <w:proofErr w:type="spellEnd"/>
      <w:r w:rsidRPr="008E2CAA">
        <w:rPr>
          <w:rFonts w:ascii="Times New Roman" w:hAnsi="Times New Roman" w:cs="Times New Roman"/>
          <w:sz w:val="24"/>
          <w:szCs w:val="24"/>
          <w:lang w:val="en-GB"/>
        </w:rPr>
        <w:t xml:space="preserve"> </w:t>
      </w:r>
      <w:r w:rsidRPr="008E2CAA">
        <w:rPr>
          <w:rFonts w:ascii="Times New Roman" w:hAnsi="Times New Roman" w:cs="Times New Roman"/>
          <w:noProof/>
          <w:sz w:val="24"/>
          <w:szCs w:val="24"/>
          <w:lang w:val="en-GB"/>
        </w:rPr>
        <w:t>&amp;</w:t>
      </w:r>
      <w:r w:rsidRPr="008E2CAA">
        <w:rPr>
          <w:rFonts w:ascii="Times New Roman" w:hAnsi="Times New Roman" w:cs="Times New Roman"/>
          <w:sz w:val="24"/>
          <w:szCs w:val="24"/>
          <w:lang w:val="en-GB"/>
        </w:rPr>
        <w:t xml:space="preserve"> Caddell (2016) </w:t>
      </w:r>
      <w:r w:rsidR="00683328" w:rsidRPr="008E2CAA">
        <w:rPr>
          <w:rFonts w:ascii="Times New Roman" w:hAnsi="Times New Roman" w:cs="Times New Roman"/>
          <w:sz w:val="24"/>
          <w:szCs w:val="24"/>
          <w:lang w:val="en-GB"/>
        </w:rPr>
        <w:t>invoke</w:t>
      </w:r>
      <w:r w:rsidRPr="008E2CAA">
        <w:rPr>
          <w:rFonts w:ascii="Times New Roman" w:hAnsi="Times New Roman" w:cs="Times New Roman"/>
          <w:sz w:val="24"/>
          <w:szCs w:val="24"/>
          <w:lang w:val="en-GB"/>
        </w:rPr>
        <w:t xml:space="preserve"> the notion of a “work ready” graduate, with discipline specific knowledge and industry specific skills developed through experience in the workplace. </w:t>
      </w:r>
      <w:r w:rsidRPr="008E2CAA">
        <w:rPr>
          <w:rFonts w:ascii="Times New Roman" w:hAnsi="Times New Roman" w:cs="Times New Roman"/>
          <w:noProof/>
          <w:sz w:val="24"/>
          <w:szCs w:val="24"/>
          <w:lang w:val="en-GB"/>
        </w:rPr>
        <w:t xml:space="preserve">Verhaest &amp; Baert (2018), point out that </w:t>
      </w:r>
      <w:r w:rsidRPr="008E2CAA">
        <w:rPr>
          <w:rFonts w:ascii="Times New Roman" w:hAnsi="Times New Roman" w:cs="Times New Roman"/>
          <w:sz w:val="24"/>
          <w:szCs w:val="24"/>
          <w:lang w:val="en-GB"/>
        </w:rPr>
        <w:t>graduates endowed with specific competences are characterized by lower unemployment rates, and higher starting salaries. However, there may be a trade-off as vocational skills are specific to field and job position and therefore vocationally educated individuals have a higher risk of long-term unemployment if they are not able to find a matching job right after graduation</w:t>
      </w:r>
      <w:r w:rsidRPr="008E2CAA">
        <w:rPr>
          <w:rFonts w:ascii="Times New Roman" w:hAnsi="Times New Roman" w:cs="Times New Roman"/>
          <w:noProof/>
          <w:sz w:val="24"/>
          <w:szCs w:val="24"/>
          <w:lang w:val="en-GB"/>
        </w:rPr>
        <w:t xml:space="preserve"> (Verhaest &amp; Baert, 2018)</w:t>
      </w:r>
      <w:r w:rsidRPr="008E2CAA">
        <w:rPr>
          <w:rFonts w:ascii="Times New Roman" w:hAnsi="Times New Roman" w:cs="Times New Roman"/>
          <w:sz w:val="24"/>
          <w:szCs w:val="24"/>
          <w:lang w:val="en-GB"/>
        </w:rPr>
        <w:t xml:space="preserve">. </w:t>
      </w:r>
    </w:p>
    <w:p w14:paraId="10C51A55" w14:textId="68773FB6" w:rsidR="00075259" w:rsidRPr="008E2CAA" w:rsidRDefault="0007525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eastAsia="en-GB"/>
        </w:rPr>
        <w:t>These general or transversal</w:t>
      </w:r>
      <w:r w:rsidR="007D05B2" w:rsidRPr="008E2CAA">
        <w:rPr>
          <w:rFonts w:ascii="Times New Roman" w:hAnsi="Times New Roman" w:cs="Times New Roman"/>
          <w:sz w:val="24"/>
          <w:szCs w:val="24"/>
          <w:lang w:val="en-GB" w:eastAsia="en-GB"/>
        </w:rPr>
        <w:t xml:space="preserve"> skills</w:t>
      </w:r>
      <w:r w:rsidRPr="008E2CAA">
        <w:rPr>
          <w:rFonts w:ascii="Times New Roman" w:hAnsi="Times New Roman" w:cs="Times New Roman"/>
          <w:sz w:val="24"/>
          <w:szCs w:val="24"/>
          <w:lang w:val="en-GB" w:eastAsia="en-GB"/>
        </w:rPr>
        <w:t xml:space="preserve"> are part of the self-management capacity of work or the ability to work as a team and to retrain if needed. They include, for instance, the capacity of writing a job application, adaptation, career management, resilience and stress management skills, team-working, autonomous initiative (Thomson, 2010; McKinnon &amp; McCrae, 2012; Smith et al., 2019; Wylie &amp; Cummins, 2013). There is a view that employers prefer general over specific skills. </w:t>
      </w:r>
      <w:proofErr w:type="spellStart"/>
      <w:r w:rsidRPr="008E2CAA">
        <w:rPr>
          <w:rFonts w:ascii="Times New Roman" w:hAnsi="Times New Roman" w:cs="Times New Roman"/>
          <w:sz w:val="24"/>
          <w:szCs w:val="24"/>
          <w:lang w:val="en-GB"/>
        </w:rPr>
        <w:t>Bertolini</w:t>
      </w:r>
      <w:proofErr w:type="spellEnd"/>
      <w:r w:rsidRPr="008E2CAA">
        <w:rPr>
          <w:rFonts w:ascii="Times New Roman" w:hAnsi="Times New Roman" w:cs="Times New Roman"/>
          <w:sz w:val="24"/>
          <w:szCs w:val="24"/>
          <w:lang w:val="en-GB"/>
        </w:rPr>
        <w:t xml:space="preserve"> &amp; </w:t>
      </w:r>
      <w:proofErr w:type="spellStart"/>
      <w:r w:rsidRPr="008E2CAA">
        <w:rPr>
          <w:rFonts w:ascii="Times New Roman" w:hAnsi="Times New Roman" w:cs="Times New Roman"/>
          <w:sz w:val="24"/>
          <w:szCs w:val="24"/>
          <w:lang w:val="en-GB"/>
        </w:rPr>
        <w:t>Goglio</w:t>
      </w:r>
      <w:proofErr w:type="spellEnd"/>
      <w:r w:rsidRPr="008E2CAA">
        <w:rPr>
          <w:rFonts w:ascii="Times New Roman" w:hAnsi="Times New Roman" w:cs="Times New Roman"/>
          <w:sz w:val="24"/>
          <w:szCs w:val="24"/>
          <w:lang w:val="en-GB"/>
        </w:rPr>
        <w:t xml:space="preserve"> (2017) observe that this tendency is further increased by the process of flexibilization of the labour market, where employers want immediately deployable workers but often do not want to bear the cost</w:t>
      </w:r>
      <w:r w:rsidR="007D05B2" w:rsidRPr="008E2CAA">
        <w:rPr>
          <w:rFonts w:ascii="Times New Roman" w:hAnsi="Times New Roman" w:cs="Times New Roman"/>
          <w:sz w:val="24"/>
          <w:szCs w:val="24"/>
          <w:lang w:val="en-GB"/>
        </w:rPr>
        <w:t xml:space="preserve"> of training</w:t>
      </w:r>
      <w:r w:rsidRPr="008E2CAA">
        <w:rPr>
          <w:rFonts w:ascii="Times New Roman" w:hAnsi="Times New Roman" w:cs="Times New Roman"/>
          <w:sz w:val="24"/>
          <w:szCs w:val="24"/>
          <w:lang w:val="en-GB"/>
        </w:rPr>
        <w:t xml:space="preserve">. Therefore, general skills </w:t>
      </w:r>
      <w:r w:rsidRPr="008E2CAA">
        <w:rPr>
          <w:rFonts w:ascii="Times New Roman" w:hAnsi="Times New Roman" w:cs="Times New Roman"/>
          <w:sz w:val="24"/>
          <w:szCs w:val="24"/>
          <w:lang w:val="en-GB"/>
        </w:rPr>
        <w:lastRenderedPageBreak/>
        <w:t>may positively affect the probability of finding a suitable job (Lim &amp; Lee, 2019). In</w:t>
      </w:r>
      <w:r w:rsidR="007D05B2" w:rsidRPr="008E2CAA">
        <w:rPr>
          <w:rFonts w:ascii="Times New Roman" w:hAnsi="Times New Roman" w:cs="Times New Roman"/>
          <w:sz w:val="24"/>
          <w:szCs w:val="24"/>
          <w:lang w:val="en-GB"/>
        </w:rPr>
        <w:t>deed</w:t>
      </w:r>
      <w:r w:rsidRPr="008E2CAA">
        <w:rPr>
          <w:rFonts w:ascii="Times New Roman" w:hAnsi="Times New Roman" w:cs="Times New Roman"/>
          <w:sz w:val="24"/>
          <w:szCs w:val="24"/>
          <w:lang w:val="en-GB"/>
        </w:rPr>
        <w:t>, workers with more generic type of education appear to be more likely to participate in training once in the labour market</w:t>
      </w:r>
      <w:r w:rsidRPr="008E2CAA">
        <w:rPr>
          <w:rFonts w:ascii="Times New Roman" w:hAnsi="Times New Roman" w:cs="Times New Roman"/>
          <w:noProof/>
          <w:sz w:val="24"/>
          <w:szCs w:val="24"/>
          <w:lang w:val="en-GB"/>
        </w:rPr>
        <w:t xml:space="preserve"> (Heijke, et al., 2003)</w:t>
      </w:r>
      <w:r w:rsidRPr="008E2CAA">
        <w:rPr>
          <w:rFonts w:ascii="Times New Roman" w:hAnsi="Times New Roman" w:cs="Times New Roman"/>
          <w:sz w:val="24"/>
          <w:szCs w:val="24"/>
          <w:lang w:val="en-GB"/>
        </w:rPr>
        <w:t>. Finally, generic degrees, being more focused on a wider type of knowledge and basic skills, may facilitate the process of learning in a changing context and seem to lower the costs of occupational mobility</w:t>
      </w:r>
      <w:r w:rsidRPr="008E2CAA">
        <w:rPr>
          <w:rFonts w:ascii="Times New Roman" w:hAnsi="Times New Roman" w:cs="Times New Roman"/>
          <w:noProof/>
          <w:sz w:val="24"/>
          <w:szCs w:val="24"/>
          <w:lang w:val="en-GB"/>
        </w:rPr>
        <w:t xml:space="preserve"> (Verhaest &amp; Baert, 2018)</w:t>
      </w:r>
      <w:r w:rsidRPr="008E2CAA">
        <w:rPr>
          <w:rFonts w:ascii="Times New Roman" w:hAnsi="Times New Roman" w:cs="Times New Roman"/>
          <w:sz w:val="24"/>
          <w:szCs w:val="24"/>
          <w:lang w:val="en-GB"/>
        </w:rPr>
        <w:t>.</w:t>
      </w:r>
      <w:r w:rsidR="00094F6B" w:rsidRPr="008E2CAA">
        <w:rPr>
          <w:rFonts w:ascii="Times New Roman" w:hAnsi="Times New Roman" w:cs="Times New Roman"/>
          <w:sz w:val="24"/>
          <w:szCs w:val="24"/>
          <w:lang w:val="en-GB"/>
        </w:rPr>
        <w:t xml:space="preserve"> </w:t>
      </w:r>
    </w:p>
    <w:p w14:paraId="6DEEEBEA" w14:textId="262D7E17" w:rsidR="0015310F" w:rsidRPr="008E2CAA" w:rsidRDefault="009041E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Traditional vocational education has been criticized for not providing a sufficient theoretical foundation for graduates to continue learning and adapting throughout their working lives, and pure academic education, is often described as too theoretical (Stern, 1999; </w:t>
      </w:r>
      <w:proofErr w:type="spellStart"/>
      <w:r w:rsidRPr="008E2CAA">
        <w:rPr>
          <w:rFonts w:ascii="Times New Roman" w:hAnsi="Times New Roman" w:cs="Times New Roman"/>
          <w:sz w:val="24"/>
          <w:szCs w:val="24"/>
          <w:lang w:val="en-GB"/>
        </w:rPr>
        <w:t>Bertolini</w:t>
      </w:r>
      <w:proofErr w:type="spellEnd"/>
      <w:r w:rsidRPr="008E2CAA">
        <w:rPr>
          <w:rFonts w:ascii="Times New Roman" w:hAnsi="Times New Roman" w:cs="Times New Roman"/>
          <w:sz w:val="24"/>
          <w:szCs w:val="24"/>
          <w:lang w:val="en-GB"/>
        </w:rPr>
        <w:t xml:space="preserve"> &amp; </w:t>
      </w:r>
      <w:proofErr w:type="spellStart"/>
      <w:r w:rsidRPr="008E2CAA">
        <w:rPr>
          <w:rFonts w:ascii="Times New Roman" w:hAnsi="Times New Roman" w:cs="Times New Roman"/>
          <w:sz w:val="24"/>
          <w:szCs w:val="24"/>
          <w:lang w:val="en-GB"/>
        </w:rPr>
        <w:t>Goglio</w:t>
      </w:r>
      <w:proofErr w:type="spellEnd"/>
      <w:r w:rsidRPr="008E2CAA">
        <w:rPr>
          <w:rFonts w:ascii="Times New Roman" w:hAnsi="Times New Roman" w:cs="Times New Roman"/>
          <w:sz w:val="24"/>
          <w:szCs w:val="24"/>
          <w:lang w:val="en-GB"/>
        </w:rPr>
        <w:t>, 2017). Ideally, WBL can improve students’ academic performance and develop work-related capabilities at the same time. Linking students’ part-time employment with their classroom studies therefore may contribute to educational achievement, while still allowing students to gain valuable work experience (Wylie &amp; Cummins, 2013).</w:t>
      </w:r>
    </w:p>
    <w:p w14:paraId="53AA132D" w14:textId="19CDD5C4" w:rsidR="00094F6B" w:rsidRPr="008E2CAA" w:rsidRDefault="00FF795D" w:rsidP="00094F6B">
      <w:pPr>
        <w:pStyle w:val="Heading2"/>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Students’</w:t>
      </w:r>
      <w:r w:rsidR="009041E9" w:rsidRPr="008E2CAA">
        <w:rPr>
          <w:rFonts w:ascii="Times New Roman" w:hAnsi="Times New Roman" w:cs="Times New Roman"/>
          <w:b/>
          <w:bCs/>
          <w:sz w:val="24"/>
          <w:szCs w:val="24"/>
          <w:lang w:val="en-GB"/>
        </w:rPr>
        <w:t xml:space="preserve"> awareness of employability</w:t>
      </w:r>
    </w:p>
    <w:p w14:paraId="2BE3AE2D" w14:textId="19A30D12" w:rsidR="00894221" w:rsidRPr="008E2CAA" w:rsidRDefault="00094F6B"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A key extrinsic motivation </w:t>
      </w:r>
      <w:r w:rsidR="0015310F" w:rsidRPr="008E2CAA">
        <w:rPr>
          <w:rFonts w:ascii="Times New Roman" w:hAnsi="Times New Roman" w:cs="Times New Roman"/>
          <w:sz w:val="24"/>
          <w:szCs w:val="24"/>
          <w:lang w:val="en-GB"/>
        </w:rPr>
        <w:t xml:space="preserve">for engaging with employability enhancing activities is that it </w:t>
      </w:r>
      <w:r w:rsidRPr="008E2CAA">
        <w:rPr>
          <w:rFonts w:ascii="Times New Roman" w:hAnsi="Times New Roman" w:cs="Times New Roman"/>
          <w:sz w:val="24"/>
          <w:szCs w:val="24"/>
          <w:lang w:val="en-GB"/>
        </w:rPr>
        <w:t xml:space="preserve">is likely to improve chances of obtaining a job (Forsyth &amp; </w:t>
      </w:r>
      <w:proofErr w:type="spellStart"/>
      <w:r w:rsidRPr="008E2CAA">
        <w:rPr>
          <w:rFonts w:ascii="Times New Roman" w:hAnsi="Times New Roman" w:cs="Times New Roman"/>
          <w:sz w:val="24"/>
          <w:szCs w:val="24"/>
          <w:lang w:val="en-GB"/>
        </w:rPr>
        <w:t>Cowap</w:t>
      </w:r>
      <w:proofErr w:type="spellEnd"/>
      <w:r w:rsidRPr="008E2CAA">
        <w:rPr>
          <w:rFonts w:ascii="Times New Roman" w:hAnsi="Times New Roman" w:cs="Times New Roman"/>
          <w:sz w:val="24"/>
          <w:szCs w:val="24"/>
          <w:lang w:val="en-GB"/>
        </w:rPr>
        <w:t xml:space="preserve">, 2017), being appointed at a higher </w:t>
      </w:r>
      <w:r w:rsidR="00FF795D" w:rsidRPr="008E2CAA">
        <w:rPr>
          <w:rFonts w:ascii="Times New Roman" w:hAnsi="Times New Roman" w:cs="Times New Roman"/>
          <w:sz w:val="24"/>
          <w:szCs w:val="24"/>
          <w:lang w:val="en-GB"/>
        </w:rPr>
        <w:t>grade,</w:t>
      </w:r>
      <w:r w:rsidRPr="008E2CAA">
        <w:rPr>
          <w:rFonts w:ascii="Times New Roman" w:hAnsi="Times New Roman" w:cs="Times New Roman"/>
          <w:sz w:val="24"/>
          <w:szCs w:val="24"/>
          <w:lang w:val="en-GB"/>
        </w:rPr>
        <w:t xml:space="preserve"> and obtaining higher salary (Santiago, 2009). Moreover, it provides insight into a particular industry or type of employment (Little &amp; Harvey, 2007; Raven, 2018) and students can increase their professional network, both in the firms where they realise the internships as well as in client companies (</w:t>
      </w:r>
      <w:proofErr w:type="spellStart"/>
      <w:r w:rsidRPr="008E2CAA">
        <w:rPr>
          <w:rFonts w:ascii="Times New Roman" w:hAnsi="Times New Roman" w:cs="Times New Roman"/>
          <w:sz w:val="24"/>
          <w:szCs w:val="24"/>
          <w:lang w:val="en-GB"/>
        </w:rPr>
        <w:t>Herv</w:t>
      </w:r>
      <w:r w:rsidR="000E7D14">
        <w:rPr>
          <w:rFonts w:ascii="Times New Roman" w:hAnsi="Times New Roman" w:cs="Times New Roman"/>
          <w:sz w:val="24"/>
          <w:szCs w:val="24"/>
          <w:lang w:val="en-GB"/>
        </w:rPr>
        <w:t>á</w:t>
      </w:r>
      <w:r w:rsidRPr="008E2CAA">
        <w:rPr>
          <w:rFonts w:ascii="Times New Roman" w:hAnsi="Times New Roman" w:cs="Times New Roman"/>
          <w:sz w:val="24"/>
          <w:szCs w:val="24"/>
          <w:lang w:val="en-GB"/>
        </w:rPr>
        <w:t>s</w:t>
      </w:r>
      <w:proofErr w:type="spellEnd"/>
      <w:r w:rsidRPr="008E2CAA">
        <w:rPr>
          <w:rFonts w:ascii="Times New Roman" w:hAnsi="Times New Roman" w:cs="Times New Roman"/>
          <w:sz w:val="24"/>
          <w:szCs w:val="24"/>
          <w:lang w:val="en-GB"/>
        </w:rPr>
        <w:t xml:space="preserve"> et al., 2012).</w:t>
      </w:r>
      <w:r w:rsidR="00894221" w:rsidRPr="008E2CAA">
        <w:rPr>
          <w:rFonts w:ascii="Times New Roman" w:hAnsi="Times New Roman" w:cs="Times New Roman"/>
          <w:sz w:val="24"/>
          <w:szCs w:val="24"/>
          <w:lang w:val="en-GB"/>
        </w:rPr>
        <w:t xml:space="preserve"> Yet, several studies highlight student naivety about employability. Smith et al., (2017) report on a programme that attempted to underpin students’ networks so that they became familiar with a variety of professional identities. The researchers noticed that many students thought internships simply happened or passed by them, but they could not do much to avail of these opportunities</w:t>
      </w:r>
      <w:r w:rsidR="00894221" w:rsidRPr="001C0CA9">
        <w:rPr>
          <w:rFonts w:ascii="Times New Roman" w:hAnsi="Times New Roman" w:cs="Times New Roman"/>
          <w:sz w:val="24"/>
          <w:szCs w:val="24"/>
          <w:lang w:val="en-GB"/>
        </w:rPr>
        <w:t xml:space="preserve">. </w:t>
      </w:r>
      <w:proofErr w:type="spellStart"/>
      <w:r w:rsidR="00894221" w:rsidRPr="001C0CA9">
        <w:rPr>
          <w:rFonts w:ascii="Times New Roman" w:hAnsi="Times New Roman" w:cs="Times New Roman"/>
          <w:sz w:val="24"/>
          <w:szCs w:val="24"/>
          <w:lang w:val="en-GB"/>
        </w:rPr>
        <w:t>Gbadamosi</w:t>
      </w:r>
      <w:proofErr w:type="spellEnd"/>
      <w:r w:rsidR="00894221" w:rsidRPr="001C0CA9">
        <w:rPr>
          <w:rFonts w:ascii="Times New Roman" w:hAnsi="Times New Roman" w:cs="Times New Roman"/>
          <w:sz w:val="24"/>
          <w:szCs w:val="24"/>
          <w:lang w:val="en-GB"/>
        </w:rPr>
        <w:t xml:space="preserve"> et al., (2019) and</w:t>
      </w:r>
      <w:r w:rsidR="00894221" w:rsidRPr="008E2CAA">
        <w:rPr>
          <w:rFonts w:ascii="Times New Roman" w:hAnsi="Times New Roman" w:cs="Times New Roman"/>
          <w:sz w:val="24"/>
          <w:szCs w:val="24"/>
          <w:lang w:val="en-GB"/>
        </w:rPr>
        <w:t xml:space="preserve"> Fletcher-Brown et al., (2015) both noted the lack of student investment in networking with employers in placements. </w:t>
      </w:r>
    </w:p>
    <w:p w14:paraId="589DCA97" w14:textId="77777777" w:rsidR="00894221" w:rsidRPr="008E2CAA" w:rsidRDefault="00894221" w:rsidP="00277BD5">
      <w:pPr>
        <w:jc w:val="both"/>
        <w:rPr>
          <w:rFonts w:ascii="Times New Roman" w:hAnsi="Times New Roman" w:cs="Times New Roman"/>
          <w:sz w:val="24"/>
          <w:szCs w:val="24"/>
          <w:lang w:val="en-GB"/>
        </w:rPr>
      </w:pPr>
      <w:r w:rsidRPr="008E2CAA">
        <w:rPr>
          <w:rFonts w:ascii="Times New Roman" w:hAnsi="Times New Roman" w:cs="Times New Roman"/>
          <w:noProof/>
          <w:sz w:val="24"/>
          <w:szCs w:val="24"/>
          <w:lang w:val="en-GB"/>
        </w:rPr>
        <w:t>McManus &amp; Rook (2021) observe that</w:t>
      </w:r>
      <w:r w:rsidRPr="008E2CAA">
        <w:rPr>
          <w:rFonts w:ascii="Times New Roman" w:hAnsi="Times New Roman" w:cs="Times New Roman"/>
          <w:sz w:val="24"/>
          <w:szCs w:val="24"/>
          <w:lang w:val="en-GB"/>
        </w:rPr>
        <w:t xml:space="preserve"> sometimes students do not understand the importance of having work-ready skills for a successful school-to-work transition. This is critical as lack of awareness makes students less likely to </w:t>
      </w:r>
      <w:proofErr w:type="gramStart"/>
      <w:r w:rsidRPr="008E2CAA">
        <w:rPr>
          <w:rFonts w:ascii="Times New Roman" w:hAnsi="Times New Roman" w:cs="Times New Roman"/>
          <w:sz w:val="24"/>
          <w:szCs w:val="24"/>
          <w:lang w:val="en-GB"/>
        </w:rPr>
        <w:t>make an effort</w:t>
      </w:r>
      <w:proofErr w:type="gramEnd"/>
      <w:r w:rsidRPr="008E2CAA">
        <w:rPr>
          <w:rFonts w:ascii="Times New Roman" w:hAnsi="Times New Roman" w:cs="Times New Roman"/>
          <w:sz w:val="24"/>
          <w:szCs w:val="24"/>
          <w:lang w:val="en-GB"/>
        </w:rPr>
        <w:t xml:space="preserve"> to acquire them</w:t>
      </w:r>
      <w:r w:rsidRPr="008E2CAA">
        <w:rPr>
          <w:rFonts w:ascii="Times New Roman" w:hAnsi="Times New Roman" w:cs="Times New Roman"/>
          <w:noProof/>
          <w:sz w:val="24"/>
          <w:szCs w:val="24"/>
          <w:lang w:val="en-GB"/>
        </w:rPr>
        <w:t xml:space="preserve">. They argue </w:t>
      </w:r>
      <w:r w:rsidRPr="008E2CAA">
        <w:rPr>
          <w:rFonts w:ascii="Times New Roman" w:hAnsi="Times New Roman" w:cs="Times New Roman"/>
          <w:sz w:val="24"/>
          <w:szCs w:val="24"/>
          <w:lang w:val="en-GB"/>
        </w:rPr>
        <w:t xml:space="preserve">that it is important to both explain to students the importance of having work-ready skills and cultivate students’ ability to identify their own skills (McManus &amp; Rook, 2021). Similarly, Diver (2021) highlights the need to ensure adequate practical and emotional preparation of students for placement experiences. </w:t>
      </w:r>
    </w:p>
    <w:p w14:paraId="039105D0" w14:textId="77777777" w:rsidR="00894221" w:rsidRPr="00622BF0" w:rsidRDefault="00894221" w:rsidP="00894221">
      <w:pPr>
        <w:pStyle w:val="Heading3"/>
        <w:jc w:val="both"/>
        <w:rPr>
          <w:rFonts w:ascii="Times New Roman" w:hAnsi="Times New Roman" w:cs="Times New Roman"/>
          <w:b/>
          <w:bCs/>
          <w:lang w:val="en-GB"/>
        </w:rPr>
      </w:pPr>
      <w:bookmarkStart w:id="8" w:name="_Toc111393094"/>
      <w:bookmarkStart w:id="9" w:name="_Ref120807018"/>
      <w:bookmarkStart w:id="10" w:name="_Ref120808003"/>
      <w:r w:rsidRPr="00622BF0">
        <w:rPr>
          <w:rFonts w:ascii="Times New Roman" w:hAnsi="Times New Roman" w:cs="Times New Roman"/>
          <w:b/>
          <w:bCs/>
          <w:lang w:val="en-GB"/>
        </w:rPr>
        <w:t>Social stratification and social reproduction</w:t>
      </w:r>
      <w:bookmarkEnd w:id="8"/>
      <w:bookmarkEnd w:id="9"/>
      <w:bookmarkEnd w:id="10"/>
    </w:p>
    <w:p w14:paraId="6D98B8CD" w14:textId="77777777" w:rsidR="00894221" w:rsidRPr="008E2CAA" w:rsidRDefault="00894221"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There is evidence that professional bodies are working in partnership with HEIs to embed standards and curriculum composition within the degree structure to enable a smoother route to professional accreditation (Knox &amp; Stone, 2019; Pepper &amp; McGrath, 2019; Borah et al., 2019, and Armitage-Chan &amp; Jackson, 2018). </w:t>
      </w:r>
    </w:p>
    <w:p w14:paraId="0C528C03" w14:textId="76F6A87F" w:rsidR="00894221" w:rsidRPr="008E2CAA" w:rsidRDefault="00894221"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Our literature search revealed that when looking at the success of WBL initiatives there are other confounding elements at play, as the role of social and cultural capital in the success of graduates in the workplace, many of whom hail from lower socio-economic groups. </w:t>
      </w:r>
      <w:proofErr w:type="spellStart"/>
      <w:r w:rsidRPr="008E2CAA">
        <w:rPr>
          <w:rFonts w:ascii="Times New Roman" w:hAnsi="Times New Roman" w:cs="Times New Roman"/>
          <w:sz w:val="24"/>
          <w:szCs w:val="24"/>
          <w:lang w:val="en-GB"/>
        </w:rPr>
        <w:t>Bertolini</w:t>
      </w:r>
      <w:proofErr w:type="spellEnd"/>
      <w:r w:rsidRPr="008E2CAA">
        <w:rPr>
          <w:rFonts w:ascii="Times New Roman" w:hAnsi="Times New Roman" w:cs="Times New Roman"/>
          <w:sz w:val="24"/>
          <w:szCs w:val="24"/>
          <w:lang w:val="en-GB"/>
        </w:rPr>
        <w:t xml:space="preserve"> &amp; </w:t>
      </w:r>
      <w:proofErr w:type="spellStart"/>
      <w:r w:rsidRPr="000576B2">
        <w:rPr>
          <w:rFonts w:ascii="Times New Roman" w:hAnsi="Times New Roman" w:cs="Times New Roman"/>
          <w:sz w:val="24"/>
          <w:szCs w:val="24"/>
          <w:lang w:val="en-GB"/>
        </w:rPr>
        <w:t>Goglio</w:t>
      </w:r>
      <w:proofErr w:type="spellEnd"/>
      <w:r w:rsidRPr="000576B2">
        <w:rPr>
          <w:rFonts w:ascii="Times New Roman" w:hAnsi="Times New Roman" w:cs="Times New Roman"/>
          <w:sz w:val="24"/>
          <w:szCs w:val="24"/>
          <w:lang w:val="en-GB"/>
        </w:rPr>
        <w:t xml:space="preserve"> (2017) highlight that when employers use informal social networks in the process of se</w:t>
      </w:r>
      <w:r w:rsidR="009E038D" w:rsidRPr="000576B2">
        <w:rPr>
          <w:rFonts w:ascii="Times New Roman" w:hAnsi="Times New Roman" w:cs="Times New Roman"/>
          <w:sz w:val="24"/>
          <w:szCs w:val="24"/>
          <w:lang w:val="en-GB"/>
        </w:rPr>
        <w:t>le</w:t>
      </w:r>
      <w:r w:rsidRPr="000576B2">
        <w:rPr>
          <w:rFonts w:ascii="Times New Roman" w:hAnsi="Times New Roman" w:cs="Times New Roman"/>
          <w:sz w:val="24"/>
          <w:szCs w:val="24"/>
          <w:lang w:val="en-GB"/>
        </w:rPr>
        <w:t>ction</w:t>
      </w:r>
      <w:r w:rsidR="009E038D" w:rsidRPr="000576B2">
        <w:rPr>
          <w:rFonts w:ascii="Times New Roman" w:hAnsi="Times New Roman" w:cs="Times New Roman"/>
          <w:sz w:val="24"/>
          <w:szCs w:val="24"/>
          <w:lang w:val="en-GB"/>
        </w:rPr>
        <w:t>,</w:t>
      </w:r>
      <w:r w:rsidRPr="000576B2">
        <w:rPr>
          <w:rFonts w:ascii="Times New Roman" w:hAnsi="Times New Roman" w:cs="Times New Roman"/>
          <w:sz w:val="24"/>
          <w:szCs w:val="24"/>
          <w:lang w:val="en-GB"/>
        </w:rPr>
        <w:t xml:space="preserve"> th</w:t>
      </w:r>
      <w:r w:rsidR="009E038D" w:rsidRPr="000576B2">
        <w:rPr>
          <w:rFonts w:ascii="Times New Roman" w:hAnsi="Times New Roman" w:cs="Times New Roman"/>
          <w:sz w:val="24"/>
          <w:szCs w:val="24"/>
          <w:lang w:val="en-GB"/>
        </w:rPr>
        <w:t>ey</w:t>
      </w:r>
      <w:r w:rsidRPr="000576B2">
        <w:rPr>
          <w:rFonts w:ascii="Times New Roman" w:hAnsi="Times New Roman" w:cs="Times New Roman"/>
          <w:sz w:val="24"/>
          <w:szCs w:val="24"/>
          <w:lang w:val="en-GB"/>
        </w:rPr>
        <w:t xml:space="preserve"> can reinforce social inequalities. </w:t>
      </w:r>
      <w:r w:rsidRPr="009C7B09">
        <w:rPr>
          <w:rFonts w:ascii="Times New Roman" w:hAnsi="Times New Roman" w:cs="Times New Roman"/>
          <w:sz w:val="24"/>
          <w:szCs w:val="24"/>
          <w:lang w:val="en-GB"/>
        </w:rPr>
        <w:t>Herbert et al., (2020</w:t>
      </w:r>
      <w:r w:rsidRPr="000576B2">
        <w:rPr>
          <w:rFonts w:ascii="Times New Roman" w:hAnsi="Times New Roman" w:cs="Times New Roman"/>
          <w:sz w:val="24"/>
          <w:szCs w:val="24"/>
          <w:lang w:val="en-GB"/>
        </w:rPr>
        <w:t xml:space="preserve">) argue that it is very difficult for students from non-professional social backgrounds to compete unless they can be </w:t>
      </w:r>
      <w:r w:rsidRPr="000576B2">
        <w:rPr>
          <w:rFonts w:ascii="Times New Roman" w:hAnsi="Times New Roman" w:cs="Times New Roman"/>
          <w:sz w:val="24"/>
          <w:szCs w:val="24"/>
          <w:lang w:val="en-GB"/>
        </w:rPr>
        <w:lastRenderedPageBreak/>
        <w:t>inducted into that culture early in their studies through WBL. This should include exposure to work practices, feedback, and reflective self-learning. They</w:t>
      </w:r>
      <w:r w:rsidRPr="008E2CAA">
        <w:rPr>
          <w:rFonts w:ascii="Times New Roman" w:hAnsi="Times New Roman" w:cs="Times New Roman"/>
          <w:sz w:val="24"/>
          <w:szCs w:val="24"/>
          <w:lang w:val="en-GB"/>
        </w:rPr>
        <w:t xml:space="preserve"> argue that such approaches should be formalised in new credit bearing approaches which reward appropriate engagement and learning.</w:t>
      </w:r>
      <w:r w:rsidR="00DC0FC9"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Walsh &amp; Powell (2018) highlight the example of </w:t>
      </w:r>
      <w:proofErr w:type="spellStart"/>
      <w:r w:rsidRPr="008E2CAA">
        <w:rPr>
          <w:rFonts w:ascii="Times New Roman" w:hAnsi="Times New Roman" w:cs="Times New Roman"/>
          <w:sz w:val="24"/>
          <w:szCs w:val="24"/>
          <w:lang w:val="en-GB"/>
        </w:rPr>
        <w:t>Birbeck</w:t>
      </w:r>
      <w:proofErr w:type="spellEnd"/>
      <w:r w:rsidRPr="008E2CAA">
        <w:rPr>
          <w:rFonts w:ascii="Times New Roman" w:hAnsi="Times New Roman" w:cs="Times New Roman"/>
          <w:sz w:val="24"/>
          <w:szCs w:val="24"/>
          <w:lang w:val="en-GB"/>
        </w:rPr>
        <w:t xml:space="preserve"> University of London, that developed an institutional approach designed to improve skills, networks, confidence, intrinsic motivation</w:t>
      </w:r>
      <w:r w:rsidR="00FF795D" w:rsidRPr="008E2CAA">
        <w:rPr>
          <w:rFonts w:ascii="Times New Roman" w:hAnsi="Times New Roman" w:cs="Times New Roman"/>
          <w:sz w:val="24"/>
          <w:szCs w:val="24"/>
          <w:lang w:val="en-GB"/>
        </w:rPr>
        <w:t>,</w:t>
      </w:r>
      <w:r w:rsidRPr="008E2CAA">
        <w:rPr>
          <w:rFonts w:ascii="Times New Roman" w:hAnsi="Times New Roman" w:cs="Times New Roman"/>
          <w:sz w:val="24"/>
          <w:szCs w:val="24"/>
          <w:lang w:val="en-GB"/>
        </w:rPr>
        <w:t xml:space="preserve"> and creativity of all students. </w:t>
      </w:r>
    </w:p>
    <w:p w14:paraId="16B3206B" w14:textId="475EFE09" w:rsidR="00094F6B" w:rsidRPr="008E2CAA" w:rsidRDefault="00894221"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Other specific examples of inequality of outcomes in the literature search found gender disparities, cultural barriers, and racial issues. Analysing four main discipline groups (engineering, liberal arts, math/science/IT studies) in a private university in Manila, Santiago (2009) finds significant gender differences in graduate self-reported skills acquisition which also vary largely across disciplines. </w:t>
      </w:r>
      <w:r w:rsidR="00683328" w:rsidRPr="008E2CAA">
        <w:rPr>
          <w:rFonts w:ascii="Times New Roman" w:hAnsi="Times New Roman" w:cs="Times New Roman"/>
          <w:sz w:val="24"/>
          <w:szCs w:val="24"/>
          <w:lang w:val="en-GB"/>
        </w:rPr>
        <w:t>Santiago (2009)</w:t>
      </w:r>
      <w:r w:rsidRPr="008E2CAA">
        <w:rPr>
          <w:rFonts w:ascii="Times New Roman" w:hAnsi="Times New Roman" w:cs="Times New Roman"/>
          <w:sz w:val="24"/>
          <w:szCs w:val="24"/>
          <w:lang w:val="en-GB"/>
        </w:rPr>
        <w:t xml:space="preserve"> also identifies a significant gap in women’s starting salary, although no direct effect is found by gender in skills acquisition. </w:t>
      </w:r>
      <w:r w:rsidRPr="008E2CAA" w:rsidDel="00CD554C">
        <w:rPr>
          <w:rFonts w:ascii="Times New Roman" w:hAnsi="Times New Roman" w:cs="Times New Roman"/>
          <w:sz w:val="24"/>
          <w:szCs w:val="24"/>
          <w:lang w:val="en-GB"/>
        </w:rPr>
        <w:t xml:space="preserve">Other researchers have highlighted cultural barriers that exist for </w:t>
      </w:r>
      <w:r w:rsidRPr="001C0CA9" w:rsidDel="00CD554C">
        <w:rPr>
          <w:rFonts w:ascii="Times New Roman" w:hAnsi="Times New Roman" w:cs="Times New Roman"/>
          <w:sz w:val="24"/>
          <w:szCs w:val="24"/>
          <w:lang w:val="en-GB"/>
        </w:rPr>
        <w:t>many from traditionally collectivist cultures, not i</w:t>
      </w:r>
      <w:r w:rsidRPr="001C0CA9">
        <w:rPr>
          <w:rFonts w:ascii="Times New Roman" w:hAnsi="Times New Roman" w:cs="Times New Roman"/>
          <w:sz w:val="24"/>
          <w:szCs w:val="24"/>
          <w:lang w:val="en-GB"/>
        </w:rPr>
        <w:t>nstilled</w:t>
      </w:r>
      <w:r w:rsidRPr="001C0CA9" w:rsidDel="00CD554C">
        <w:rPr>
          <w:rFonts w:ascii="Times New Roman" w:hAnsi="Times New Roman" w:cs="Times New Roman"/>
          <w:sz w:val="24"/>
          <w:szCs w:val="24"/>
          <w:lang w:val="en-GB"/>
        </w:rPr>
        <w:t xml:space="preserve"> with</w:t>
      </w:r>
      <w:r w:rsidRPr="001C0CA9">
        <w:rPr>
          <w:rFonts w:ascii="Times New Roman" w:hAnsi="Times New Roman" w:cs="Times New Roman"/>
          <w:sz w:val="24"/>
          <w:szCs w:val="24"/>
          <w:lang w:val="en-GB"/>
        </w:rPr>
        <w:t xml:space="preserve"> the</w:t>
      </w:r>
      <w:r w:rsidRPr="001C0CA9" w:rsidDel="00CD554C">
        <w:rPr>
          <w:rFonts w:ascii="Times New Roman" w:hAnsi="Times New Roman" w:cs="Times New Roman"/>
          <w:sz w:val="24"/>
          <w:szCs w:val="24"/>
          <w:lang w:val="en-GB"/>
        </w:rPr>
        <w:t xml:space="preserve"> individual competitiveness necessary in the modern workplace. </w:t>
      </w:r>
      <w:r w:rsidRPr="001C0CA9">
        <w:rPr>
          <w:rFonts w:ascii="Times New Roman" w:hAnsi="Times New Roman" w:cs="Times New Roman"/>
          <w:sz w:val="24"/>
          <w:szCs w:val="24"/>
          <w:lang w:val="en-GB"/>
        </w:rPr>
        <w:t>R</w:t>
      </w:r>
      <w:r w:rsidRPr="001C0CA9" w:rsidDel="00CD554C">
        <w:rPr>
          <w:rFonts w:ascii="Times New Roman" w:hAnsi="Times New Roman" w:cs="Times New Roman"/>
          <w:sz w:val="24"/>
          <w:szCs w:val="24"/>
          <w:lang w:val="en-GB"/>
        </w:rPr>
        <w:t xml:space="preserve">esearch from </w:t>
      </w:r>
      <w:proofErr w:type="spellStart"/>
      <w:r w:rsidRPr="001C0CA9" w:rsidDel="00CD554C">
        <w:rPr>
          <w:rFonts w:ascii="Times New Roman" w:hAnsi="Times New Roman" w:cs="Times New Roman"/>
          <w:sz w:val="24"/>
          <w:szCs w:val="24"/>
          <w:lang w:val="en-GB"/>
        </w:rPr>
        <w:t>Gbadamosi</w:t>
      </w:r>
      <w:proofErr w:type="spellEnd"/>
      <w:r w:rsidRPr="001C0CA9" w:rsidDel="00CD554C">
        <w:rPr>
          <w:rFonts w:ascii="Times New Roman" w:hAnsi="Times New Roman" w:cs="Times New Roman"/>
          <w:sz w:val="24"/>
          <w:szCs w:val="24"/>
          <w:lang w:val="en-GB"/>
        </w:rPr>
        <w:t xml:space="preserve"> et al., (2019) highlighted</w:t>
      </w:r>
      <w:r w:rsidRPr="008E2CAA" w:rsidDel="00CD554C">
        <w:rPr>
          <w:rFonts w:ascii="Times New Roman" w:hAnsi="Times New Roman" w:cs="Times New Roman"/>
          <w:sz w:val="24"/>
          <w:szCs w:val="24"/>
          <w:lang w:val="en-GB"/>
        </w:rPr>
        <w:t xml:space="preserve"> the importance of part time employment in changing self-efficacy attitudes of Cambodian students in the workplace. </w:t>
      </w:r>
      <w:r w:rsidRPr="008E2CAA">
        <w:rPr>
          <w:rFonts w:ascii="Times New Roman" w:hAnsi="Times New Roman" w:cs="Times New Roman"/>
          <w:sz w:val="24"/>
          <w:szCs w:val="24"/>
          <w:lang w:val="en-GB"/>
        </w:rPr>
        <w:t>Moreover, there are indications that</w:t>
      </w:r>
      <w:r w:rsidRPr="008E2CAA" w:rsidDel="00CD554C">
        <w:rPr>
          <w:rFonts w:ascii="Times New Roman" w:hAnsi="Times New Roman" w:cs="Times New Roman"/>
          <w:sz w:val="24"/>
          <w:szCs w:val="24"/>
          <w:lang w:val="en-GB"/>
        </w:rPr>
        <w:t xml:space="preserve"> international students have not always benefited from WBL placements. Both </w:t>
      </w:r>
      <w:proofErr w:type="spellStart"/>
      <w:r w:rsidRPr="008E2CAA" w:rsidDel="00CD554C">
        <w:rPr>
          <w:rFonts w:ascii="Times New Roman" w:hAnsi="Times New Roman" w:cs="Times New Roman"/>
          <w:sz w:val="24"/>
          <w:szCs w:val="24"/>
          <w:lang w:val="en-GB"/>
        </w:rPr>
        <w:t>Sonnenschein</w:t>
      </w:r>
      <w:proofErr w:type="spellEnd"/>
      <w:r w:rsidRPr="008E2CAA" w:rsidDel="00CD554C">
        <w:rPr>
          <w:rFonts w:ascii="Times New Roman" w:hAnsi="Times New Roman" w:cs="Times New Roman"/>
          <w:sz w:val="24"/>
          <w:szCs w:val="24"/>
          <w:lang w:val="en-GB"/>
        </w:rPr>
        <w:t xml:space="preserve"> et al.</w:t>
      </w:r>
      <w:r w:rsidRPr="008E2CAA">
        <w:rPr>
          <w:rFonts w:ascii="Times New Roman" w:hAnsi="Times New Roman" w:cs="Times New Roman"/>
          <w:sz w:val="24"/>
          <w:szCs w:val="24"/>
          <w:lang w:val="en-GB"/>
        </w:rPr>
        <w:t>,</w:t>
      </w:r>
      <w:r w:rsidRPr="008E2CAA" w:rsidDel="00CD554C">
        <w:rPr>
          <w:rFonts w:ascii="Times New Roman" w:hAnsi="Times New Roman" w:cs="Times New Roman"/>
          <w:sz w:val="24"/>
          <w:szCs w:val="24"/>
          <w:lang w:val="en-GB"/>
        </w:rPr>
        <w:t xml:space="preserve"> (2019) and Sutherland et al.</w:t>
      </w:r>
      <w:r w:rsidRPr="008E2CAA">
        <w:rPr>
          <w:rFonts w:ascii="Times New Roman" w:hAnsi="Times New Roman" w:cs="Times New Roman"/>
          <w:sz w:val="24"/>
          <w:szCs w:val="24"/>
          <w:lang w:val="en-GB"/>
        </w:rPr>
        <w:t>,</w:t>
      </w:r>
      <w:r w:rsidRPr="008E2CAA" w:rsidDel="00CD554C">
        <w:rPr>
          <w:rFonts w:ascii="Times New Roman" w:hAnsi="Times New Roman" w:cs="Times New Roman"/>
          <w:sz w:val="24"/>
          <w:szCs w:val="24"/>
          <w:lang w:val="en-GB"/>
        </w:rPr>
        <w:t xml:space="preserve"> (2021) highlight racial barriers in hiring and engaging with international students from other ethnic cultures</w:t>
      </w:r>
      <w:r w:rsidRPr="008E2CAA">
        <w:rPr>
          <w:rFonts w:ascii="Times New Roman" w:hAnsi="Times New Roman" w:cs="Times New Roman"/>
          <w:sz w:val="24"/>
          <w:szCs w:val="24"/>
          <w:lang w:val="en-GB"/>
        </w:rPr>
        <w:t>.</w:t>
      </w:r>
      <w:r w:rsidRPr="008E2CAA" w:rsidDel="00CD554C">
        <w:rPr>
          <w:rFonts w:ascii="Times New Roman" w:hAnsi="Times New Roman" w:cs="Times New Roman"/>
          <w:sz w:val="24"/>
          <w:szCs w:val="24"/>
          <w:lang w:val="en-GB"/>
        </w:rPr>
        <w:t xml:space="preserve"> </w:t>
      </w:r>
    </w:p>
    <w:p w14:paraId="30C6C025" w14:textId="7253641F" w:rsidR="00094F6B" w:rsidRPr="008E2CAA" w:rsidRDefault="00094F6B" w:rsidP="00094F6B">
      <w:pPr>
        <w:pStyle w:val="Heading2"/>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Employers, labour markets and economic context</w:t>
      </w:r>
    </w:p>
    <w:p w14:paraId="4F505CCC" w14:textId="1F39266F" w:rsidR="00A2749E" w:rsidRPr="008E2CAA" w:rsidRDefault="00A2749E"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Why do employers engage with the various forms of HE led employability programmes? Some of the literature in the corpus suggests this is facilitated </w:t>
      </w:r>
      <w:r w:rsidR="00FF795D" w:rsidRPr="008E2CAA">
        <w:rPr>
          <w:rFonts w:ascii="Times New Roman" w:hAnsi="Times New Roman" w:cs="Times New Roman"/>
          <w:sz w:val="24"/>
          <w:szCs w:val="24"/>
          <w:lang w:val="en-GB"/>
        </w:rPr>
        <w:t>by government</w:t>
      </w:r>
      <w:r w:rsidRPr="008E2CAA">
        <w:rPr>
          <w:rFonts w:ascii="Times New Roman" w:hAnsi="Times New Roman" w:cs="Times New Roman"/>
          <w:sz w:val="24"/>
          <w:szCs w:val="24"/>
          <w:lang w:val="en-GB"/>
        </w:rPr>
        <w:t xml:space="preserve"> policy, for instance programs for economic development in developing countries (</w:t>
      </w:r>
      <w:proofErr w:type="spellStart"/>
      <w:r w:rsidRPr="008E2CAA">
        <w:rPr>
          <w:rFonts w:ascii="Times New Roman" w:hAnsi="Times New Roman" w:cs="Times New Roman"/>
          <w:sz w:val="24"/>
          <w:szCs w:val="24"/>
          <w:lang w:val="en-GB"/>
        </w:rPr>
        <w:t>Dogara</w:t>
      </w:r>
      <w:proofErr w:type="spellEnd"/>
      <w:r w:rsidRPr="008E2CAA">
        <w:rPr>
          <w:rFonts w:ascii="Times New Roman" w:hAnsi="Times New Roman" w:cs="Times New Roman"/>
          <w:sz w:val="24"/>
          <w:szCs w:val="24"/>
          <w:lang w:val="en-GB"/>
        </w:rPr>
        <w:t xml:space="preserve"> et al., 2020; </w:t>
      </w:r>
      <w:proofErr w:type="spellStart"/>
      <w:r w:rsidRPr="008E2CAA">
        <w:rPr>
          <w:rFonts w:ascii="Times New Roman" w:hAnsi="Times New Roman" w:cs="Times New Roman"/>
          <w:sz w:val="24"/>
          <w:szCs w:val="24"/>
          <w:lang w:val="en-GB"/>
        </w:rPr>
        <w:t>Haron</w:t>
      </w:r>
      <w:proofErr w:type="spellEnd"/>
      <w:r w:rsidRPr="008E2CAA">
        <w:rPr>
          <w:rFonts w:ascii="Times New Roman" w:hAnsi="Times New Roman" w:cs="Times New Roman"/>
          <w:sz w:val="24"/>
          <w:szCs w:val="24"/>
          <w:lang w:val="en-GB"/>
        </w:rPr>
        <w:t xml:space="preserve"> et al., 2019; </w:t>
      </w:r>
      <w:proofErr w:type="spellStart"/>
      <w:r w:rsidRPr="008E2CAA">
        <w:rPr>
          <w:rFonts w:ascii="Times New Roman" w:hAnsi="Times New Roman" w:cs="Times New Roman"/>
          <w:sz w:val="24"/>
          <w:szCs w:val="24"/>
          <w:lang w:val="en-GB"/>
        </w:rPr>
        <w:t>Ishengoma</w:t>
      </w:r>
      <w:proofErr w:type="spellEnd"/>
      <w:r w:rsidRPr="008E2CAA">
        <w:rPr>
          <w:rFonts w:ascii="Times New Roman" w:hAnsi="Times New Roman" w:cs="Times New Roman"/>
          <w:sz w:val="24"/>
          <w:szCs w:val="24"/>
          <w:lang w:val="en-GB"/>
        </w:rPr>
        <w:t xml:space="preserve"> &amp; </w:t>
      </w:r>
      <w:proofErr w:type="spellStart"/>
      <w:r w:rsidRPr="008E2CAA">
        <w:rPr>
          <w:rFonts w:ascii="Times New Roman" w:hAnsi="Times New Roman" w:cs="Times New Roman"/>
          <w:sz w:val="24"/>
          <w:szCs w:val="24"/>
          <w:lang w:val="en-GB"/>
        </w:rPr>
        <w:t>Vaaland</w:t>
      </w:r>
      <w:proofErr w:type="spellEnd"/>
      <w:r w:rsidRPr="008E2CAA">
        <w:rPr>
          <w:rFonts w:ascii="Times New Roman" w:hAnsi="Times New Roman" w:cs="Times New Roman"/>
          <w:sz w:val="24"/>
          <w:szCs w:val="24"/>
          <w:lang w:val="en-GB"/>
        </w:rPr>
        <w:t xml:space="preserve">, </w:t>
      </w:r>
      <w:r w:rsidRPr="001C0CA9">
        <w:rPr>
          <w:rFonts w:ascii="Times New Roman" w:hAnsi="Times New Roman" w:cs="Times New Roman"/>
          <w:sz w:val="24"/>
          <w:szCs w:val="24"/>
          <w:lang w:val="en-GB"/>
        </w:rPr>
        <w:t xml:space="preserve">2016; </w:t>
      </w:r>
      <w:proofErr w:type="spellStart"/>
      <w:r w:rsidRPr="001C0CA9">
        <w:rPr>
          <w:rFonts w:ascii="Times New Roman" w:hAnsi="Times New Roman" w:cs="Times New Roman"/>
          <w:sz w:val="24"/>
          <w:szCs w:val="24"/>
          <w:lang w:val="en-GB"/>
        </w:rPr>
        <w:t>Mobarak</w:t>
      </w:r>
      <w:proofErr w:type="spellEnd"/>
      <w:r w:rsidRPr="001C0CA9">
        <w:rPr>
          <w:rFonts w:ascii="Times New Roman" w:hAnsi="Times New Roman" w:cs="Times New Roman"/>
          <w:sz w:val="24"/>
          <w:szCs w:val="24"/>
          <w:lang w:val="en-GB"/>
        </w:rPr>
        <w:t>, 2019;</w:t>
      </w:r>
      <w:r w:rsidRPr="008E2CAA">
        <w:rPr>
          <w:rFonts w:ascii="Times New Roman" w:hAnsi="Times New Roman" w:cs="Times New Roman"/>
          <w:sz w:val="24"/>
          <w:szCs w:val="24"/>
          <w:lang w:val="en-GB"/>
        </w:rPr>
        <w:t xml:space="preserve"> Chen &amp; </w:t>
      </w:r>
      <w:proofErr w:type="spellStart"/>
      <w:r w:rsidRPr="008E2CAA">
        <w:rPr>
          <w:rFonts w:ascii="Times New Roman" w:hAnsi="Times New Roman" w:cs="Times New Roman"/>
          <w:sz w:val="24"/>
          <w:szCs w:val="24"/>
          <w:lang w:val="en-GB"/>
        </w:rPr>
        <w:t>Adefila</w:t>
      </w:r>
      <w:proofErr w:type="spellEnd"/>
      <w:r w:rsidRPr="008E2CAA">
        <w:rPr>
          <w:rFonts w:ascii="Times New Roman" w:hAnsi="Times New Roman" w:cs="Times New Roman"/>
          <w:sz w:val="24"/>
          <w:szCs w:val="24"/>
          <w:lang w:val="en-GB"/>
        </w:rPr>
        <w:t>, 2020). Another example is from Australia, which in 2016 has introduced a National strategy for Work Integrated Learning (WIL) as a formal component of degree programmes to facilitate career readiness</w:t>
      </w:r>
      <w:r w:rsidR="00F0351E" w:rsidRPr="008E2CAA">
        <w:rPr>
          <w:rFonts w:ascii="Times New Roman" w:hAnsi="Times New Roman" w:cs="Times New Roman"/>
          <w:sz w:val="24"/>
          <w:szCs w:val="24"/>
          <w:lang w:val="en-GB"/>
        </w:rPr>
        <w:t xml:space="preserve">. However, this has led to a shortage of WIL placements, which disadvantages students lacking in networks and awareness of labour market opportunities </w:t>
      </w:r>
      <w:r w:rsidRPr="008E2CAA">
        <w:rPr>
          <w:rFonts w:ascii="Times New Roman" w:hAnsi="Times New Roman" w:cs="Times New Roman"/>
          <w:sz w:val="24"/>
          <w:szCs w:val="24"/>
          <w:lang w:val="en-GB"/>
        </w:rPr>
        <w:t>(Jackson, 2018</w:t>
      </w:r>
      <w:r w:rsidR="00F0351E" w:rsidRPr="008E2CAA">
        <w:rPr>
          <w:rFonts w:ascii="Times New Roman" w:hAnsi="Times New Roman" w:cs="Times New Roman"/>
          <w:sz w:val="24"/>
          <w:szCs w:val="24"/>
          <w:lang w:val="en-GB"/>
        </w:rPr>
        <w:t>, Woodley &amp; Beattie (2011)</w:t>
      </w:r>
      <w:r w:rsidRPr="008E2CAA">
        <w:rPr>
          <w:rFonts w:ascii="Times New Roman" w:hAnsi="Times New Roman" w:cs="Times New Roman"/>
          <w:sz w:val="24"/>
          <w:szCs w:val="24"/>
          <w:lang w:val="en-GB"/>
        </w:rPr>
        <w:t xml:space="preserve">. </w:t>
      </w:r>
    </w:p>
    <w:p w14:paraId="76A17AB4" w14:textId="1BE9ECF2" w:rsidR="00A2749E" w:rsidRPr="008E2CAA" w:rsidRDefault="00A2749E" w:rsidP="00277BD5">
      <w:pPr>
        <w:jc w:val="both"/>
        <w:rPr>
          <w:rFonts w:ascii="Times New Roman" w:hAnsi="Times New Roman" w:cs="Times New Roman"/>
          <w:sz w:val="24"/>
          <w:szCs w:val="24"/>
          <w:lang w:val="en-GB"/>
        </w:rPr>
      </w:pPr>
      <w:proofErr w:type="spellStart"/>
      <w:r w:rsidRPr="008E2CAA">
        <w:rPr>
          <w:rFonts w:ascii="Times New Roman" w:hAnsi="Times New Roman" w:cs="Times New Roman"/>
          <w:sz w:val="24"/>
          <w:szCs w:val="24"/>
          <w:lang w:val="en-GB"/>
        </w:rPr>
        <w:t>Moscardo</w:t>
      </w:r>
      <w:proofErr w:type="spellEnd"/>
      <w:r w:rsidRPr="008E2CAA">
        <w:rPr>
          <w:rFonts w:ascii="Times New Roman" w:hAnsi="Times New Roman" w:cs="Times New Roman"/>
          <w:sz w:val="24"/>
          <w:szCs w:val="24"/>
          <w:lang w:val="en-GB"/>
        </w:rPr>
        <w:t xml:space="preserve"> &amp; Pearce (2007) examining students work experiences in the Australian tourism sector argue that the main benefit for employers’ is risk reduction in recruitment. Also, </w:t>
      </w:r>
      <w:proofErr w:type="spellStart"/>
      <w:r w:rsidRPr="008E2CAA">
        <w:rPr>
          <w:rFonts w:ascii="Times New Roman" w:hAnsi="Times New Roman" w:cs="Times New Roman"/>
          <w:sz w:val="24"/>
          <w:szCs w:val="24"/>
          <w:lang w:val="en-GB"/>
        </w:rPr>
        <w:t>Beaven</w:t>
      </w:r>
      <w:proofErr w:type="spellEnd"/>
      <w:r w:rsidRPr="008E2CAA">
        <w:rPr>
          <w:rFonts w:ascii="Times New Roman" w:hAnsi="Times New Roman" w:cs="Times New Roman"/>
          <w:sz w:val="24"/>
          <w:szCs w:val="24"/>
          <w:lang w:val="en-GB"/>
        </w:rPr>
        <w:t xml:space="preserve"> et al. (2009) suggest that WBL can improve the recruitment process, as most employers tend to consider work-based learning, and especially work placement activities, as a valid way of gaining experience. </w:t>
      </w:r>
      <w:proofErr w:type="spellStart"/>
      <w:r w:rsidRPr="008E2CAA">
        <w:rPr>
          <w:rFonts w:ascii="Times New Roman" w:hAnsi="Times New Roman" w:cs="Times New Roman"/>
          <w:sz w:val="24"/>
          <w:szCs w:val="24"/>
          <w:lang w:val="en-GB"/>
        </w:rPr>
        <w:t>Moscardo</w:t>
      </w:r>
      <w:proofErr w:type="spellEnd"/>
      <w:r w:rsidRPr="008E2CAA">
        <w:rPr>
          <w:rFonts w:ascii="Times New Roman" w:hAnsi="Times New Roman" w:cs="Times New Roman"/>
          <w:sz w:val="24"/>
          <w:szCs w:val="24"/>
          <w:lang w:val="en-GB"/>
        </w:rPr>
        <w:t xml:space="preserve"> &amp; Pearce (2007) also find that WBL model reduces </w:t>
      </w:r>
      <w:r w:rsidR="00683328" w:rsidRPr="008E2CAA">
        <w:rPr>
          <w:rFonts w:ascii="Times New Roman" w:hAnsi="Times New Roman" w:cs="Times New Roman"/>
          <w:sz w:val="24"/>
          <w:szCs w:val="24"/>
          <w:lang w:val="en-GB"/>
        </w:rPr>
        <w:t xml:space="preserve">the </w:t>
      </w:r>
      <w:r w:rsidRPr="008E2CAA">
        <w:rPr>
          <w:rFonts w:ascii="Times New Roman" w:hAnsi="Times New Roman" w:cs="Times New Roman"/>
          <w:sz w:val="24"/>
          <w:szCs w:val="24"/>
          <w:lang w:val="en-GB"/>
        </w:rPr>
        <w:t>time commitment</w:t>
      </w:r>
      <w:r w:rsidR="00683328" w:rsidRPr="008E2CAA">
        <w:rPr>
          <w:rFonts w:ascii="Times New Roman" w:hAnsi="Times New Roman" w:cs="Times New Roman"/>
          <w:sz w:val="24"/>
          <w:szCs w:val="24"/>
          <w:lang w:val="en-GB"/>
        </w:rPr>
        <w:t xml:space="preserve"> required of</w:t>
      </w:r>
      <w:r w:rsidRPr="008E2CAA">
        <w:rPr>
          <w:rFonts w:ascii="Times New Roman" w:hAnsi="Times New Roman" w:cs="Times New Roman"/>
          <w:sz w:val="24"/>
          <w:szCs w:val="24"/>
          <w:lang w:val="en-GB"/>
        </w:rPr>
        <w:t xml:space="preserve"> employers</w:t>
      </w:r>
      <w:r w:rsidR="00683328" w:rsidRPr="008E2CAA">
        <w:rPr>
          <w:rFonts w:ascii="Times New Roman" w:hAnsi="Times New Roman" w:cs="Times New Roman"/>
          <w:sz w:val="24"/>
          <w:szCs w:val="24"/>
          <w:lang w:val="en-GB"/>
        </w:rPr>
        <w:t xml:space="preserve"> to train staff</w:t>
      </w:r>
      <w:r w:rsidRPr="008E2CAA">
        <w:rPr>
          <w:rFonts w:ascii="Times New Roman" w:hAnsi="Times New Roman" w:cs="Times New Roman"/>
          <w:sz w:val="24"/>
          <w:szCs w:val="24"/>
          <w:lang w:val="en-GB"/>
        </w:rPr>
        <w:t xml:space="preserve">. Reinhard et al., (2016) argue that a key feature for co-operation between HE and employers is relying on a pool of several firms which can reduce the risk of partnerships for HEs and students. </w:t>
      </w:r>
    </w:p>
    <w:p w14:paraId="2BED46A6" w14:textId="77777777" w:rsidR="00A2749E" w:rsidRPr="00622BF0" w:rsidRDefault="00A2749E" w:rsidP="00A2749E">
      <w:pPr>
        <w:pStyle w:val="Heading3"/>
        <w:jc w:val="both"/>
        <w:rPr>
          <w:rFonts w:ascii="Times New Roman" w:hAnsi="Times New Roman" w:cs="Times New Roman"/>
          <w:b/>
          <w:bCs/>
          <w:lang w:val="en-GB"/>
        </w:rPr>
      </w:pPr>
      <w:bookmarkStart w:id="11" w:name="_Ref120807344"/>
      <w:r w:rsidRPr="00622BF0">
        <w:rPr>
          <w:rFonts w:ascii="Times New Roman" w:hAnsi="Times New Roman" w:cs="Times New Roman"/>
          <w:b/>
          <w:bCs/>
          <w:lang w:val="en-GB"/>
        </w:rPr>
        <w:t>Skills-mismatch and economic contexts</w:t>
      </w:r>
      <w:bookmarkEnd w:id="11"/>
    </w:p>
    <w:p w14:paraId="440AB753" w14:textId="39339BEE" w:rsidR="002B10F9" w:rsidRPr="008E2CAA" w:rsidRDefault="00A2749E"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Several studies point towards the existence of a gap between skill formation in the education system and employers’ needs, as main contextual trait of national labour markets (Saville et al., 2020) or of specific sectors within them (</w:t>
      </w:r>
      <w:proofErr w:type="spellStart"/>
      <w:r w:rsidRPr="008E2CAA">
        <w:rPr>
          <w:rFonts w:ascii="Times New Roman" w:hAnsi="Times New Roman" w:cs="Times New Roman"/>
          <w:sz w:val="24"/>
          <w:szCs w:val="24"/>
          <w:lang w:val="en-GB"/>
        </w:rPr>
        <w:t>Kasa</w:t>
      </w:r>
      <w:proofErr w:type="spellEnd"/>
      <w:r w:rsidRPr="008E2CAA">
        <w:rPr>
          <w:rFonts w:ascii="Times New Roman" w:hAnsi="Times New Roman" w:cs="Times New Roman"/>
          <w:sz w:val="24"/>
          <w:szCs w:val="24"/>
          <w:lang w:val="en-GB"/>
        </w:rPr>
        <w:t xml:space="preserve"> et al., 2020; </w:t>
      </w:r>
      <w:proofErr w:type="spellStart"/>
      <w:r w:rsidRPr="008E2CAA">
        <w:rPr>
          <w:rFonts w:ascii="Times New Roman" w:hAnsi="Times New Roman" w:cs="Times New Roman"/>
          <w:sz w:val="24"/>
          <w:szCs w:val="24"/>
          <w:lang w:val="en-GB"/>
        </w:rPr>
        <w:t>Beaven</w:t>
      </w:r>
      <w:proofErr w:type="spellEnd"/>
      <w:r w:rsidRPr="008E2CAA">
        <w:rPr>
          <w:rFonts w:ascii="Times New Roman" w:hAnsi="Times New Roman" w:cs="Times New Roman"/>
          <w:sz w:val="24"/>
          <w:szCs w:val="24"/>
          <w:lang w:val="en-GB"/>
        </w:rPr>
        <w:t xml:space="preserve"> et al., 2009).</w:t>
      </w:r>
      <w:r w:rsidR="00E05C93" w:rsidRPr="008E2CAA">
        <w:rPr>
          <w:rFonts w:ascii="Times New Roman" w:hAnsi="Times New Roman" w:cs="Times New Roman"/>
          <w:sz w:val="24"/>
          <w:szCs w:val="24"/>
          <w:lang w:val="en-GB"/>
        </w:rPr>
        <w:t xml:space="preserve"> For bridging those gaps in skills and qualifications, it is observed that one of the most effective environments for employed individuals to learn is in the workplace (Lester &amp; Costley, 2010). In an integrated approach to degree programmes the workplace becomes a source of </w:t>
      </w:r>
      <w:r w:rsidR="00E05C93" w:rsidRPr="008E2CAA">
        <w:rPr>
          <w:rFonts w:ascii="Times New Roman" w:hAnsi="Times New Roman" w:cs="Times New Roman"/>
          <w:sz w:val="24"/>
          <w:szCs w:val="24"/>
          <w:lang w:val="en-GB"/>
        </w:rPr>
        <w:lastRenderedPageBreak/>
        <w:t>academically valid learning, rather than simply a site for gaining experience and applying what has already been learned” (Lester et al., 2016, p. 10).</w:t>
      </w:r>
    </w:p>
    <w:p w14:paraId="3BB273D4" w14:textId="32D9B35B" w:rsidR="009041E9" w:rsidRPr="008E2CAA" w:rsidRDefault="002B10F9"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There are examples in the corpus illustrating how economic and labour market contexts interacts with behaviour of employers and graduates. </w:t>
      </w:r>
      <w:r w:rsidR="00A2749E" w:rsidRPr="008E2CAA">
        <w:rPr>
          <w:rFonts w:ascii="Times New Roman" w:hAnsi="Times New Roman" w:cs="Times New Roman"/>
          <w:sz w:val="24"/>
          <w:szCs w:val="24"/>
          <w:lang w:val="en-GB"/>
        </w:rPr>
        <w:t xml:space="preserve">Lim &amp; Lee (2019) </w:t>
      </w:r>
      <w:r w:rsidR="00E05C93" w:rsidRPr="008E2CAA">
        <w:rPr>
          <w:rFonts w:ascii="Times New Roman" w:hAnsi="Times New Roman" w:cs="Times New Roman"/>
          <w:sz w:val="24"/>
          <w:szCs w:val="24"/>
          <w:lang w:val="en-GB"/>
        </w:rPr>
        <w:t>argue that job competition in South Kore</w:t>
      </w:r>
      <w:r w:rsidR="009E038D">
        <w:rPr>
          <w:rFonts w:ascii="Times New Roman" w:hAnsi="Times New Roman" w:cs="Times New Roman"/>
          <w:sz w:val="24"/>
          <w:szCs w:val="24"/>
          <w:lang w:val="en-GB"/>
        </w:rPr>
        <w:t>a</w:t>
      </w:r>
      <w:r w:rsidR="00E05C93" w:rsidRPr="008E2CAA">
        <w:rPr>
          <w:rFonts w:ascii="Times New Roman" w:hAnsi="Times New Roman" w:cs="Times New Roman"/>
          <w:sz w:val="24"/>
          <w:szCs w:val="24"/>
          <w:lang w:val="en-GB"/>
        </w:rPr>
        <w:t xml:space="preserve"> has increased due to a combination of weaker employment growth and increased educational attainment. This has</w:t>
      </w:r>
      <w:r w:rsidR="00A2749E" w:rsidRPr="008E2CAA">
        <w:rPr>
          <w:rFonts w:ascii="Times New Roman" w:hAnsi="Times New Roman" w:cs="Times New Roman"/>
          <w:sz w:val="24"/>
          <w:szCs w:val="24"/>
          <w:lang w:val="en-GB"/>
        </w:rPr>
        <w:t xml:space="preserve"> led to a competitive employment preparation behaviour</w:t>
      </w:r>
      <w:r w:rsidR="00E05C93" w:rsidRPr="008E2CAA">
        <w:rPr>
          <w:rFonts w:ascii="Times New Roman" w:hAnsi="Times New Roman" w:cs="Times New Roman"/>
          <w:sz w:val="24"/>
          <w:szCs w:val="24"/>
          <w:lang w:val="en-GB"/>
        </w:rPr>
        <w:t xml:space="preserve">, where </w:t>
      </w:r>
      <w:r w:rsidR="00A2749E" w:rsidRPr="008E2CAA">
        <w:rPr>
          <w:rFonts w:ascii="Times New Roman" w:hAnsi="Times New Roman" w:cs="Times New Roman"/>
          <w:sz w:val="24"/>
          <w:szCs w:val="24"/>
          <w:lang w:val="en-GB"/>
        </w:rPr>
        <w:t xml:space="preserve">young people are </w:t>
      </w:r>
      <w:r w:rsidR="00E05C93" w:rsidRPr="008E2CAA">
        <w:rPr>
          <w:rFonts w:ascii="Times New Roman" w:hAnsi="Times New Roman" w:cs="Times New Roman"/>
          <w:sz w:val="24"/>
          <w:szCs w:val="24"/>
          <w:lang w:val="en-GB"/>
        </w:rPr>
        <w:t xml:space="preserve">seeking to </w:t>
      </w:r>
      <w:r w:rsidR="00A2749E" w:rsidRPr="008E2CAA">
        <w:rPr>
          <w:rFonts w:ascii="Times New Roman" w:hAnsi="Times New Roman" w:cs="Times New Roman"/>
          <w:sz w:val="24"/>
          <w:szCs w:val="24"/>
          <w:lang w:val="en-GB"/>
        </w:rPr>
        <w:t>distinguish themselves through additional qualifications, internship, and career counselling. Conversely,</w:t>
      </w:r>
      <w:r w:rsidR="00E05C93" w:rsidRPr="008E2CAA">
        <w:rPr>
          <w:rFonts w:ascii="Times New Roman" w:hAnsi="Times New Roman" w:cs="Times New Roman"/>
          <w:sz w:val="24"/>
          <w:szCs w:val="24"/>
          <w:lang w:val="en-GB"/>
        </w:rPr>
        <w:t xml:space="preserve"> </w:t>
      </w:r>
      <w:proofErr w:type="spellStart"/>
      <w:r w:rsidR="00E05C93" w:rsidRPr="008E2CAA">
        <w:rPr>
          <w:rFonts w:ascii="Times New Roman" w:hAnsi="Times New Roman" w:cs="Times New Roman"/>
          <w:sz w:val="24"/>
          <w:szCs w:val="24"/>
          <w:lang w:val="en-GB"/>
        </w:rPr>
        <w:t>Bertolini</w:t>
      </w:r>
      <w:proofErr w:type="spellEnd"/>
      <w:r w:rsidR="00E05C93" w:rsidRPr="008E2CAA">
        <w:rPr>
          <w:rFonts w:ascii="Times New Roman" w:hAnsi="Times New Roman" w:cs="Times New Roman"/>
          <w:sz w:val="24"/>
          <w:szCs w:val="24"/>
          <w:lang w:val="en-GB"/>
        </w:rPr>
        <w:t xml:space="preserve"> &amp; </w:t>
      </w:r>
      <w:proofErr w:type="spellStart"/>
      <w:r w:rsidR="00E05C93" w:rsidRPr="008E2CAA">
        <w:rPr>
          <w:rFonts w:ascii="Times New Roman" w:hAnsi="Times New Roman" w:cs="Times New Roman"/>
          <w:sz w:val="24"/>
          <w:szCs w:val="24"/>
          <w:lang w:val="en-GB"/>
        </w:rPr>
        <w:t>Goglio</w:t>
      </w:r>
      <w:proofErr w:type="spellEnd"/>
      <w:r w:rsidR="00E05C93" w:rsidRPr="008E2CAA">
        <w:rPr>
          <w:rFonts w:ascii="Times New Roman" w:hAnsi="Times New Roman" w:cs="Times New Roman"/>
          <w:sz w:val="24"/>
          <w:szCs w:val="24"/>
          <w:lang w:val="en-GB"/>
        </w:rPr>
        <w:t xml:space="preserve"> (2017) point out that in </w:t>
      </w:r>
      <w:r w:rsidR="00A2749E" w:rsidRPr="008E2CAA">
        <w:rPr>
          <w:rFonts w:ascii="Times New Roman" w:hAnsi="Times New Roman" w:cs="Times New Roman"/>
          <w:sz w:val="24"/>
          <w:szCs w:val="24"/>
          <w:lang w:val="en-GB"/>
        </w:rPr>
        <w:t>Italy</w:t>
      </w:r>
      <w:r w:rsidR="00E05C93" w:rsidRPr="008E2CAA">
        <w:rPr>
          <w:rFonts w:ascii="Times New Roman" w:hAnsi="Times New Roman" w:cs="Times New Roman"/>
          <w:sz w:val="24"/>
          <w:szCs w:val="24"/>
          <w:lang w:val="en-GB"/>
        </w:rPr>
        <w:t xml:space="preserve">, which has </w:t>
      </w:r>
      <w:r w:rsidR="00A2749E" w:rsidRPr="008E2CAA">
        <w:rPr>
          <w:rFonts w:ascii="Times New Roman" w:hAnsi="Times New Roman" w:cs="Times New Roman"/>
          <w:sz w:val="24"/>
          <w:szCs w:val="24"/>
          <w:lang w:val="en-GB"/>
        </w:rPr>
        <w:t>a high proportion of young people with low levels of</w:t>
      </w:r>
      <w:r w:rsidR="00E05C93" w:rsidRPr="008E2CAA">
        <w:rPr>
          <w:rFonts w:ascii="Times New Roman" w:hAnsi="Times New Roman" w:cs="Times New Roman"/>
          <w:sz w:val="24"/>
          <w:szCs w:val="24"/>
          <w:lang w:val="en-GB"/>
        </w:rPr>
        <w:t xml:space="preserve"> qualifications and high youth unemployment, </w:t>
      </w:r>
      <w:r w:rsidR="00A2749E" w:rsidRPr="008E2CAA">
        <w:rPr>
          <w:rFonts w:ascii="Times New Roman" w:hAnsi="Times New Roman" w:cs="Times New Roman"/>
          <w:sz w:val="24"/>
          <w:szCs w:val="24"/>
          <w:lang w:val="en-GB"/>
        </w:rPr>
        <w:t xml:space="preserve">employers prefer informal methods of selection to guarantee trust, </w:t>
      </w:r>
      <w:r w:rsidR="00E05C93" w:rsidRPr="008E2CAA">
        <w:rPr>
          <w:rFonts w:ascii="Times New Roman" w:hAnsi="Times New Roman" w:cs="Times New Roman"/>
          <w:sz w:val="24"/>
          <w:szCs w:val="24"/>
          <w:lang w:val="en-GB"/>
        </w:rPr>
        <w:t xml:space="preserve">downplaying importance of formal qualifications </w:t>
      </w:r>
      <w:r w:rsidR="00A2749E" w:rsidRPr="008E2CAA">
        <w:rPr>
          <w:rFonts w:ascii="Times New Roman" w:hAnsi="Times New Roman" w:cs="Times New Roman"/>
          <w:sz w:val="24"/>
          <w:szCs w:val="24"/>
          <w:lang w:val="en-GB"/>
        </w:rPr>
        <w:t>(</w:t>
      </w:r>
      <w:proofErr w:type="spellStart"/>
      <w:r w:rsidR="00A2749E" w:rsidRPr="008E2CAA">
        <w:rPr>
          <w:rFonts w:ascii="Times New Roman" w:hAnsi="Times New Roman" w:cs="Times New Roman"/>
          <w:sz w:val="24"/>
          <w:szCs w:val="24"/>
          <w:lang w:val="en-GB"/>
        </w:rPr>
        <w:t>Bertolini</w:t>
      </w:r>
      <w:proofErr w:type="spellEnd"/>
      <w:r w:rsidR="00A2749E" w:rsidRPr="008E2CAA">
        <w:rPr>
          <w:rFonts w:ascii="Times New Roman" w:hAnsi="Times New Roman" w:cs="Times New Roman"/>
          <w:sz w:val="24"/>
          <w:szCs w:val="24"/>
          <w:lang w:val="en-GB"/>
        </w:rPr>
        <w:t xml:space="preserve"> &amp; </w:t>
      </w:r>
      <w:proofErr w:type="spellStart"/>
      <w:r w:rsidR="00A2749E" w:rsidRPr="008E2CAA">
        <w:rPr>
          <w:rFonts w:ascii="Times New Roman" w:hAnsi="Times New Roman" w:cs="Times New Roman"/>
          <w:sz w:val="24"/>
          <w:szCs w:val="24"/>
          <w:lang w:val="en-GB"/>
        </w:rPr>
        <w:t>Goglio</w:t>
      </w:r>
      <w:proofErr w:type="spellEnd"/>
      <w:r w:rsidR="00A2749E" w:rsidRPr="008E2CAA">
        <w:rPr>
          <w:rFonts w:ascii="Times New Roman" w:hAnsi="Times New Roman" w:cs="Times New Roman"/>
          <w:sz w:val="24"/>
          <w:szCs w:val="24"/>
          <w:lang w:val="en-GB"/>
        </w:rPr>
        <w:t xml:space="preserve">, 2017). </w:t>
      </w:r>
    </w:p>
    <w:p w14:paraId="2D97F1E4" w14:textId="66969124" w:rsidR="0044493E" w:rsidRPr="008E2CAA" w:rsidRDefault="00764E2D" w:rsidP="0044493E">
      <w:pPr>
        <w:pStyle w:val="Heading1"/>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State of the literature</w:t>
      </w:r>
      <w:r w:rsidR="0044493E" w:rsidRPr="008E2CAA">
        <w:rPr>
          <w:rFonts w:ascii="Times New Roman" w:hAnsi="Times New Roman" w:cs="Times New Roman"/>
          <w:b/>
          <w:bCs/>
          <w:sz w:val="24"/>
          <w:szCs w:val="24"/>
          <w:lang w:val="en-GB"/>
        </w:rPr>
        <w:t xml:space="preserve"> and </w:t>
      </w:r>
      <w:r w:rsidRPr="008E2CAA">
        <w:rPr>
          <w:rFonts w:ascii="Times New Roman" w:hAnsi="Times New Roman" w:cs="Times New Roman"/>
          <w:b/>
          <w:bCs/>
          <w:sz w:val="24"/>
          <w:szCs w:val="24"/>
          <w:lang w:val="en-GB"/>
        </w:rPr>
        <w:t>avenues for f</w:t>
      </w:r>
      <w:r w:rsidR="004325EB" w:rsidRPr="008E2CAA">
        <w:rPr>
          <w:rFonts w:ascii="Times New Roman" w:hAnsi="Times New Roman" w:cs="Times New Roman"/>
          <w:b/>
          <w:bCs/>
          <w:sz w:val="24"/>
          <w:szCs w:val="24"/>
          <w:lang w:val="en-GB"/>
        </w:rPr>
        <w:t>u</w:t>
      </w:r>
      <w:r w:rsidR="0044493E" w:rsidRPr="008E2CAA">
        <w:rPr>
          <w:rFonts w:ascii="Times New Roman" w:hAnsi="Times New Roman" w:cs="Times New Roman"/>
          <w:b/>
          <w:bCs/>
          <w:sz w:val="24"/>
          <w:szCs w:val="24"/>
          <w:lang w:val="en-GB"/>
        </w:rPr>
        <w:t xml:space="preserve">ture </w:t>
      </w:r>
      <w:r w:rsidRPr="008E2CAA">
        <w:rPr>
          <w:rFonts w:ascii="Times New Roman" w:hAnsi="Times New Roman" w:cs="Times New Roman"/>
          <w:b/>
          <w:bCs/>
          <w:sz w:val="24"/>
          <w:szCs w:val="24"/>
          <w:lang w:val="en-GB"/>
        </w:rPr>
        <w:t>r</w:t>
      </w:r>
      <w:r w:rsidR="0044493E" w:rsidRPr="008E2CAA">
        <w:rPr>
          <w:rFonts w:ascii="Times New Roman" w:hAnsi="Times New Roman" w:cs="Times New Roman"/>
          <w:b/>
          <w:bCs/>
          <w:sz w:val="24"/>
          <w:szCs w:val="24"/>
          <w:lang w:val="en-GB"/>
        </w:rPr>
        <w:t>esearch</w:t>
      </w:r>
    </w:p>
    <w:p w14:paraId="0B3ADD2F" w14:textId="7AE27075" w:rsidR="00764E2D" w:rsidRPr="008E2CAA" w:rsidRDefault="00764E2D"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The 87 papers included in this systemic literature paint an overall positive picture of the use of employability activities as part of HE curricula. However, when the state of the literature is reflected against the challenges faced by young people entering the labour market or the need of HEIs to prioritise resources, it is clear that the academic research community could do more to inform the decisions of stakeholders, from students, to HEIs, employers and government policy makers. </w:t>
      </w:r>
    </w:p>
    <w:p w14:paraId="2686AE91" w14:textId="262B5AC2" w:rsidR="00764E2D" w:rsidRPr="008E2CAA" w:rsidRDefault="00764E2D" w:rsidP="00764E2D">
      <w:pPr>
        <w:pStyle w:val="Heading2"/>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Need for more comprehensive view of employability activities</w:t>
      </w:r>
    </w:p>
    <w:p w14:paraId="5C012BF8" w14:textId="569C4BF2" w:rsidR="00764E2D" w:rsidRPr="000576B2" w:rsidRDefault="00120E2A" w:rsidP="00277BD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A</w:t>
      </w:r>
      <w:r w:rsidR="00764E2D" w:rsidRPr="008E2CAA">
        <w:rPr>
          <w:rFonts w:ascii="Times New Roman" w:hAnsi="Times New Roman" w:cs="Times New Roman"/>
          <w:sz w:val="24"/>
          <w:szCs w:val="24"/>
          <w:lang w:val="en-GB"/>
        </w:rPr>
        <w:t xml:space="preserve">s mentioned in Section </w:t>
      </w:r>
      <w:r w:rsidR="00764E2D" w:rsidRPr="008E2CAA">
        <w:rPr>
          <w:rFonts w:ascii="Times New Roman" w:hAnsi="Times New Roman" w:cs="Times New Roman"/>
          <w:sz w:val="24"/>
          <w:szCs w:val="24"/>
          <w:lang w:val="en-GB"/>
        </w:rPr>
        <w:fldChar w:fldCharType="begin"/>
      </w:r>
      <w:r w:rsidR="00764E2D" w:rsidRPr="008E2CAA">
        <w:rPr>
          <w:rFonts w:ascii="Times New Roman" w:hAnsi="Times New Roman" w:cs="Times New Roman"/>
          <w:sz w:val="24"/>
          <w:szCs w:val="24"/>
          <w:lang w:val="en-GB"/>
        </w:rPr>
        <w:instrText xml:space="preserve"> REF _Ref120788364 \n \h </w:instrText>
      </w:r>
      <w:r w:rsidR="004C1DE3" w:rsidRPr="008E2CAA">
        <w:rPr>
          <w:rFonts w:ascii="Times New Roman" w:hAnsi="Times New Roman" w:cs="Times New Roman"/>
          <w:sz w:val="24"/>
          <w:szCs w:val="24"/>
          <w:lang w:val="en-GB"/>
        </w:rPr>
        <w:instrText xml:space="preserve"> \* MERGEFORMAT </w:instrText>
      </w:r>
      <w:r w:rsidR="00764E2D" w:rsidRPr="008E2CAA">
        <w:rPr>
          <w:rFonts w:ascii="Times New Roman" w:hAnsi="Times New Roman" w:cs="Times New Roman"/>
          <w:sz w:val="24"/>
          <w:szCs w:val="24"/>
          <w:lang w:val="en-GB"/>
        </w:rPr>
      </w:r>
      <w:r w:rsidR="00764E2D" w:rsidRPr="008E2CAA">
        <w:rPr>
          <w:rFonts w:ascii="Times New Roman" w:hAnsi="Times New Roman" w:cs="Times New Roman"/>
          <w:sz w:val="24"/>
          <w:szCs w:val="24"/>
          <w:lang w:val="en-GB"/>
        </w:rPr>
        <w:fldChar w:fldCharType="separate"/>
      </w:r>
      <w:r w:rsidR="00764E2D" w:rsidRPr="008E2CAA">
        <w:rPr>
          <w:rFonts w:ascii="Times New Roman" w:hAnsi="Times New Roman" w:cs="Times New Roman"/>
          <w:sz w:val="24"/>
          <w:szCs w:val="24"/>
          <w:lang w:val="en-GB"/>
        </w:rPr>
        <w:t>2</w:t>
      </w:r>
      <w:r w:rsidR="00764E2D" w:rsidRPr="008E2CAA">
        <w:rPr>
          <w:rFonts w:ascii="Times New Roman" w:hAnsi="Times New Roman" w:cs="Times New Roman"/>
          <w:sz w:val="24"/>
          <w:szCs w:val="24"/>
          <w:lang w:val="en-GB"/>
        </w:rPr>
        <w:fldChar w:fldCharType="end"/>
      </w:r>
      <w:r w:rsidR="00764E2D" w:rsidRPr="008E2CAA">
        <w:rPr>
          <w:rFonts w:ascii="Times New Roman" w:hAnsi="Times New Roman" w:cs="Times New Roman"/>
          <w:sz w:val="24"/>
          <w:szCs w:val="24"/>
          <w:lang w:val="en-GB"/>
        </w:rPr>
        <w:t xml:space="preserve"> the scope of the corpus </w:t>
      </w:r>
      <w:r w:rsidR="007945A3" w:rsidRPr="008E2CAA">
        <w:rPr>
          <w:rFonts w:ascii="Times New Roman" w:hAnsi="Times New Roman" w:cs="Times New Roman"/>
          <w:sz w:val="24"/>
          <w:szCs w:val="24"/>
          <w:lang w:val="en-GB"/>
        </w:rPr>
        <w:t xml:space="preserve">is dominated by studies of WBL programmes. </w:t>
      </w:r>
      <w:r w:rsidR="0096198D" w:rsidRPr="008E2CAA">
        <w:rPr>
          <w:rFonts w:ascii="Times New Roman" w:hAnsi="Times New Roman" w:cs="Times New Roman"/>
          <w:sz w:val="24"/>
          <w:szCs w:val="24"/>
          <w:lang w:val="en-GB"/>
        </w:rPr>
        <w:t xml:space="preserve">Whilst these studies are welcome, there is a dearth </w:t>
      </w:r>
      <w:r w:rsidRPr="008E2CAA">
        <w:rPr>
          <w:rFonts w:ascii="Times New Roman" w:hAnsi="Times New Roman" w:cs="Times New Roman"/>
          <w:sz w:val="24"/>
          <w:szCs w:val="24"/>
          <w:lang w:val="en-GB"/>
        </w:rPr>
        <w:t xml:space="preserve">of studies looking at more diverse forms of employability activities. </w:t>
      </w:r>
      <w:r w:rsidR="00156211" w:rsidRPr="008E2CAA">
        <w:rPr>
          <w:rFonts w:ascii="Times New Roman" w:hAnsi="Times New Roman" w:cs="Times New Roman"/>
          <w:sz w:val="24"/>
          <w:szCs w:val="24"/>
          <w:lang w:val="en-GB"/>
        </w:rPr>
        <w:t xml:space="preserve">For instance, </w:t>
      </w:r>
      <w:r w:rsidR="00156211" w:rsidRPr="009C7B09">
        <w:rPr>
          <w:rFonts w:ascii="Times New Roman" w:hAnsi="Times New Roman" w:cs="Times New Roman"/>
          <w:sz w:val="24"/>
          <w:szCs w:val="24"/>
          <w:lang w:val="en-GB"/>
        </w:rPr>
        <w:t>Norton &amp; Dalrymple (202</w:t>
      </w:r>
      <w:r w:rsidR="009C7B09" w:rsidRPr="009C7B09">
        <w:rPr>
          <w:rFonts w:ascii="Times New Roman" w:hAnsi="Times New Roman" w:cs="Times New Roman"/>
          <w:sz w:val="24"/>
          <w:szCs w:val="24"/>
          <w:lang w:val="en-GB"/>
        </w:rPr>
        <w:t>0</w:t>
      </w:r>
      <w:r w:rsidR="00156211" w:rsidRPr="009C7B09">
        <w:rPr>
          <w:rFonts w:ascii="Times New Roman" w:hAnsi="Times New Roman" w:cs="Times New Roman"/>
          <w:sz w:val="24"/>
          <w:szCs w:val="24"/>
          <w:lang w:val="en-GB"/>
        </w:rPr>
        <w:t>) in their</w:t>
      </w:r>
      <w:r w:rsidR="00156211" w:rsidRPr="008E2CAA">
        <w:rPr>
          <w:rFonts w:ascii="Times New Roman" w:hAnsi="Times New Roman" w:cs="Times New Roman"/>
          <w:sz w:val="24"/>
          <w:szCs w:val="24"/>
          <w:lang w:val="en-GB"/>
        </w:rPr>
        <w:t xml:space="preserve"> collection of case studies of employability in UK HEIs highlight </w:t>
      </w:r>
      <w:r w:rsidR="00FF795D" w:rsidRPr="008E2CAA">
        <w:rPr>
          <w:rFonts w:ascii="Times New Roman" w:hAnsi="Times New Roman" w:cs="Times New Roman"/>
          <w:sz w:val="24"/>
          <w:szCs w:val="24"/>
          <w:lang w:val="en-GB"/>
        </w:rPr>
        <w:t>several</w:t>
      </w:r>
      <w:r w:rsidR="00156211" w:rsidRPr="008E2CAA">
        <w:rPr>
          <w:rFonts w:ascii="Times New Roman" w:hAnsi="Times New Roman" w:cs="Times New Roman"/>
          <w:sz w:val="24"/>
          <w:szCs w:val="24"/>
          <w:lang w:val="en-GB"/>
        </w:rPr>
        <w:t xml:space="preserve"> examples where employability is facilitated not through direct placement with employers but by embedding employability activities in the curriculum, such as through curricular frameworks, specific employability and skills training modules, and assistance with career planning and networking. It is important to obtain evidence on the effectiveness of such approaches, especially as they are likely to be less resource intensive </w:t>
      </w:r>
      <w:r w:rsidR="00156211" w:rsidRPr="000576B2">
        <w:rPr>
          <w:rFonts w:ascii="Times New Roman" w:hAnsi="Times New Roman" w:cs="Times New Roman"/>
          <w:sz w:val="24"/>
          <w:szCs w:val="24"/>
          <w:lang w:val="en-GB"/>
        </w:rPr>
        <w:t>and easier to scale up for HEIs than placements and internships. This begs the question, what is the prevalence of different types of employability activities in HE? To date we are not aware of any comprehensive survey of</w:t>
      </w:r>
      <w:r w:rsidR="00351951" w:rsidRPr="000576B2">
        <w:rPr>
          <w:rFonts w:ascii="Times New Roman" w:hAnsi="Times New Roman" w:cs="Times New Roman"/>
          <w:sz w:val="24"/>
          <w:szCs w:val="24"/>
          <w:lang w:val="en-GB"/>
        </w:rPr>
        <w:t xml:space="preserve"> employability activities in</w:t>
      </w:r>
      <w:r w:rsidR="00156211" w:rsidRPr="000576B2">
        <w:rPr>
          <w:rFonts w:ascii="Times New Roman" w:hAnsi="Times New Roman" w:cs="Times New Roman"/>
          <w:sz w:val="24"/>
          <w:szCs w:val="24"/>
          <w:lang w:val="en-GB"/>
        </w:rPr>
        <w:t xml:space="preserve"> a particular HE system or even a single institution</w:t>
      </w:r>
      <w:r w:rsidR="00351951" w:rsidRPr="000576B2">
        <w:rPr>
          <w:rFonts w:ascii="Times New Roman" w:hAnsi="Times New Roman" w:cs="Times New Roman"/>
          <w:sz w:val="24"/>
          <w:szCs w:val="24"/>
          <w:lang w:val="en-GB"/>
        </w:rPr>
        <w:t>, which is a lacuna that awaits future research.</w:t>
      </w:r>
    </w:p>
    <w:p w14:paraId="5FE7C6D8" w14:textId="76DBA5EF" w:rsidR="00351951" w:rsidRPr="008E2CAA" w:rsidRDefault="00351951" w:rsidP="00351951">
      <w:pPr>
        <w:pStyle w:val="Heading2"/>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 xml:space="preserve">Employability, </w:t>
      </w:r>
      <w:r w:rsidR="00277BD5" w:rsidRPr="008E2CAA">
        <w:rPr>
          <w:rFonts w:ascii="Times New Roman" w:hAnsi="Times New Roman" w:cs="Times New Roman"/>
          <w:b/>
          <w:bCs/>
          <w:sz w:val="24"/>
          <w:szCs w:val="24"/>
          <w:lang w:val="en-GB"/>
        </w:rPr>
        <w:t xml:space="preserve">diverse </w:t>
      </w:r>
      <w:r w:rsidRPr="008E2CAA">
        <w:rPr>
          <w:rFonts w:ascii="Times New Roman" w:hAnsi="Times New Roman" w:cs="Times New Roman"/>
          <w:b/>
          <w:bCs/>
          <w:sz w:val="24"/>
          <w:szCs w:val="24"/>
          <w:lang w:val="en-GB"/>
        </w:rPr>
        <w:t xml:space="preserve">labour market contexts and </w:t>
      </w:r>
      <w:r w:rsidR="00277BD5" w:rsidRPr="008E2CAA">
        <w:rPr>
          <w:rFonts w:ascii="Times New Roman" w:hAnsi="Times New Roman" w:cs="Times New Roman"/>
          <w:b/>
          <w:bCs/>
          <w:sz w:val="24"/>
          <w:szCs w:val="24"/>
          <w:lang w:val="en-GB"/>
        </w:rPr>
        <w:t>heterogenous outcomes</w:t>
      </w:r>
    </w:p>
    <w:p w14:paraId="0321BF28" w14:textId="64545226" w:rsidR="00DB7042" w:rsidRPr="008E2CAA" w:rsidRDefault="00351951" w:rsidP="00DB7042">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A nascent theme that’s emerging in the employability literature (as summarised in section</w:t>
      </w:r>
      <w:r w:rsidR="00277BD5" w:rsidRPr="008E2CAA">
        <w:rPr>
          <w:rFonts w:ascii="Times New Roman" w:hAnsi="Times New Roman" w:cs="Times New Roman"/>
          <w:sz w:val="24"/>
          <w:szCs w:val="24"/>
          <w:lang w:val="en-GB"/>
        </w:rPr>
        <w:t xml:space="preserve"> </w:t>
      </w:r>
      <w:r w:rsidR="00277BD5" w:rsidRPr="008E2CAA">
        <w:rPr>
          <w:rFonts w:ascii="Times New Roman" w:hAnsi="Times New Roman" w:cs="Times New Roman"/>
          <w:sz w:val="24"/>
          <w:szCs w:val="24"/>
          <w:lang w:val="en-GB"/>
        </w:rPr>
        <w:fldChar w:fldCharType="begin"/>
      </w:r>
      <w:r w:rsidR="00277BD5" w:rsidRPr="008E2CAA">
        <w:rPr>
          <w:rFonts w:ascii="Times New Roman" w:hAnsi="Times New Roman" w:cs="Times New Roman"/>
          <w:sz w:val="24"/>
          <w:szCs w:val="24"/>
          <w:lang w:val="en-GB"/>
        </w:rPr>
        <w:instrText xml:space="preserve"> REF _Ref120807344 \r \h </w:instrText>
      </w:r>
      <w:r w:rsidR="004C1DE3" w:rsidRPr="008E2CAA">
        <w:rPr>
          <w:rFonts w:ascii="Times New Roman" w:hAnsi="Times New Roman" w:cs="Times New Roman"/>
          <w:sz w:val="24"/>
          <w:szCs w:val="24"/>
          <w:lang w:val="en-GB"/>
        </w:rPr>
        <w:instrText xml:space="preserve"> \* MERGEFORMAT </w:instrText>
      </w:r>
      <w:r w:rsidR="00277BD5" w:rsidRPr="008E2CAA">
        <w:rPr>
          <w:rFonts w:ascii="Times New Roman" w:hAnsi="Times New Roman" w:cs="Times New Roman"/>
          <w:sz w:val="24"/>
          <w:szCs w:val="24"/>
          <w:lang w:val="en-GB"/>
        </w:rPr>
      </w:r>
      <w:r w:rsidR="00277BD5" w:rsidRPr="008E2CAA">
        <w:rPr>
          <w:rFonts w:ascii="Times New Roman" w:hAnsi="Times New Roman" w:cs="Times New Roman"/>
          <w:sz w:val="24"/>
          <w:szCs w:val="24"/>
          <w:lang w:val="en-GB"/>
        </w:rPr>
        <w:fldChar w:fldCharType="separate"/>
      </w:r>
      <w:r w:rsidR="00277BD5" w:rsidRPr="008E2CAA">
        <w:rPr>
          <w:rFonts w:ascii="Times New Roman" w:hAnsi="Times New Roman" w:cs="Times New Roman"/>
          <w:sz w:val="24"/>
          <w:szCs w:val="24"/>
          <w:lang w:val="en-GB"/>
        </w:rPr>
        <w:t>3.3.1</w:t>
      </w:r>
      <w:r w:rsidR="00277BD5" w:rsidRPr="008E2CAA">
        <w:rPr>
          <w:rFonts w:ascii="Times New Roman" w:hAnsi="Times New Roman" w:cs="Times New Roman"/>
          <w:sz w:val="24"/>
          <w:szCs w:val="24"/>
          <w:lang w:val="en-GB"/>
        </w:rPr>
        <w:fldChar w:fldCharType="end"/>
      </w:r>
      <w:r w:rsidRPr="008E2CAA">
        <w:rPr>
          <w:rFonts w:ascii="Times New Roman" w:hAnsi="Times New Roman" w:cs="Times New Roman"/>
          <w:sz w:val="24"/>
          <w:szCs w:val="24"/>
          <w:lang w:val="en-GB"/>
        </w:rPr>
        <w:t xml:space="preserve">) </w:t>
      </w:r>
      <w:r w:rsidR="00277BD5" w:rsidRPr="008E2CAA">
        <w:rPr>
          <w:rFonts w:ascii="Times New Roman" w:hAnsi="Times New Roman" w:cs="Times New Roman"/>
          <w:sz w:val="24"/>
          <w:szCs w:val="24"/>
          <w:lang w:val="en-GB"/>
        </w:rPr>
        <w:t xml:space="preserve">are analyses of how different </w:t>
      </w:r>
      <w:r w:rsidR="00617556">
        <w:rPr>
          <w:rFonts w:ascii="Times New Roman" w:hAnsi="Times New Roman" w:cs="Times New Roman"/>
          <w:sz w:val="24"/>
          <w:szCs w:val="24"/>
          <w:lang w:val="en-GB"/>
        </w:rPr>
        <w:t>socio</w:t>
      </w:r>
      <w:r w:rsidR="00277BD5" w:rsidRPr="008E2CAA">
        <w:rPr>
          <w:rFonts w:ascii="Times New Roman" w:hAnsi="Times New Roman" w:cs="Times New Roman"/>
          <w:sz w:val="24"/>
          <w:szCs w:val="24"/>
          <w:lang w:val="en-GB"/>
        </w:rPr>
        <w:t xml:space="preserve">economic and institutional contexts influence the incentives of employers and affect the opportunities of prospective graduates. This territorial perspectives chimes with the theoretical criticism of Brown et al (2003) who argued that employability prospects of any individual were always contingent on local labour market conditions. Theoretically, there is need to work on fleshing out more explicitly how employability and labour market outcomes interact with labour market and economic conditions. </w:t>
      </w:r>
      <w:r w:rsidR="00DB7042" w:rsidRPr="008E2CAA">
        <w:rPr>
          <w:rFonts w:ascii="Times New Roman" w:hAnsi="Times New Roman" w:cs="Times New Roman"/>
          <w:sz w:val="24"/>
          <w:szCs w:val="24"/>
          <w:lang w:val="en-GB"/>
        </w:rPr>
        <w:t>Empirically, there is need for more evidence on the magnitude of how graduate attributes translate into labour market outcomes under different economic conditions</w:t>
      </w:r>
      <w:r w:rsidR="00617556">
        <w:rPr>
          <w:rFonts w:ascii="Times New Roman" w:hAnsi="Times New Roman" w:cs="Times New Roman"/>
          <w:sz w:val="24"/>
          <w:szCs w:val="24"/>
          <w:lang w:val="en-GB"/>
        </w:rPr>
        <w:t xml:space="preserve"> and how stakeholders can contribute to it (Hodgson &amp; </w:t>
      </w:r>
      <w:proofErr w:type="spellStart"/>
      <w:r w:rsidR="00617556">
        <w:rPr>
          <w:rFonts w:ascii="Times New Roman" w:hAnsi="Times New Roman" w:cs="Times New Roman"/>
          <w:sz w:val="24"/>
          <w:szCs w:val="24"/>
          <w:lang w:val="en-GB"/>
        </w:rPr>
        <w:t>Spours</w:t>
      </w:r>
      <w:proofErr w:type="spellEnd"/>
      <w:r w:rsidR="00617556">
        <w:rPr>
          <w:rFonts w:ascii="Times New Roman" w:hAnsi="Times New Roman" w:cs="Times New Roman"/>
          <w:sz w:val="24"/>
          <w:szCs w:val="24"/>
          <w:lang w:val="en-GB"/>
        </w:rPr>
        <w:t xml:space="preserve"> 201</w:t>
      </w:r>
      <w:r w:rsidR="004E4619">
        <w:rPr>
          <w:rFonts w:ascii="Times New Roman" w:hAnsi="Times New Roman" w:cs="Times New Roman"/>
          <w:sz w:val="24"/>
          <w:szCs w:val="24"/>
          <w:lang w:val="en-GB"/>
        </w:rPr>
        <w:t>3</w:t>
      </w:r>
      <w:r w:rsidR="00617556">
        <w:rPr>
          <w:rFonts w:ascii="Times New Roman" w:hAnsi="Times New Roman" w:cs="Times New Roman"/>
          <w:sz w:val="24"/>
          <w:szCs w:val="24"/>
          <w:lang w:val="en-GB"/>
        </w:rPr>
        <w:t>)</w:t>
      </w:r>
      <w:r w:rsidR="00DB7042" w:rsidRPr="008E2CAA">
        <w:rPr>
          <w:rFonts w:ascii="Times New Roman" w:hAnsi="Times New Roman" w:cs="Times New Roman"/>
          <w:sz w:val="24"/>
          <w:szCs w:val="24"/>
          <w:lang w:val="en-GB"/>
        </w:rPr>
        <w:t xml:space="preserve">. </w:t>
      </w:r>
    </w:p>
    <w:p w14:paraId="73CD1F2A" w14:textId="6A77BB62" w:rsidR="00DB7042" w:rsidRPr="008E2CAA" w:rsidRDefault="00DB7042" w:rsidP="00DB7042">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lastRenderedPageBreak/>
        <w:t>Getting a firm handle on the territorial perspective is important, as within</w:t>
      </w:r>
      <w:r w:rsidR="00351951" w:rsidRPr="008E2CAA">
        <w:rPr>
          <w:rFonts w:ascii="Times New Roman" w:hAnsi="Times New Roman" w:cs="Times New Roman"/>
          <w:sz w:val="24"/>
          <w:szCs w:val="24"/>
          <w:lang w:val="en-GB"/>
        </w:rPr>
        <w:t xml:space="preserve"> a European context, graduate employment outcomes are varied, ranging from double digit youth unemployment in some parts of Southern Europe to being negligible (for an overview see Scandurra et al, 2021). However, even where graduate labour markets are buoyant, such as in the UK, there is evidence of growing dispersion of graduate outcomes (Walker &amp; Zhu, 2008) and labour market inequalities across sex (</w:t>
      </w:r>
      <w:r w:rsidR="00351951" w:rsidRPr="009C7B09">
        <w:rPr>
          <w:rFonts w:ascii="Times New Roman" w:hAnsi="Times New Roman" w:cs="Times New Roman"/>
          <w:sz w:val="24"/>
          <w:szCs w:val="24"/>
          <w:lang w:val="en-GB"/>
        </w:rPr>
        <w:t>Fortin e</w:t>
      </w:r>
      <w:r w:rsidR="007E5783" w:rsidRPr="009C7B09">
        <w:rPr>
          <w:rFonts w:ascii="Times New Roman" w:hAnsi="Times New Roman" w:cs="Times New Roman"/>
          <w:sz w:val="24"/>
          <w:szCs w:val="24"/>
          <w:lang w:val="en-GB"/>
        </w:rPr>
        <w:t>t</w:t>
      </w:r>
      <w:r w:rsidR="00351951" w:rsidRPr="009C7B09">
        <w:rPr>
          <w:rFonts w:ascii="Times New Roman" w:hAnsi="Times New Roman" w:cs="Times New Roman"/>
          <w:sz w:val="24"/>
          <w:szCs w:val="24"/>
          <w:lang w:val="en-GB"/>
        </w:rPr>
        <w:t xml:space="preserve"> al, 2017</w:t>
      </w:r>
      <w:r w:rsidR="00351951" w:rsidRPr="008E2CAA">
        <w:rPr>
          <w:rFonts w:ascii="Times New Roman" w:hAnsi="Times New Roman" w:cs="Times New Roman"/>
          <w:sz w:val="24"/>
          <w:szCs w:val="24"/>
          <w:lang w:val="en-GB"/>
        </w:rPr>
        <w:t xml:space="preserve">), class (Friedman &amp; </w:t>
      </w:r>
      <w:proofErr w:type="spellStart"/>
      <w:r w:rsidR="00351951" w:rsidRPr="008E2CAA">
        <w:rPr>
          <w:rFonts w:ascii="Times New Roman" w:hAnsi="Times New Roman" w:cs="Times New Roman"/>
          <w:sz w:val="24"/>
          <w:szCs w:val="24"/>
          <w:lang w:val="en-GB"/>
        </w:rPr>
        <w:t>Laurison</w:t>
      </w:r>
      <w:proofErr w:type="spellEnd"/>
      <w:r w:rsidR="00351951" w:rsidRPr="008E2CAA">
        <w:rPr>
          <w:rFonts w:ascii="Times New Roman" w:hAnsi="Times New Roman" w:cs="Times New Roman"/>
          <w:sz w:val="24"/>
          <w:szCs w:val="24"/>
          <w:lang w:val="en-GB"/>
        </w:rPr>
        <w:t>, 2020) and race (</w:t>
      </w:r>
      <w:proofErr w:type="spellStart"/>
      <w:r w:rsidR="00351951" w:rsidRPr="008E2CAA">
        <w:rPr>
          <w:rFonts w:ascii="Times New Roman" w:hAnsi="Times New Roman" w:cs="Times New Roman"/>
          <w:sz w:val="24"/>
          <w:szCs w:val="24"/>
          <w:lang w:val="en-GB"/>
        </w:rPr>
        <w:t>Brynin</w:t>
      </w:r>
      <w:proofErr w:type="spellEnd"/>
      <w:r w:rsidR="004E4619" w:rsidRPr="008E2CAA">
        <w:rPr>
          <w:rFonts w:ascii="Times New Roman" w:hAnsi="Times New Roman" w:cs="Times New Roman"/>
          <w:sz w:val="24"/>
          <w:szCs w:val="24"/>
          <w:lang w:val="en-GB"/>
        </w:rPr>
        <w:t xml:space="preserve"> et al.</w:t>
      </w:r>
      <w:r w:rsidR="00351951" w:rsidRPr="008E2CAA">
        <w:rPr>
          <w:rFonts w:ascii="Times New Roman" w:hAnsi="Times New Roman" w:cs="Times New Roman"/>
          <w:sz w:val="24"/>
          <w:szCs w:val="24"/>
          <w:lang w:val="en-GB"/>
        </w:rPr>
        <w:t>, 201</w:t>
      </w:r>
      <w:r w:rsidR="004E4619" w:rsidRPr="008E2CAA">
        <w:rPr>
          <w:rFonts w:ascii="Times New Roman" w:hAnsi="Times New Roman" w:cs="Times New Roman"/>
          <w:sz w:val="24"/>
          <w:szCs w:val="24"/>
          <w:lang w:val="en-GB"/>
        </w:rPr>
        <w:t>9</w:t>
      </w:r>
      <w:r w:rsidR="00351951"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There are indications of social origin effects in the employability literature (</w:t>
      </w:r>
      <w:r w:rsidRPr="008E2CAA">
        <w:rPr>
          <w:rFonts w:ascii="Times New Roman" w:hAnsi="Times New Roman" w:cs="Times New Roman"/>
          <w:sz w:val="24"/>
          <w:szCs w:val="24"/>
          <w:lang w:val="en-GB"/>
        </w:rPr>
        <w:fldChar w:fldCharType="begin"/>
      </w:r>
      <w:r w:rsidRPr="008E2CAA">
        <w:rPr>
          <w:rFonts w:ascii="Times New Roman" w:hAnsi="Times New Roman" w:cs="Times New Roman"/>
          <w:sz w:val="24"/>
          <w:szCs w:val="24"/>
          <w:lang w:val="en-GB"/>
        </w:rPr>
        <w:instrText xml:space="preserve"> REF _Ref120808003 \r \h </w:instrText>
      </w:r>
      <w:r w:rsidR="004C1DE3" w:rsidRPr="008E2CAA">
        <w:rPr>
          <w:rFonts w:ascii="Times New Roman" w:hAnsi="Times New Roman" w:cs="Times New Roman"/>
          <w:sz w:val="24"/>
          <w:szCs w:val="24"/>
          <w:lang w:val="en-GB"/>
        </w:rPr>
        <w:instrText xml:space="preserve"> \* MERGEFORMAT </w:instrText>
      </w:r>
      <w:r w:rsidRPr="008E2CAA">
        <w:rPr>
          <w:rFonts w:ascii="Times New Roman" w:hAnsi="Times New Roman" w:cs="Times New Roman"/>
          <w:sz w:val="24"/>
          <w:szCs w:val="24"/>
          <w:lang w:val="en-GB"/>
        </w:rPr>
      </w:r>
      <w:r w:rsidRPr="008E2CAA">
        <w:rPr>
          <w:rFonts w:ascii="Times New Roman" w:hAnsi="Times New Roman" w:cs="Times New Roman"/>
          <w:sz w:val="24"/>
          <w:szCs w:val="24"/>
          <w:lang w:val="en-GB"/>
        </w:rPr>
        <w:fldChar w:fldCharType="separate"/>
      </w:r>
      <w:r w:rsidRPr="008E2CAA">
        <w:rPr>
          <w:rFonts w:ascii="Times New Roman" w:hAnsi="Times New Roman" w:cs="Times New Roman"/>
          <w:sz w:val="24"/>
          <w:szCs w:val="24"/>
          <w:lang w:val="en-GB"/>
        </w:rPr>
        <w:t>3.2.1</w:t>
      </w:r>
      <w:r w:rsidRPr="008E2CAA">
        <w:rPr>
          <w:rFonts w:ascii="Times New Roman" w:hAnsi="Times New Roman" w:cs="Times New Roman"/>
          <w:sz w:val="24"/>
          <w:szCs w:val="24"/>
          <w:lang w:val="en-GB"/>
        </w:rPr>
        <w:fldChar w:fldCharType="end"/>
      </w:r>
      <w:r w:rsidRPr="008E2CAA">
        <w:rPr>
          <w:rFonts w:ascii="Times New Roman" w:hAnsi="Times New Roman" w:cs="Times New Roman"/>
          <w:sz w:val="24"/>
          <w:szCs w:val="24"/>
          <w:lang w:val="en-GB"/>
        </w:rPr>
        <w:t xml:space="preserve">) and need for further research into how employability activities might be used to reduce inequality in labour market outcomes. </w:t>
      </w:r>
    </w:p>
    <w:p w14:paraId="023C3870" w14:textId="77777777" w:rsidR="00DB7042" w:rsidRPr="008E2CAA" w:rsidRDefault="00DB7042" w:rsidP="00DB7042">
      <w:pPr>
        <w:pStyle w:val="Heading2"/>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Causal estimates of impact of employability activities</w:t>
      </w:r>
    </w:p>
    <w:p w14:paraId="321A8CFB" w14:textId="3EEDE5CC" w:rsidR="00AE54EB" w:rsidRPr="008E2CAA" w:rsidRDefault="00DB7042" w:rsidP="00DB7042">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HEIs employability programmes are deemed to provide faster transition to employment for graduates. However, most of the studies in the corpus do not assess graduate labour market outcomes empirically, but focus on the characteristics of WBL training, looking at possible benefits for the students in terms of future opportunities on the labour market. An important next step in understanding the impact of employability activities is to conduct more empirical research linking what happens at the level of the HEI with subsequent graduate labour market outcomes. </w:t>
      </w:r>
      <w:r w:rsidR="009C7B09">
        <w:rPr>
          <w:rFonts w:ascii="Times New Roman" w:hAnsi="Times New Roman" w:cs="Times New Roman"/>
          <w:sz w:val="24"/>
          <w:szCs w:val="24"/>
          <w:lang w:val="en-GB"/>
        </w:rPr>
        <w:t>A</w:t>
      </w:r>
      <w:r w:rsidRPr="008E2CAA">
        <w:rPr>
          <w:rFonts w:ascii="Times New Roman" w:hAnsi="Times New Roman" w:cs="Times New Roman"/>
          <w:sz w:val="24"/>
          <w:szCs w:val="24"/>
          <w:lang w:val="en-GB"/>
        </w:rPr>
        <w:t xml:space="preserve"> further difficulty is evaluating whether observed impacts are caused by employability activities or whether </w:t>
      </w:r>
      <w:r w:rsidR="00AE54EB" w:rsidRPr="008E2CAA">
        <w:rPr>
          <w:rFonts w:ascii="Times New Roman" w:hAnsi="Times New Roman" w:cs="Times New Roman"/>
          <w:sz w:val="24"/>
          <w:szCs w:val="24"/>
          <w:lang w:val="en-GB"/>
        </w:rPr>
        <w:t xml:space="preserve">employability rich programmes attract a selected body of students that are aware of employability issues and would have fared better than average in the labour market regardless of the details of the study programmes? Whilst it is well known that achieving or approximating random assignment in education research is difficult, there are numerous examples of such studies in other fields of research on the interaction between education and labour markets, such as active labour market programmes (for an overview see Card et al, 2010). </w:t>
      </w:r>
    </w:p>
    <w:p w14:paraId="5011B2C8" w14:textId="7E9577D3" w:rsidR="00AE54EB" w:rsidRPr="008E2CAA" w:rsidRDefault="00AE54EB" w:rsidP="007E056B">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 xml:space="preserve">A further aspiration to pursue towards a more comprehensive evidence base on the impact of employability activities is identifying differential effects of programmes of varying designs and intensities in different settings. </w:t>
      </w:r>
      <w:r w:rsidR="007E056B" w:rsidRPr="008E2CAA">
        <w:rPr>
          <w:rFonts w:ascii="Times New Roman" w:hAnsi="Times New Roman" w:cs="Times New Roman"/>
          <w:sz w:val="24"/>
          <w:szCs w:val="24"/>
          <w:lang w:val="en-GB"/>
        </w:rPr>
        <w:t>Moreover, there is need for more diverse vantage points that of HEI</w:t>
      </w:r>
      <w:r w:rsidR="00617556">
        <w:rPr>
          <w:rFonts w:ascii="Times New Roman" w:hAnsi="Times New Roman" w:cs="Times New Roman"/>
          <w:sz w:val="24"/>
          <w:szCs w:val="24"/>
          <w:lang w:val="en-GB"/>
        </w:rPr>
        <w:t>s</w:t>
      </w:r>
      <w:r w:rsidR="007E056B"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Only four of the 87 publications have examined the views of all three stakeholders, employers, </w:t>
      </w:r>
      <w:r w:rsidR="00FF795D" w:rsidRPr="008E2CAA">
        <w:rPr>
          <w:rFonts w:ascii="Times New Roman" w:hAnsi="Times New Roman" w:cs="Times New Roman"/>
          <w:sz w:val="24"/>
          <w:szCs w:val="24"/>
          <w:lang w:val="en-GB"/>
        </w:rPr>
        <w:t>students,</w:t>
      </w:r>
      <w:r w:rsidRPr="008E2CAA">
        <w:rPr>
          <w:rFonts w:ascii="Times New Roman" w:hAnsi="Times New Roman" w:cs="Times New Roman"/>
          <w:sz w:val="24"/>
          <w:szCs w:val="24"/>
          <w:lang w:val="en-GB"/>
        </w:rPr>
        <w:t xml:space="preserve"> and HEI providers on the outcomes of specific WBL </w:t>
      </w:r>
      <w:r w:rsidRPr="001C0CA9">
        <w:rPr>
          <w:rFonts w:ascii="Times New Roman" w:hAnsi="Times New Roman" w:cs="Times New Roman"/>
          <w:sz w:val="24"/>
          <w:szCs w:val="24"/>
          <w:lang w:val="en-GB"/>
        </w:rPr>
        <w:t>programmes (Heg</w:t>
      </w:r>
      <w:r w:rsidR="001C0CA9" w:rsidRPr="000576B2">
        <w:rPr>
          <w:rFonts w:ascii="Times New Roman" w:hAnsi="Times New Roman" w:cs="Times New Roman"/>
          <w:sz w:val="24"/>
          <w:szCs w:val="24"/>
          <w:lang w:val="en-GB"/>
        </w:rPr>
        <w:t>a</w:t>
      </w:r>
      <w:r w:rsidRPr="001C0CA9">
        <w:rPr>
          <w:rFonts w:ascii="Times New Roman" w:hAnsi="Times New Roman" w:cs="Times New Roman"/>
          <w:sz w:val="24"/>
          <w:szCs w:val="24"/>
          <w:lang w:val="en-GB"/>
        </w:rPr>
        <w:t>rty &amp; Johnston, 2009;</w:t>
      </w:r>
      <w:r w:rsidRPr="008E2CAA">
        <w:rPr>
          <w:rFonts w:ascii="Times New Roman" w:hAnsi="Times New Roman" w:cs="Times New Roman"/>
          <w:sz w:val="24"/>
          <w:szCs w:val="24"/>
          <w:lang w:val="en-GB"/>
        </w:rPr>
        <w:t xml:space="preserve"> Fletcher-Brown et al., 2015; </w:t>
      </w:r>
      <w:proofErr w:type="spellStart"/>
      <w:r w:rsidRPr="001C0CA9">
        <w:rPr>
          <w:rFonts w:ascii="Times New Roman" w:hAnsi="Times New Roman" w:cs="Times New Roman"/>
          <w:sz w:val="24"/>
          <w:szCs w:val="24"/>
          <w:lang w:val="en-GB"/>
        </w:rPr>
        <w:t>Ishe</w:t>
      </w:r>
      <w:r w:rsidR="001C0CA9" w:rsidRPr="000576B2">
        <w:rPr>
          <w:rFonts w:ascii="Times New Roman" w:hAnsi="Times New Roman" w:cs="Times New Roman"/>
          <w:sz w:val="24"/>
          <w:szCs w:val="24"/>
          <w:lang w:val="en-GB"/>
        </w:rPr>
        <w:t>n</w:t>
      </w:r>
      <w:r w:rsidRPr="001C0CA9">
        <w:rPr>
          <w:rFonts w:ascii="Times New Roman" w:hAnsi="Times New Roman" w:cs="Times New Roman"/>
          <w:sz w:val="24"/>
          <w:szCs w:val="24"/>
          <w:lang w:val="en-GB"/>
        </w:rPr>
        <w:t>goma</w:t>
      </w:r>
      <w:proofErr w:type="spellEnd"/>
      <w:r w:rsidRPr="001C0CA9">
        <w:rPr>
          <w:rFonts w:ascii="Times New Roman" w:hAnsi="Times New Roman" w:cs="Times New Roman"/>
          <w:sz w:val="24"/>
          <w:szCs w:val="24"/>
          <w:lang w:val="en-GB"/>
        </w:rPr>
        <w:t xml:space="preserve"> &amp; </w:t>
      </w:r>
      <w:proofErr w:type="spellStart"/>
      <w:r w:rsidRPr="001C0CA9">
        <w:rPr>
          <w:rFonts w:ascii="Times New Roman" w:hAnsi="Times New Roman" w:cs="Times New Roman"/>
          <w:sz w:val="24"/>
          <w:szCs w:val="24"/>
          <w:lang w:val="en-GB"/>
        </w:rPr>
        <w:t>Vaaland</w:t>
      </w:r>
      <w:proofErr w:type="spellEnd"/>
      <w:r w:rsidRPr="001C0CA9">
        <w:rPr>
          <w:rFonts w:ascii="Times New Roman" w:hAnsi="Times New Roman" w:cs="Times New Roman"/>
          <w:sz w:val="24"/>
          <w:szCs w:val="24"/>
          <w:lang w:val="en-GB"/>
        </w:rPr>
        <w:t>, 2016; Reinhard et al., 2016). Most of the studies presented examine only the learners’ perspective or occasio</w:t>
      </w:r>
      <w:r w:rsidRPr="008E2CAA">
        <w:rPr>
          <w:rFonts w:ascii="Times New Roman" w:hAnsi="Times New Roman" w:cs="Times New Roman"/>
          <w:sz w:val="24"/>
          <w:szCs w:val="24"/>
          <w:lang w:val="en-GB"/>
        </w:rPr>
        <w:t xml:space="preserve">nally along with that of the HEI provider. </w:t>
      </w:r>
    </w:p>
    <w:p w14:paraId="29A48727" w14:textId="77777777" w:rsidR="00D01289" w:rsidRPr="008E2CAA" w:rsidRDefault="00D01289" w:rsidP="00277BD5">
      <w:pPr>
        <w:jc w:val="both"/>
        <w:rPr>
          <w:rFonts w:ascii="Times New Roman" w:hAnsi="Times New Roman" w:cs="Times New Roman"/>
          <w:sz w:val="24"/>
          <w:szCs w:val="24"/>
          <w:lang w:val="en-GB"/>
        </w:rPr>
      </w:pPr>
    </w:p>
    <w:p w14:paraId="72BB0B7D" w14:textId="3C19A0F9" w:rsidR="0044493E" w:rsidRPr="008E2CAA" w:rsidRDefault="0044493E" w:rsidP="0044493E">
      <w:pPr>
        <w:pStyle w:val="Heading1"/>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Conclusion</w:t>
      </w:r>
    </w:p>
    <w:p w14:paraId="7639D246" w14:textId="755496A7" w:rsidR="00F71527" w:rsidRPr="008E2CAA" w:rsidRDefault="00F71527" w:rsidP="00F71527">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The aim of this paper was to examine current academic understanding of how and to what extent dedicated employability activities in</w:t>
      </w:r>
      <w:r w:rsidR="005123E1" w:rsidRPr="008E2CAA">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HEIs facilitate employability and ultimately graduate labour market outcomes. We performed a systematic literature </w:t>
      </w:r>
      <w:r w:rsidR="005123E1" w:rsidRPr="008E2CAA">
        <w:rPr>
          <w:rFonts w:ascii="Times New Roman" w:hAnsi="Times New Roman" w:cs="Times New Roman"/>
          <w:sz w:val="24"/>
          <w:szCs w:val="24"/>
          <w:lang w:val="en-GB"/>
        </w:rPr>
        <w:t>review</w:t>
      </w:r>
      <w:r w:rsidRPr="008E2CAA">
        <w:rPr>
          <w:rFonts w:ascii="Times New Roman" w:hAnsi="Times New Roman" w:cs="Times New Roman"/>
          <w:sz w:val="24"/>
          <w:szCs w:val="24"/>
          <w:lang w:val="en-GB"/>
        </w:rPr>
        <w:t xml:space="preserve"> on employability published in peer reviewed academic journals and we </w:t>
      </w:r>
      <w:r w:rsidR="005123E1" w:rsidRPr="008E2CAA">
        <w:rPr>
          <w:rFonts w:ascii="Times New Roman" w:hAnsi="Times New Roman" w:cs="Times New Roman"/>
          <w:sz w:val="24"/>
          <w:szCs w:val="24"/>
          <w:lang w:val="en-GB"/>
        </w:rPr>
        <w:t xml:space="preserve">reviewed 156 papers </w:t>
      </w:r>
      <w:r w:rsidRPr="008E2CAA">
        <w:rPr>
          <w:rFonts w:ascii="Times New Roman" w:hAnsi="Times New Roman" w:cs="Times New Roman"/>
          <w:sz w:val="24"/>
          <w:szCs w:val="24"/>
          <w:lang w:val="en-GB"/>
        </w:rPr>
        <w:t>and</w:t>
      </w:r>
      <w:r w:rsidR="005123E1" w:rsidRPr="008E2CAA">
        <w:rPr>
          <w:rFonts w:ascii="Times New Roman" w:hAnsi="Times New Roman" w:cs="Times New Roman"/>
          <w:sz w:val="24"/>
          <w:szCs w:val="24"/>
          <w:lang w:val="en-GB"/>
        </w:rPr>
        <w:t xml:space="preserve"> ultimately included 87 papers for </w:t>
      </w:r>
      <w:r w:rsidRPr="008E2CAA">
        <w:rPr>
          <w:rFonts w:ascii="Times New Roman" w:hAnsi="Times New Roman" w:cs="Times New Roman"/>
          <w:sz w:val="24"/>
          <w:szCs w:val="24"/>
          <w:lang w:val="en-GB"/>
        </w:rPr>
        <w:t>extract</w:t>
      </w:r>
      <w:r w:rsidR="005123E1" w:rsidRPr="008E2CAA">
        <w:rPr>
          <w:rFonts w:ascii="Times New Roman" w:hAnsi="Times New Roman" w:cs="Times New Roman"/>
          <w:sz w:val="24"/>
          <w:szCs w:val="24"/>
          <w:lang w:val="en-GB"/>
        </w:rPr>
        <w:t>ion</w:t>
      </w:r>
      <w:r w:rsidRPr="008E2CAA">
        <w:rPr>
          <w:rFonts w:ascii="Times New Roman" w:hAnsi="Times New Roman" w:cs="Times New Roman"/>
          <w:sz w:val="24"/>
          <w:szCs w:val="24"/>
          <w:lang w:val="en-GB"/>
        </w:rPr>
        <w:t xml:space="preserve">. </w:t>
      </w:r>
      <w:r w:rsidR="00021E25" w:rsidRPr="00622BF0">
        <w:rPr>
          <w:rFonts w:ascii="Times New Roman" w:hAnsi="Times New Roman" w:cs="Times New Roman"/>
          <w:sz w:val="24"/>
          <w:szCs w:val="24"/>
          <w:lang w:val="en-GB"/>
        </w:rPr>
        <w:t xml:space="preserve">More than half </w:t>
      </w:r>
      <w:r w:rsidR="00021E25" w:rsidRPr="008E2CAA">
        <w:rPr>
          <w:rFonts w:ascii="Times New Roman" w:hAnsi="Times New Roman" w:cs="Times New Roman"/>
          <w:sz w:val="24"/>
          <w:szCs w:val="24"/>
          <w:lang w:val="en-GB"/>
        </w:rPr>
        <w:t>(56%)</w:t>
      </w:r>
      <w:r w:rsidRPr="008E2CAA">
        <w:rPr>
          <w:rFonts w:ascii="Times New Roman" w:hAnsi="Times New Roman" w:cs="Times New Roman"/>
          <w:sz w:val="24"/>
          <w:szCs w:val="24"/>
          <w:lang w:val="en-GB"/>
        </w:rPr>
        <w:t xml:space="preserve"> </w:t>
      </w:r>
      <w:r w:rsidR="00021E25">
        <w:rPr>
          <w:rFonts w:ascii="Times New Roman" w:hAnsi="Times New Roman" w:cs="Times New Roman"/>
          <w:sz w:val="24"/>
          <w:szCs w:val="24"/>
          <w:lang w:val="en-GB"/>
        </w:rPr>
        <w:t>were</w:t>
      </w:r>
      <w:r w:rsidR="00C64165" w:rsidRPr="008E2CAA">
        <w:rPr>
          <w:rFonts w:ascii="Times New Roman" w:hAnsi="Times New Roman" w:cs="Times New Roman"/>
          <w:sz w:val="24"/>
          <w:szCs w:val="24"/>
          <w:lang w:val="en-GB"/>
        </w:rPr>
        <w:t xml:space="preserve"> published</w:t>
      </w:r>
      <w:r w:rsidR="00C64165" w:rsidRPr="00622BF0">
        <w:rPr>
          <w:rFonts w:ascii="Times New Roman" w:hAnsi="Times New Roman" w:cs="Times New Roman"/>
          <w:sz w:val="24"/>
          <w:szCs w:val="24"/>
          <w:lang w:val="en-GB"/>
        </w:rPr>
        <w:t xml:space="preserve"> within the last 7 y</w:t>
      </w:r>
      <w:r w:rsidR="00021E25" w:rsidRPr="00622BF0">
        <w:rPr>
          <w:rFonts w:ascii="Times New Roman" w:hAnsi="Times New Roman" w:cs="Times New Roman"/>
          <w:sz w:val="24"/>
          <w:szCs w:val="24"/>
          <w:lang w:val="en-GB"/>
        </w:rPr>
        <w:t>ears</w:t>
      </w:r>
      <w:r w:rsidRPr="008E2CAA">
        <w:rPr>
          <w:rFonts w:ascii="Times New Roman" w:hAnsi="Times New Roman" w:cs="Times New Roman"/>
          <w:sz w:val="24"/>
          <w:szCs w:val="24"/>
          <w:lang w:val="en-GB"/>
        </w:rPr>
        <w:t>. They are predominantly case studies of employability activities in UK and Australian HEIs and are skewed towards placements and internships. We grouped the literature into 3 broad themes in line with who was the focal stakeholder of the study: students, HEIs or employers. Further sub-themes were identifie</w:t>
      </w:r>
      <w:r w:rsidR="005123E1" w:rsidRPr="008E2CAA">
        <w:rPr>
          <w:rFonts w:ascii="Times New Roman" w:hAnsi="Times New Roman" w:cs="Times New Roman"/>
          <w:sz w:val="24"/>
          <w:szCs w:val="24"/>
          <w:lang w:val="en-GB"/>
        </w:rPr>
        <w:t>d to guide the discussion of the corpus.</w:t>
      </w:r>
      <w:r w:rsidRPr="008E2CAA">
        <w:rPr>
          <w:rFonts w:ascii="Times New Roman" w:hAnsi="Times New Roman" w:cs="Times New Roman"/>
          <w:sz w:val="24"/>
          <w:szCs w:val="24"/>
          <w:lang w:val="en-GB"/>
        </w:rPr>
        <w:t xml:space="preserve"> </w:t>
      </w:r>
    </w:p>
    <w:p w14:paraId="72F2E6DC" w14:textId="4722D369" w:rsidR="004F0B80" w:rsidRPr="008E2CAA" w:rsidRDefault="00F71527" w:rsidP="00F71527">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lastRenderedPageBreak/>
        <w:t xml:space="preserve">The literature suggests all stakeholders value employability activities for similar reasons. They are seen as vital part of HEI education programmes, facilitating the development of diverse skills that are desirable in the labour market as well as de-risking labour market entry for students and appointments for employers by alleviating information asymmetries. </w:t>
      </w:r>
      <w:r w:rsidR="004F0B80" w:rsidRPr="008E2CAA">
        <w:rPr>
          <w:rFonts w:ascii="Times New Roman" w:hAnsi="Times New Roman" w:cs="Times New Roman"/>
          <w:sz w:val="24"/>
          <w:szCs w:val="24"/>
          <w:lang w:val="en-GB"/>
        </w:rPr>
        <w:t>To strengthen the evidence</w:t>
      </w:r>
      <w:r w:rsidR="007E5783">
        <w:rPr>
          <w:rFonts w:ascii="Times New Roman" w:hAnsi="Times New Roman" w:cs="Times New Roman"/>
          <w:sz w:val="24"/>
          <w:szCs w:val="24"/>
          <w:lang w:val="en-GB"/>
        </w:rPr>
        <w:t>-</w:t>
      </w:r>
      <w:proofErr w:type="gramStart"/>
      <w:r w:rsidR="004F0B80" w:rsidRPr="008E2CAA">
        <w:rPr>
          <w:rFonts w:ascii="Times New Roman" w:hAnsi="Times New Roman" w:cs="Times New Roman"/>
          <w:sz w:val="24"/>
          <w:szCs w:val="24"/>
          <w:lang w:val="en-GB"/>
        </w:rPr>
        <w:t>base</w:t>
      </w:r>
      <w:proofErr w:type="gramEnd"/>
      <w:r w:rsidR="004F0B80" w:rsidRPr="008E2CAA">
        <w:rPr>
          <w:rFonts w:ascii="Times New Roman" w:hAnsi="Times New Roman" w:cs="Times New Roman"/>
          <w:sz w:val="24"/>
          <w:szCs w:val="24"/>
          <w:lang w:val="en-GB"/>
        </w:rPr>
        <w:t xml:space="preserve"> on the impact of employability activities in HEIs we suggest several avenues for future research. There is need to study a more comprehensive range of employability activities, in particular various forms of </w:t>
      </w:r>
      <w:r w:rsidR="005123E1" w:rsidRPr="008E2CAA">
        <w:rPr>
          <w:rFonts w:ascii="Times New Roman" w:hAnsi="Times New Roman" w:cs="Times New Roman"/>
          <w:sz w:val="24"/>
          <w:szCs w:val="24"/>
          <w:lang w:val="en-GB"/>
        </w:rPr>
        <w:t xml:space="preserve">embedded </w:t>
      </w:r>
      <w:r w:rsidR="004F0B80" w:rsidRPr="008E2CAA">
        <w:rPr>
          <w:rFonts w:ascii="Times New Roman" w:hAnsi="Times New Roman" w:cs="Times New Roman"/>
          <w:sz w:val="24"/>
          <w:szCs w:val="24"/>
          <w:lang w:val="en-GB"/>
        </w:rPr>
        <w:t xml:space="preserve">employability </w:t>
      </w:r>
      <w:r w:rsidR="005123E1" w:rsidRPr="008E2CAA">
        <w:rPr>
          <w:rFonts w:ascii="Times New Roman" w:hAnsi="Times New Roman" w:cs="Times New Roman"/>
          <w:sz w:val="24"/>
          <w:szCs w:val="24"/>
          <w:lang w:val="en-GB"/>
        </w:rPr>
        <w:t>work</w:t>
      </w:r>
      <w:r w:rsidR="004F0B80" w:rsidRPr="008E2CAA">
        <w:rPr>
          <w:rFonts w:ascii="Times New Roman" w:hAnsi="Times New Roman" w:cs="Times New Roman"/>
          <w:sz w:val="24"/>
          <w:szCs w:val="24"/>
          <w:lang w:val="en-GB"/>
        </w:rPr>
        <w:t>. The relative nature of employability</w:t>
      </w:r>
      <w:r w:rsidR="005123E1" w:rsidRPr="008E2CAA">
        <w:rPr>
          <w:rFonts w:ascii="Times New Roman" w:hAnsi="Times New Roman" w:cs="Times New Roman"/>
          <w:sz w:val="24"/>
          <w:szCs w:val="24"/>
          <w:lang w:val="en-GB"/>
        </w:rPr>
        <w:t xml:space="preserve"> (Brown, 2003)</w:t>
      </w:r>
      <w:r w:rsidR="004F0B80" w:rsidRPr="008E2CAA">
        <w:rPr>
          <w:rFonts w:ascii="Times New Roman" w:hAnsi="Times New Roman" w:cs="Times New Roman"/>
          <w:sz w:val="24"/>
          <w:szCs w:val="24"/>
          <w:lang w:val="en-GB"/>
        </w:rPr>
        <w:t xml:space="preserve"> is under </w:t>
      </w:r>
      <w:r w:rsidR="005123E1" w:rsidRPr="008E2CAA">
        <w:rPr>
          <w:rFonts w:ascii="Times New Roman" w:hAnsi="Times New Roman" w:cs="Times New Roman"/>
          <w:sz w:val="24"/>
          <w:szCs w:val="24"/>
          <w:lang w:val="en-GB"/>
        </w:rPr>
        <w:t>theorised,</w:t>
      </w:r>
      <w:r w:rsidR="004F0B80" w:rsidRPr="008E2CAA">
        <w:rPr>
          <w:rFonts w:ascii="Times New Roman" w:hAnsi="Times New Roman" w:cs="Times New Roman"/>
          <w:sz w:val="24"/>
          <w:szCs w:val="24"/>
          <w:lang w:val="en-GB"/>
        </w:rPr>
        <w:t xml:space="preserve"> and it is important to identify explicitly how a) economic context</w:t>
      </w:r>
      <w:r w:rsidR="005123E1" w:rsidRPr="008E2CAA">
        <w:rPr>
          <w:rFonts w:ascii="Times New Roman" w:hAnsi="Times New Roman" w:cs="Times New Roman"/>
          <w:sz w:val="24"/>
          <w:szCs w:val="24"/>
          <w:lang w:val="en-GB"/>
        </w:rPr>
        <w:t>s</w:t>
      </w:r>
      <w:r w:rsidR="004F0B80" w:rsidRPr="008E2CAA">
        <w:rPr>
          <w:rFonts w:ascii="Times New Roman" w:hAnsi="Times New Roman" w:cs="Times New Roman"/>
          <w:sz w:val="24"/>
          <w:szCs w:val="24"/>
          <w:lang w:val="en-GB"/>
        </w:rPr>
        <w:t xml:space="preserve"> influences outcomes and b) how socioeconomic backgrounds give rise to inequality in employability. F</w:t>
      </w:r>
      <w:r w:rsidR="005123E1" w:rsidRPr="008E2CAA">
        <w:rPr>
          <w:rFonts w:ascii="Times New Roman" w:hAnsi="Times New Roman" w:cs="Times New Roman"/>
          <w:sz w:val="24"/>
          <w:szCs w:val="24"/>
          <w:lang w:val="en-GB"/>
        </w:rPr>
        <w:t>inally,</w:t>
      </w:r>
      <w:r w:rsidR="004F0B80" w:rsidRPr="008E2CAA">
        <w:rPr>
          <w:rFonts w:ascii="Times New Roman" w:hAnsi="Times New Roman" w:cs="Times New Roman"/>
          <w:sz w:val="24"/>
          <w:szCs w:val="24"/>
          <w:lang w:val="en-GB"/>
        </w:rPr>
        <w:t xml:space="preserve"> it is</w:t>
      </w:r>
      <w:r w:rsidR="005123E1" w:rsidRPr="008E2CAA">
        <w:rPr>
          <w:rFonts w:ascii="Times New Roman" w:hAnsi="Times New Roman" w:cs="Times New Roman"/>
          <w:sz w:val="24"/>
          <w:szCs w:val="24"/>
          <w:lang w:val="en-GB"/>
        </w:rPr>
        <w:t xml:space="preserve"> crucial</w:t>
      </w:r>
      <w:r w:rsidR="004F0B80" w:rsidRPr="008E2CAA">
        <w:rPr>
          <w:rFonts w:ascii="Times New Roman" w:hAnsi="Times New Roman" w:cs="Times New Roman"/>
          <w:sz w:val="24"/>
          <w:szCs w:val="24"/>
          <w:lang w:val="en-GB"/>
        </w:rPr>
        <w:t xml:space="preserve"> to strengthen the research design of empirical evaluations of employability activities to include outcomes, control for selection effects and determine the relative effectiveness of different approaches. </w:t>
      </w:r>
    </w:p>
    <w:p w14:paraId="06D817C3" w14:textId="2B144AD7" w:rsidR="00F71527" w:rsidRPr="008E2CAA" w:rsidRDefault="00F71527" w:rsidP="00F71527">
      <w:pPr>
        <w:jc w:val="both"/>
        <w:rPr>
          <w:rFonts w:ascii="Times New Roman" w:hAnsi="Times New Roman" w:cs="Times New Roman"/>
          <w:sz w:val="24"/>
          <w:szCs w:val="24"/>
          <w:lang w:val="en-GB"/>
        </w:rPr>
      </w:pPr>
    </w:p>
    <w:p w14:paraId="136D13C4" w14:textId="2F0C3CFF" w:rsidR="00E552D2" w:rsidRPr="008E2CAA" w:rsidRDefault="00E552D2" w:rsidP="00E552D2">
      <w:pPr>
        <w:pStyle w:val="Heading1"/>
        <w:rPr>
          <w:rFonts w:ascii="Times New Roman" w:hAnsi="Times New Roman" w:cs="Times New Roman"/>
          <w:b/>
          <w:bCs/>
          <w:sz w:val="24"/>
          <w:szCs w:val="24"/>
          <w:lang w:val="en-GB"/>
        </w:rPr>
      </w:pPr>
      <w:r w:rsidRPr="008E2CAA">
        <w:rPr>
          <w:rFonts w:ascii="Times New Roman" w:hAnsi="Times New Roman" w:cs="Times New Roman"/>
          <w:b/>
          <w:bCs/>
          <w:sz w:val="24"/>
          <w:szCs w:val="24"/>
          <w:lang w:val="en-GB"/>
        </w:rPr>
        <w:t>References</w:t>
      </w:r>
    </w:p>
    <w:p w14:paraId="038CC421" w14:textId="4A4CD006" w:rsidR="002B3835" w:rsidRPr="000576B2" w:rsidRDefault="002B3835" w:rsidP="00277BD5">
      <w:pPr>
        <w:jc w:val="both"/>
        <w:rPr>
          <w:rFonts w:ascii="Times New Roman" w:hAnsi="Times New Roman" w:cs="Times New Roman"/>
          <w:sz w:val="24"/>
          <w:szCs w:val="24"/>
          <w:lang w:val="en-GB"/>
        </w:rPr>
      </w:pPr>
    </w:p>
    <w:p w14:paraId="7D4E0B76" w14:textId="6AA3652D" w:rsidR="004E4619" w:rsidRPr="004E4619" w:rsidRDefault="004E4619" w:rsidP="004E4619">
      <w:pPr>
        <w:jc w:val="both"/>
        <w:rPr>
          <w:rFonts w:ascii="Times New Roman" w:hAnsi="Times New Roman" w:cs="Times New Roman"/>
          <w:sz w:val="24"/>
          <w:szCs w:val="24"/>
          <w:lang w:val="en-GB"/>
        </w:rPr>
      </w:pPr>
      <w:proofErr w:type="spellStart"/>
      <w:r w:rsidRPr="004E4619">
        <w:rPr>
          <w:rFonts w:ascii="Times New Roman" w:hAnsi="Times New Roman" w:cs="Times New Roman"/>
          <w:sz w:val="24"/>
          <w:szCs w:val="24"/>
          <w:lang w:val="en-GB"/>
        </w:rPr>
        <w:t>Brynin</w:t>
      </w:r>
      <w:proofErr w:type="spellEnd"/>
      <w:r w:rsidRPr="004E4619">
        <w:rPr>
          <w:rFonts w:ascii="Times New Roman" w:hAnsi="Times New Roman" w:cs="Times New Roman"/>
          <w:sz w:val="24"/>
          <w:szCs w:val="24"/>
          <w:lang w:val="en-GB"/>
        </w:rPr>
        <w:t xml:space="preserve">, M., Longhi, S., </w:t>
      </w:r>
      <w:proofErr w:type="spellStart"/>
      <w:r w:rsidRPr="004E4619">
        <w:rPr>
          <w:rFonts w:ascii="Times New Roman" w:hAnsi="Times New Roman" w:cs="Times New Roman"/>
          <w:sz w:val="24"/>
          <w:szCs w:val="24"/>
          <w:lang w:val="en-GB"/>
        </w:rPr>
        <w:t>Zwysen</w:t>
      </w:r>
      <w:proofErr w:type="spellEnd"/>
      <w:r w:rsidRPr="004E4619">
        <w:rPr>
          <w:rFonts w:ascii="Times New Roman" w:hAnsi="Times New Roman" w:cs="Times New Roman"/>
          <w:sz w:val="24"/>
          <w:szCs w:val="24"/>
          <w:lang w:val="en-GB"/>
        </w:rPr>
        <w:t xml:space="preserve">, W. (2019) The diversification of inequality. </w:t>
      </w:r>
      <w:r w:rsidRPr="008E2CAA">
        <w:rPr>
          <w:rFonts w:ascii="Times New Roman" w:hAnsi="Times New Roman" w:cs="Times New Roman"/>
          <w:i/>
          <w:iCs/>
          <w:sz w:val="24"/>
          <w:szCs w:val="24"/>
          <w:lang w:val="en-GB"/>
        </w:rPr>
        <w:t>British Journal of Sociology</w:t>
      </w:r>
      <w:r w:rsidRPr="004E4619">
        <w:rPr>
          <w:rFonts w:ascii="Times New Roman" w:hAnsi="Times New Roman" w:cs="Times New Roman"/>
          <w:sz w:val="24"/>
          <w:szCs w:val="24"/>
          <w:lang w:val="en-GB"/>
        </w:rPr>
        <w:t xml:space="preserve">, 70 (1). pp. 70-89. </w:t>
      </w:r>
      <w:r>
        <w:rPr>
          <w:rFonts w:ascii="Times New Roman" w:hAnsi="Times New Roman" w:cs="Times New Roman"/>
          <w:sz w:val="24"/>
          <w:szCs w:val="24"/>
          <w:lang w:val="en-GB"/>
        </w:rPr>
        <w:t>DOI</w:t>
      </w:r>
      <w:r w:rsidRPr="004E4619">
        <w:rPr>
          <w:rFonts w:ascii="Times New Roman" w:hAnsi="Times New Roman" w:cs="Times New Roman"/>
          <w:sz w:val="24"/>
          <w:szCs w:val="24"/>
          <w:lang w:val="en-GB"/>
        </w:rPr>
        <w:t>: https://dx.doi.org/10.1111/1468-4446.12341</w:t>
      </w:r>
    </w:p>
    <w:p w14:paraId="24A33529" w14:textId="34DB638C"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Brown, P., </w:t>
      </w:r>
      <w:proofErr w:type="spellStart"/>
      <w:r w:rsidRPr="004E4619">
        <w:rPr>
          <w:rFonts w:ascii="Times New Roman" w:hAnsi="Times New Roman" w:cs="Times New Roman"/>
          <w:sz w:val="24"/>
          <w:szCs w:val="24"/>
          <w:lang w:val="en-GB"/>
        </w:rPr>
        <w:t>Hesketh</w:t>
      </w:r>
      <w:proofErr w:type="spellEnd"/>
      <w:r w:rsidRPr="004E4619">
        <w:rPr>
          <w:rFonts w:ascii="Times New Roman" w:hAnsi="Times New Roman" w:cs="Times New Roman"/>
          <w:sz w:val="24"/>
          <w:szCs w:val="24"/>
          <w:lang w:val="en-GB"/>
        </w:rPr>
        <w:t xml:space="preserve">, A., &amp; </w:t>
      </w:r>
      <w:proofErr w:type="spellStart"/>
      <w:r w:rsidRPr="004E4619">
        <w:rPr>
          <w:rFonts w:ascii="Times New Roman" w:hAnsi="Times New Roman" w:cs="Times New Roman"/>
          <w:sz w:val="24"/>
          <w:szCs w:val="24"/>
          <w:lang w:val="en-GB"/>
        </w:rPr>
        <w:t>Wiliams</w:t>
      </w:r>
      <w:proofErr w:type="spellEnd"/>
      <w:r w:rsidRPr="004E4619">
        <w:rPr>
          <w:rFonts w:ascii="Times New Roman" w:hAnsi="Times New Roman" w:cs="Times New Roman"/>
          <w:sz w:val="24"/>
          <w:szCs w:val="24"/>
          <w:lang w:val="en-GB"/>
        </w:rPr>
        <w:t xml:space="preserve">, S. (2003). Employability in a Knowledge-driven Economy. </w:t>
      </w:r>
      <w:r w:rsidRPr="008E2CAA">
        <w:rPr>
          <w:rFonts w:ascii="Times New Roman" w:hAnsi="Times New Roman" w:cs="Times New Roman"/>
          <w:i/>
          <w:iCs/>
          <w:sz w:val="24"/>
          <w:szCs w:val="24"/>
          <w:lang w:val="en-GB"/>
        </w:rPr>
        <w:t>Journal of Education and Work</w:t>
      </w:r>
      <w:r w:rsidRPr="004E4619">
        <w:rPr>
          <w:rFonts w:ascii="Times New Roman" w:hAnsi="Times New Roman" w:cs="Times New Roman"/>
          <w:sz w:val="24"/>
          <w:szCs w:val="24"/>
          <w:lang w:val="en-GB"/>
        </w:rPr>
        <w:t>, 16(2), 107-126.</w:t>
      </w:r>
    </w:p>
    <w:p w14:paraId="16E68520" w14:textId="5207B630" w:rsidR="00132659" w:rsidRPr="004E4619" w:rsidRDefault="00132659" w:rsidP="00132659">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Card, D., </w:t>
      </w:r>
      <w:proofErr w:type="spellStart"/>
      <w:r w:rsidRPr="004E4619">
        <w:rPr>
          <w:rFonts w:ascii="Times New Roman" w:hAnsi="Times New Roman" w:cs="Times New Roman"/>
          <w:sz w:val="24"/>
          <w:szCs w:val="24"/>
          <w:lang w:val="en-GB"/>
        </w:rPr>
        <w:t>Kluve</w:t>
      </w:r>
      <w:proofErr w:type="spellEnd"/>
      <w:r w:rsidRPr="004E4619">
        <w:rPr>
          <w:rFonts w:ascii="Times New Roman" w:hAnsi="Times New Roman" w:cs="Times New Roman"/>
          <w:sz w:val="24"/>
          <w:szCs w:val="24"/>
          <w:lang w:val="en-GB"/>
        </w:rPr>
        <w:t xml:space="preserve">, J., &amp; Weber, A. (2010). Active labour market policy evaluations: A meta‐analysis. </w:t>
      </w:r>
      <w:r w:rsidRPr="008E2CAA">
        <w:rPr>
          <w:rFonts w:ascii="Times New Roman" w:hAnsi="Times New Roman" w:cs="Times New Roman"/>
          <w:i/>
          <w:iCs/>
          <w:sz w:val="24"/>
          <w:szCs w:val="24"/>
          <w:lang w:val="en-GB"/>
        </w:rPr>
        <w:t xml:space="preserve">The </w:t>
      </w:r>
      <w:r w:rsidR="004E4619">
        <w:rPr>
          <w:rFonts w:ascii="Times New Roman" w:hAnsi="Times New Roman" w:cs="Times New Roman"/>
          <w:i/>
          <w:iCs/>
          <w:sz w:val="24"/>
          <w:szCs w:val="24"/>
          <w:lang w:val="en-GB"/>
        </w:rPr>
        <w:t>E</w:t>
      </w:r>
      <w:r w:rsidRPr="008E2CAA">
        <w:rPr>
          <w:rFonts w:ascii="Times New Roman" w:hAnsi="Times New Roman" w:cs="Times New Roman"/>
          <w:i/>
          <w:iCs/>
          <w:sz w:val="24"/>
          <w:szCs w:val="24"/>
          <w:lang w:val="en-GB"/>
        </w:rPr>
        <w:t xml:space="preserve">conomic </w:t>
      </w:r>
      <w:r w:rsidR="004E4619">
        <w:rPr>
          <w:rFonts w:ascii="Times New Roman" w:hAnsi="Times New Roman" w:cs="Times New Roman"/>
          <w:i/>
          <w:iCs/>
          <w:sz w:val="24"/>
          <w:szCs w:val="24"/>
          <w:lang w:val="en-GB"/>
        </w:rPr>
        <w:t>J</w:t>
      </w:r>
      <w:r w:rsidRPr="008E2CAA">
        <w:rPr>
          <w:rFonts w:ascii="Times New Roman" w:hAnsi="Times New Roman" w:cs="Times New Roman"/>
          <w:i/>
          <w:iCs/>
          <w:sz w:val="24"/>
          <w:szCs w:val="24"/>
          <w:lang w:val="en-GB"/>
        </w:rPr>
        <w:t>ournal</w:t>
      </w:r>
      <w:r w:rsidRPr="004E4619">
        <w:rPr>
          <w:rFonts w:ascii="Times New Roman" w:hAnsi="Times New Roman" w:cs="Times New Roman"/>
          <w:sz w:val="24"/>
          <w:szCs w:val="24"/>
          <w:lang w:val="en-GB"/>
        </w:rPr>
        <w:t xml:space="preserve">, 120(548), F452-F477. </w:t>
      </w:r>
    </w:p>
    <w:p w14:paraId="243B3E16" w14:textId="77777777"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Cheng, M., </w:t>
      </w:r>
      <w:proofErr w:type="spellStart"/>
      <w:r w:rsidRPr="004E4619">
        <w:rPr>
          <w:rFonts w:ascii="Times New Roman" w:hAnsi="Times New Roman" w:cs="Times New Roman"/>
          <w:sz w:val="24"/>
          <w:szCs w:val="24"/>
          <w:lang w:val="en-GB"/>
        </w:rPr>
        <w:t>Adekola</w:t>
      </w:r>
      <w:proofErr w:type="spellEnd"/>
      <w:r w:rsidRPr="004E4619">
        <w:rPr>
          <w:rFonts w:ascii="Times New Roman" w:hAnsi="Times New Roman" w:cs="Times New Roman"/>
          <w:sz w:val="24"/>
          <w:szCs w:val="24"/>
          <w:lang w:val="en-GB"/>
        </w:rPr>
        <w:t xml:space="preserve">, O., Albia, J., Cai, S. (2022) Employability in higher education: a review of key stakeholders’ perspectives, </w:t>
      </w:r>
      <w:r w:rsidRPr="008E2CAA">
        <w:rPr>
          <w:rFonts w:ascii="Times New Roman" w:hAnsi="Times New Roman" w:cs="Times New Roman"/>
          <w:i/>
          <w:iCs/>
          <w:sz w:val="24"/>
          <w:szCs w:val="24"/>
          <w:lang w:val="en-GB"/>
        </w:rPr>
        <w:t>Higher Education Evaluation and Development</w:t>
      </w:r>
      <w:r w:rsidRPr="004E4619">
        <w:rPr>
          <w:rFonts w:ascii="Times New Roman" w:hAnsi="Times New Roman" w:cs="Times New Roman"/>
          <w:sz w:val="24"/>
          <w:szCs w:val="24"/>
          <w:lang w:val="en-GB"/>
        </w:rPr>
        <w:t xml:space="preserve"> 16 (1).</w:t>
      </w:r>
    </w:p>
    <w:p w14:paraId="597E01EA" w14:textId="77777777" w:rsidR="00132659" w:rsidRPr="004E4619" w:rsidRDefault="00132659" w:rsidP="00132659">
      <w:pPr>
        <w:jc w:val="both"/>
        <w:rPr>
          <w:rFonts w:ascii="Times New Roman" w:hAnsi="Times New Roman" w:cs="Times New Roman"/>
          <w:sz w:val="24"/>
          <w:szCs w:val="24"/>
          <w:lang w:val="en-GB" w:eastAsia="it-IT"/>
        </w:rPr>
      </w:pPr>
      <w:r w:rsidRPr="004E4619">
        <w:rPr>
          <w:rFonts w:ascii="Times New Roman" w:hAnsi="Times New Roman" w:cs="Times New Roman"/>
          <w:sz w:val="24"/>
          <w:szCs w:val="24"/>
          <w:lang w:val="en-GB" w:eastAsia="it-IT"/>
        </w:rPr>
        <w:t xml:space="preserve">Department of Business Innovation and Skills (2016), “Success as a knowledge economy: teaching excellence, social mobility and student choice”, available at: </w:t>
      </w:r>
      <w:hyperlink r:id="rId11" w:history="1">
        <w:r w:rsidRPr="008E2CAA">
          <w:rPr>
            <w:rStyle w:val="Hyperlink"/>
            <w:rFonts w:ascii="Times New Roman" w:hAnsi="Times New Roman" w:cs="Times New Roman"/>
            <w:color w:val="auto"/>
            <w:sz w:val="24"/>
            <w:szCs w:val="24"/>
            <w:lang w:val="en-GB" w:eastAsia="it-IT"/>
          </w:rPr>
          <w:t>https://www.gov.uk/government/uploads/system/uploads/attachment_data/file/523396/bis-16-265-success-as-a-knowledgeeconomy.pdf</w:t>
        </w:r>
      </w:hyperlink>
      <w:r w:rsidRPr="004E4619">
        <w:rPr>
          <w:rFonts w:ascii="Times New Roman" w:hAnsi="Times New Roman" w:cs="Times New Roman"/>
          <w:sz w:val="24"/>
          <w:szCs w:val="24"/>
          <w:lang w:val="en-GB" w:eastAsia="it-IT"/>
        </w:rPr>
        <w:t xml:space="preserve"> </w:t>
      </w:r>
    </w:p>
    <w:p w14:paraId="459E49E3" w14:textId="77777777" w:rsidR="00021E25" w:rsidRPr="000576B2" w:rsidRDefault="00021E25" w:rsidP="00021E25">
      <w:pPr>
        <w:jc w:val="both"/>
        <w:rPr>
          <w:rFonts w:ascii="Times New Roman" w:hAnsi="Times New Roman" w:cs="Times New Roman"/>
          <w:sz w:val="24"/>
          <w:szCs w:val="24"/>
          <w:lang w:val="en-GB"/>
        </w:rPr>
      </w:pPr>
      <w:r w:rsidRPr="000576B2">
        <w:rPr>
          <w:rFonts w:ascii="Times New Roman" w:hAnsi="Times New Roman" w:cs="Times New Roman"/>
          <w:sz w:val="24"/>
          <w:szCs w:val="24"/>
          <w:lang w:val="en-GB"/>
        </w:rPr>
        <w:t xml:space="preserve">European Commission. (2016). A New Skills Agenda for Europe. Working Together to Strengthen Human Capital, Employability and Competitiveness. </w:t>
      </w:r>
    </w:p>
    <w:p w14:paraId="648575CF" w14:textId="77777777" w:rsidR="00021E25" w:rsidRPr="004E4619" w:rsidRDefault="00021E25" w:rsidP="00021E25">
      <w:pPr>
        <w:jc w:val="both"/>
        <w:rPr>
          <w:rFonts w:ascii="Times New Roman" w:hAnsi="Times New Roman" w:cs="Times New Roman"/>
          <w:sz w:val="24"/>
          <w:szCs w:val="24"/>
          <w:lang w:val="en-GB"/>
        </w:rPr>
      </w:pPr>
      <w:r w:rsidRPr="000576B2">
        <w:rPr>
          <w:rFonts w:ascii="Times New Roman" w:hAnsi="Times New Roman" w:cs="Times New Roman"/>
          <w:sz w:val="24"/>
          <w:szCs w:val="24"/>
          <w:lang w:val="en-GB"/>
        </w:rPr>
        <w:t>European Commission. (2017). Proposal for a Council Recommendation on Tracking Graduates.</w:t>
      </w:r>
      <w:r w:rsidRPr="004E4619">
        <w:rPr>
          <w:rFonts w:ascii="Times New Roman" w:hAnsi="Times New Roman" w:cs="Times New Roman"/>
          <w:sz w:val="24"/>
          <w:szCs w:val="24"/>
          <w:lang w:val="en-GB"/>
        </w:rPr>
        <w:t xml:space="preserve"> </w:t>
      </w:r>
    </w:p>
    <w:p w14:paraId="12085526" w14:textId="77777777" w:rsidR="009C7B09" w:rsidRPr="009C7B09" w:rsidRDefault="009C7B09" w:rsidP="009C7B09">
      <w:pPr>
        <w:jc w:val="both"/>
        <w:rPr>
          <w:rFonts w:ascii="Times New Roman" w:hAnsi="Times New Roman" w:cs="Times New Roman"/>
          <w:sz w:val="24"/>
          <w:szCs w:val="24"/>
          <w:lang w:val="en-GB"/>
        </w:rPr>
      </w:pPr>
      <w:r w:rsidRPr="009C7B09">
        <w:rPr>
          <w:rFonts w:ascii="Times New Roman" w:hAnsi="Times New Roman" w:cs="Times New Roman"/>
          <w:sz w:val="24"/>
          <w:szCs w:val="24"/>
          <w:lang w:val="en-GB"/>
        </w:rPr>
        <w:t>Fortin, N. M., Bell, B., &amp; B ̈ohm, M. (2017). Top earnings inequality and the gender pay gap: Canada, Sweden, and the United Kingdom. Labour Economics, 47, 107–123. https://doi.org/10.1016/j.labeco.2017.05.010.</w:t>
      </w:r>
    </w:p>
    <w:p w14:paraId="602533CE" w14:textId="07783C5F" w:rsidR="00132659" w:rsidRPr="004E4619" w:rsidRDefault="00132659" w:rsidP="00021E25">
      <w:pPr>
        <w:jc w:val="both"/>
        <w:rPr>
          <w:rFonts w:ascii="Times New Roman" w:hAnsi="Times New Roman" w:cs="Times New Roman"/>
          <w:sz w:val="24"/>
          <w:szCs w:val="24"/>
          <w:lang w:val="en-GB"/>
        </w:rPr>
      </w:pPr>
      <w:r w:rsidRPr="008E2CAA">
        <w:rPr>
          <w:rFonts w:ascii="Times New Roman" w:hAnsi="Times New Roman" w:cs="Times New Roman"/>
          <w:sz w:val="24"/>
          <w:szCs w:val="24"/>
          <w:shd w:val="clear" w:color="auto" w:fill="FFFFFF"/>
          <w:lang w:val="en-GB"/>
        </w:rPr>
        <w:t xml:space="preserve">Friedman, S. </w:t>
      </w:r>
      <w:proofErr w:type="spellStart"/>
      <w:r w:rsidRPr="008E2CAA">
        <w:rPr>
          <w:rFonts w:ascii="Times New Roman" w:hAnsi="Times New Roman" w:cs="Times New Roman"/>
          <w:sz w:val="24"/>
          <w:szCs w:val="24"/>
          <w:shd w:val="clear" w:color="auto" w:fill="FFFFFF"/>
          <w:lang w:val="en-GB"/>
        </w:rPr>
        <w:t>Laurison</w:t>
      </w:r>
      <w:proofErr w:type="spellEnd"/>
      <w:r w:rsidRPr="008E2CAA">
        <w:rPr>
          <w:rFonts w:ascii="Times New Roman" w:hAnsi="Times New Roman" w:cs="Times New Roman"/>
          <w:sz w:val="24"/>
          <w:szCs w:val="24"/>
          <w:shd w:val="clear" w:color="auto" w:fill="FFFFFF"/>
          <w:lang w:val="en-GB"/>
        </w:rPr>
        <w:t>, D.</w:t>
      </w:r>
      <w:r w:rsidR="001C0CA9">
        <w:rPr>
          <w:rFonts w:ascii="Times New Roman" w:hAnsi="Times New Roman" w:cs="Times New Roman"/>
          <w:sz w:val="24"/>
          <w:szCs w:val="24"/>
          <w:shd w:val="clear" w:color="auto" w:fill="FFFFFF"/>
          <w:lang w:val="en-GB"/>
        </w:rPr>
        <w:t xml:space="preserve"> </w:t>
      </w:r>
      <w:r w:rsidRPr="008E2CAA">
        <w:rPr>
          <w:rFonts w:ascii="Times New Roman" w:hAnsi="Times New Roman" w:cs="Times New Roman"/>
          <w:sz w:val="24"/>
          <w:szCs w:val="24"/>
          <w:shd w:val="clear" w:color="auto" w:fill="FFFFFF"/>
          <w:lang w:val="en-GB"/>
        </w:rPr>
        <w:t xml:space="preserve">(2019) </w:t>
      </w:r>
      <w:r w:rsidRPr="008E2CAA">
        <w:rPr>
          <w:rStyle w:val="Emphasis"/>
          <w:rFonts w:ascii="Times New Roman" w:hAnsi="Times New Roman" w:cs="Times New Roman"/>
          <w:i w:val="0"/>
          <w:iCs w:val="0"/>
          <w:sz w:val="24"/>
          <w:szCs w:val="24"/>
          <w:shd w:val="clear" w:color="auto" w:fill="FFFFFF"/>
          <w:lang w:val="en-GB"/>
        </w:rPr>
        <w:t>The Class Ceiling: Why It Pays to Be Privileged</w:t>
      </w:r>
      <w:r w:rsidRPr="008E2CAA">
        <w:rPr>
          <w:rFonts w:ascii="Times New Roman" w:hAnsi="Times New Roman" w:cs="Times New Roman"/>
          <w:sz w:val="24"/>
          <w:szCs w:val="24"/>
          <w:shd w:val="clear" w:color="auto" w:fill="FFFFFF"/>
          <w:lang w:val="en-GB"/>
        </w:rPr>
        <w:t>. Bristol, UK: Policy Press.</w:t>
      </w:r>
    </w:p>
    <w:p w14:paraId="03BA1232" w14:textId="77777777" w:rsidR="004E4619" w:rsidRPr="004E4619" w:rsidRDefault="004E4619" w:rsidP="004E4619">
      <w:pPr>
        <w:jc w:val="both"/>
        <w:rPr>
          <w:rFonts w:ascii="Times New Roman" w:hAnsi="Times New Roman" w:cs="Times New Roman"/>
          <w:sz w:val="24"/>
          <w:szCs w:val="24"/>
          <w:lang w:val="en-GB"/>
        </w:rPr>
      </w:pPr>
      <w:proofErr w:type="spellStart"/>
      <w:r w:rsidRPr="004E4619">
        <w:rPr>
          <w:rFonts w:ascii="Times New Roman" w:hAnsi="Times New Roman" w:cs="Times New Roman"/>
          <w:sz w:val="24"/>
          <w:szCs w:val="24"/>
          <w:lang w:val="en-GB"/>
        </w:rPr>
        <w:t>Gazier</w:t>
      </w:r>
      <w:proofErr w:type="spellEnd"/>
      <w:r w:rsidRPr="004E4619">
        <w:rPr>
          <w:rFonts w:ascii="Times New Roman" w:hAnsi="Times New Roman" w:cs="Times New Roman"/>
          <w:sz w:val="24"/>
          <w:szCs w:val="24"/>
          <w:lang w:val="en-GB"/>
        </w:rPr>
        <w:t xml:space="preserve">, B. (1998) Employability — definitions and trends, in: B. </w:t>
      </w:r>
      <w:proofErr w:type="spellStart"/>
      <w:r w:rsidRPr="004E4619">
        <w:rPr>
          <w:rFonts w:ascii="Times New Roman" w:hAnsi="Times New Roman" w:cs="Times New Roman"/>
          <w:sz w:val="24"/>
          <w:szCs w:val="24"/>
          <w:lang w:val="en-GB"/>
        </w:rPr>
        <w:t>Gazier</w:t>
      </w:r>
      <w:proofErr w:type="spellEnd"/>
      <w:r w:rsidRPr="004E4619">
        <w:rPr>
          <w:rFonts w:ascii="Times New Roman" w:hAnsi="Times New Roman" w:cs="Times New Roman"/>
          <w:sz w:val="24"/>
          <w:szCs w:val="24"/>
          <w:lang w:val="en-GB"/>
        </w:rPr>
        <w:t xml:space="preserve"> (Ed.) Employability: Concepts and Policies, pp. 37–71. Berlin: European Employment Observatory </w:t>
      </w:r>
    </w:p>
    <w:p w14:paraId="6F057910" w14:textId="5C6D1756" w:rsidR="00021E25" w:rsidRPr="004E4619" w:rsidRDefault="00021E25" w:rsidP="00021E25">
      <w:pPr>
        <w:jc w:val="both"/>
        <w:rPr>
          <w:rFonts w:ascii="Times New Roman" w:hAnsi="Times New Roman" w:cs="Times New Roman"/>
          <w:sz w:val="24"/>
          <w:szCs w:val="24"/>
          <w:lang w:val="en-GB"/>
        </w:rPr>
      </w:pPr>
      <w:proofErr w:type="spellStart"/>
      <w:r w:rsidRPr="004E4619">
        <w:rPr>
          <w:rFonts w:ascii="Times New Roman" w:hAnsi="Times New Roman" w:cs="Times New Roman"/>
          <w:sz w:val="24"/>
          <w:szCs w:val="24"/>
          <w:lang w:val="en-GB"/>
        </w:rPr>
        <w:lastRenderedPageBreak/>
        <w:t>Gorard</w:t>
      </w:r>
      <w:proofErr w:type="spellEnd"/>
      <w:r w:rsidRPr="004E4619">
        <w:rPr>
          <w:rFonts w:ascii="Times New Roman" w:hAnsi="Times New Roman" w:cs="Times New Roman"/>
          <w:sz w:val="24"/>
          <w:szCs w:val="24"/>
          <w:lang w:val="en-GB"/>
        </w:rPr>
        <w:t>, S., Griffin, N., See, B. H., &amp; Siddiqui, N. (2019). How Can We Get Educators To Use Research Evidence</w:t>
      </w:r>
      <w:r w:rsidR="00026D24" w:rsidRPr="004E4619">
        <w:rPr>
          <w:rFonts w:ascii="Times New Roman" w:hAnsi="Times New Roman" w:cs="Times New Roman"/>
          <w:sz w:val="24"/>
          <w:szCs w:val="24"/>
          <w:lang w:val="en-GB"/>
        </w:rPr>
        <w:t>?</w:t>
      </w:r>
      <w:r w:rsidRPr="004E4619">
        <w:rPr>
          <w:rFonts w:ascii="Times New Roman" w:hAnsi="Times New Roman" w:cs="Times New Roman"/>
          <w:sz w:val="24"/>
          <w:szCs w:val="24"/>
          <w:lang w:val="en-GB"/>
        </w:rPr>
        <w:t xml:space="preserve"> A Review of the Best Ways To Get Evidence into Use From Many Areas of Public Policy. lulu.com.</w:t>
      </w:r>
    </w:p>
    <w:p w14:paraId="05256D31" w14:textId="07DA97D8" w:rsidR="00026D24" w:rsidRPr="008E2CAA" w:rsidRDefault="00026D24" w:rsidP="00021E25">
      <w:pPr>
        <w:jc w:val="both"/>
        <w:rPr>
          <w:rFonts w:ascii="Times New Roman" w:hAnsi="Times New Roman" w:cs="Times New Roman"/>
          <w:sz w:val="24"/>
          <w:szCs w:val="24"/>
          <w:lang w:val="en-GB"/>
        </w:rPr>
      </w:pPr>
      <w:r w:rsidRPr="008E2CAA">
        <w:rPr>
          <w:rFonts w:ascii="Times New Roman" w:hAnsi="Times New Roman" w:cs="Times New Roman"/>
          <w:sz w:val="24"/>
          <w:szCs w:val="24"/>
          <w:lang w:val="en-GB"/>
        </w:rPr>
        <w:t>Gough, D., Oliver, S. &amp; Thomas, J. (Eds) (2012) An introduction to systematic reviews (London, SAGE).</w:t>
      </w:r>
    </w:p>
    <w:p w14:paraId="32487E35" w14:textId="77777777"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Helyer, R., &amp; Lee, D. (2014). The Role of Work Experience in the Future Employability of Higher Education Graduates. </w:t>
      </w:r>
      <w:r w:rsidRPr="008E2CAA">
        <w:rPr>
          <w:rFonts w:ascii="Times New Roman" w:hAnsi="Times New Roman" w:cs="Times New Roman"/>
          <w:i/>
          <w:iCs/>
          <w:sz w:val="24"/>
          <w:szCs w:val="24"/>
          <w:lang w:val="en-GB"/>
        </w:rPr>
        <w:t>Higher Education Quarterly</w:t>
      </w:r>
      <w:r w:rsidRPr="004E4619">
        <w:rPr>
          <w:rFonts w:ascii="Times New Roman" w:hAnsi="Times New Roman" w:cs="Times New Roman"/>
          <w:sz w:val="24"/>
          <w:szCs w:val="24"/>
          <w:lang w:val="en-GB"/>
        </w:rPr>
        <w:t>, 68(2), 348-372.</w:t>
      </w:r>
    </w:p>
    <w:p w14:paraId="221E8F86" w14:textId="77777777" w:rsidR="00021E25" w:rsidRPr="004E4619" w:rsidRDefault="00021E25" w:rsidP="00021E25">
      <w:pPr>
        <w:jc w:val="both"/>
        <w:rPr>
          <w:rFonts w:ascii="Times New Roman" w:hAnsi="Times New Roman" w:cs="Times New Roman"/>
          <w:sz w:val="24"/>
          <w:szCs w:val="24"/>
          <w:lang w:val="en-GB"/>
        </w:rPr>
      </w:pPr>
      <w:proofErr w:type="spellStart"/>
      <w:r w:rsidRPr="004E4619">
        <w:rPr>
          <w:rFonts w:ascii="Times New Roman" w:hAnsi="Times New Roman" w:cs="Times New Roman"/>
          <w:sz w:val="24"/>
          <w:szCs w:val="24"/>
          <w:lang w:val="en-GB"/>
        </w:rPr>
        <w:t>Hillage</w:t>
      </w:r>
      <w:proofErr w:type="spellEnd"/>
      <w:r w:rsidRPr="004E4619">
        <w:rPr>
          <w:rFonts w:ascii="Times New Roman" w:hAnsi="Times New Roman" w:cs="Times New Roman"/>
          <w:sz w:val="24"/>
          <w:szCs w:val="24"/>
          <w:lang w:val="en-GB"/>
        </w:rPr>
        <w:t>, J., &amp; Pollard, E. (1998). Employability: Developing a Framework for Policy Analysis. Labour Market Trends.</w:t>
      </w:r>
    </w:p>
    <w:p w14:paraId="599F3999" w14:textId="64D0E068" w:rsidR="004E4619" w:rsidRPr="008E2CAA" w:rsidRDefault="004E4619" w:rsidP="00021E25">
      <w:pPr>
        <w:jc w:val="both"/>
        <w:rPr>
          <w:rFonts w:ascii="Times New Roman" w:hAnsi="Times New Roman" w:cs="Times New Roman"/>
          <w:sz w:val="24"/>
          <w:szCs w:val="24"/>
          <w:lang w:val="en-GB"/>
        </w:rPr>
      </w:pPr>
      <w:r w:rsidRPr="000576B2">
        <w:rPr>
          <w:rFonts w:ascii="Times New Roman" w:hAnsi="Times New Roman" w:cs="Times New Roman"/>
          <w:sz w:val="24"/>
          <w:szCs w:val="24"/>
          <w:lang w:val="en-GB"/>
        </w:rPr>
        <w:t xml:space="preserve">Hodgson, &amp; </w:t>
      </w:r>
      <w:proofErr w:type="spellStart"/>
      <w:r w:rsidRPr="000576B2">
        <w:rPr>
          <w:rFonts w:ascii="Times New Roman" w:hAnsi="Times New Roman" w:cs="Times New Roman"/>
          <w:sz w:val="24"/>
          <w:szCs w:val="24"/>
          <w:lang w:val="en-GB"/>
        </w:rPr>
        <w:t>Spours</w:t>
      </w:r>
      <w:proofErr w:type="spellEnd"/>
      <w:r w:rsidRPr="000576B2">
        <w:rPr>
          <w:rFonts w:ascii="Times New Roman" w:hAnsi="Times New Roman" w:cs="Times New Roman"/>
          <w:sz w:val="24"/>
          <w:szCs w:val="24"/>
          <w:lang w:val="en-GB"/>
        </w:rPr>
        <w:t>, K. (2013). Tackling the crisis facing young people: building 'high opportunity progression eco-systems</w:t>
      </w:r>
      <w:r w:rsidR="001C0CA9">
        <w:rPr>
          <w:rFonts w:ascii="Times New Roman" w:hAnsi="Times New Roman" w:cs="Times New Roman"/>
          <w:sz w:val="24"/>
          <w:szCs w:val="24"/>
          <w:lang w:val="en-GB"/>
        </w:rPr>
        <w:t xml:space="preserve">. </w:t>
      </w:r>
      <w:r w:rsidRPr="000576B2">
        <w:rPr>
          <w:rFonts w:ascii="Times New Roman" w:hAnsi="Times New Roman" w:cs="Times New Roman"/>
          <w:i/>
          <w:iCs/>
          <w:sz w:val="24"/>
          <w:szCs w:val="24"/>
          <w:lang w:val="en-GB"/>
        </w:rPr>
        <w:t>Oxford Review of Education</w:t>
      </w:r>
      <w:r w:rsidRPr="000576B2">
        <w:rPr>
          <w:rFonts w:ascii="Times New Roman" w:hAnsi="Times New Roman" w:cs="Times New Roman"/>
          <w:sz w:val="24"/>
          <w:szCs w:val="24"/>
          <w:lang w:val="en-GB"/>
        </w:rPr>
        <w:t>,</w:t>
      </w:r>
      <w:r w:rsidR="001C0CA9">
        <w:rPr>
          <w:rFonts w:ascii="Times New Roman" w:hAnsi="Times New Roman" w:cs="Times New Roman"/>
          <w:sz w:val="24"/>
          <w:szCs w:val="24"/>
          <w:lang w:val="en-GB"/>
        </w:rPr>
        <w:t xml:space="preserve"> </w:t>
      </w:r>
      <w:r w:rsidRPr="000576B2">
        <w:rPr>
          <w:rFonts w:ascii="Times New Roman" w:hAnsi="Times New Roman" w:cs="Times New Roman"/>
          <w:iCs/>
          <w:sz w:val="24"/>
          <w:szCs w:val="24"/>
          <w:lang w:val="en-GB"/>
        </w:rPr>
        <w:t>39</w:t>
      </w:r>
      <w:r w:rsidRPr="000576B2">
        <w:rPr>
          <w:rFonts w:ascii="Times New Roman" w:hAnsi="Times New Roman" w:cs="Times New Roman"/>
          <w:sz w:val="24"/>
          <w:szCs w:val="24"/>
          <w:lang w:val="en-GB"/>
        </w:rPr>
        <w:t>(2), 211–228.</w:t>
      </w:r>
    </w:p>
    <w:p w14:paraId="0974BA1C" w14:textId="0D42E030"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James A (2012) Research methods and methodologies in education Sage (London &amp; Thousand. Oaks CA)</w:t>
      </w:r>
    </w:p>
    <w:p w14:paraId="5E148103" w14:textId="77777777"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Lester, S., </w:t>
      </w:r>
      <w:proofErr w:type="spellStart"/>
      <w:r w:rsidRPr="004E4619">
        <w:rPr>
          <w:rFonts w:ascii="Times New Roman" w:hAnsi="Times New Roman" w:cs="Times New Roman"/>
          <w:sz w:val="24"/>
          <w:szCs w:val="24"/>
          <w:lang w:val="en-GB"/>
        </w:rPr>
        <w:t>Bravenboer</w:t>
      </w:r>
      <w:proofErr w:type="spellEnd"/>
      <w:r w:rsidRPr="004E4619">
        <w:rPr>
          <w:rFonts w:ascii="Times New Roman" w:hAnsi="Times New Roman" w:cs="Times New Roman"/>
          <w:sz w:val="24"/>
          <w:szCs w:val="24"/>
          <w:lang w:val="en-GB"/>
        </w:rPr>
        <w:t>, D., &amp; Webb, N. (2016). Work-integrated Degrees: Context, Engagement, Practice and Quality. Quality Assurance Agency for Higher Education.</w:t>
      </w:r>
    </w:p>
    <w:p w14:paraId="53A63CCF" w14:textId="77777777"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Martin, L., Lord, G., Warren-Smith I. (2020) Juggling hats: academic roles, identity work and new degree apprenticeships, </w:t>
      </w:r>
      <w:r w:rsidRPr="008E2CAA">
        <w:rPr>
          <w:rFonts w:ascii="Times New Roman" w:hAnsi="Times New Roman" w:cs="Times New Roman"/>
          <w:i/>
          <w:iCs/>
          <w:sz w:val="24"/>
          <w:szCs w:val="24"/>
          <w:lang w:val="en-GB"/>
        </w:rPr>
        <w:t>Studies in Higher Education</w:t>
      </w:r>
      <w:r w:rsidRPr="004E4619">
        <w:rPr>
          <w:rFonts w:ascii="Times New Roman" w:hAnsi="Times New Roman" w:cs="Times New Roman"/>
          <w:sz w:val="24"/>
          <w:szCs w:val="24"/>
          <w:lang w:val="en-GB"/>
        </w:rPr>
        <w:t xml:space="preserve">, 45 (3), 524-537, DOI: 10.1080/03075079.2018.1550478 </w:t>
      </w:r>
    </w:p>
    <w:p w14:paraId="3E19819D" w14:textId="77777777" w:rsidR="009C7B09" w:rsidRPr="001562D6" w:rsidRDefault="009C7B09" w:rsidP="009C7B09">
      <w:pPr>
        <w:rPr>
          <w:rFonts w:ascii="Times New Roman" w:hAnsi="Times New Roman" w:cs="Times New Roman"/>
          <w:sz w:val="24"/>
          <w:szCs w:val="24"/>
          <w:lang w:val="en-GB"/>
        </w:rPr>
      </w:pPr>
      <w:proofErr w:type="spellStart"/>
      <w:r w:rsidRPr="001562D6">
        <w:rPr>
          <w:rFonts w:ascii="Times New Roman" w:hAnsi="Times New Roman" w:cs="Times New Roman"/>
          <w:sz w:val="24"/>
          <w:szCs w:val="24"/>
          <w:lang w:val="en-GB"/>
        </w:rPr>
        <w:t>Matherly</w:t>
      </w:r>
      <w:proofErr w:type="spellEnd"/>
      <w:r w:rsidRPr="001562D6">
        <w:rPr>
          <w:rFonts w:ascii="Times New Roman" w:hAnsi="Times New Roman" w:cs="Times New Roman"/>
          <w:sz w:val="24"/>
          <w:szCs w:val="24"/>
          <w:lang w:val="en-GB"/>
        </w:rPr>
        <w:t xml:space="preserve">, C.A., Tillman, M.J. (2015). Higher Education and the Employability Agenda. In: Huisman, J., de Boer, H., Dill, D.D., </w:t>
      </w:r>
      <w:proofErr w:type="spellStart"/>
      <w:r w:rsidRPr="001562D6">
        <w:rPr>
          <w:rFonts w:ascii="Times New Roman" w:hAnsi="Times New Roman" w:cs="Times New Roman"/>
          <w:sz w:val="24"/>
          <w:szCs w:val="24"/>
          <w:lang w:val="en-GB"/>
        </w:rPr>
        <w:t>Souto</w:t>
      </w:r>
      <w:proofErr w:type="spellEnd"/>
      <w:r w:rsidRPr="001562D6">
        <w:rPr>
          <w:rFonts w:ascii="Times New Roman" w:hAnsi="Times New Roman" w:cs="Times New Roman"/>
          <w:sz w:val="24"/>
          <w:szCs w:val="24"/>
          <w:lang w:val="en-GB"/>
        </w:rPr>
        <w:t>-Otero, M. (eds) The Palgrave International Handbook of Higher Education Policy and Governance. Palgrave Macmillan, London. https://doi.org/10.1007/978-1-137-45617-5_16</w:t>
      </w:r>
    </w:p>
    <w:p w14:paraId="0D4D7136" w14:textId="3D0B2BB6" w:rsidR="009C7B09" w:rsidRPr="001562D6" w:rsidRDefault="009C7B09" w:rsidP="009C7B09">
      <w:pPr>
        <w:rPr>
          <w:rFonts w:ascii="Times New Roman" w:hAnsi="Times New Roman" w:cs="Times New Roman"/>
          <w:sz w:val="24"/>
          <w:szCs w:val="24"/>
          <w:lang w:val="en-GB"/>
        </w:rPr>
      </w:pPr>
      <w:r w:rsidRPr="001562D6">
        <w:rPr>
          <w:rFonts w:ascii="Times New Roman" w:hAnsi="Times New Roman" w:cs="Times New Roman"/>
          <w:sz w:val="24"/>
          <w:szCs w:val="24"/>
          <w:lang w:val="en-GB"/>
        </w:rPr>
        <w:t>McLaughlin,</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J. A., &amp;</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Jordan,</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G. B.</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(2015).</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Using logic models. In</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K. E.</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Newcomer,</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H. P.</w:t>
      </w:r>
      <w:r w:rsidR="00781A3E">
        <w:rPr>
          <w:rFonts w:ascii="Times New Roman" w:hAnsi="Times New Roman" w:cs="Times New Roman"/>
          <w:sz w:val="24"/>
          <w:szCs w:val="24"/>
          <w:lang w:val="en-GB"/>
        </w:rPr>
        <w:t xml:space="preserve"> </w:t>
      </w:r>
      <w:proofErr w:type="spellStart"/>
      <w:r w:rsidRPr="001562D6">
        <w:rPr>
          <w:rFonts w:ascii="Times New Roman" w:hAnsi="Times New Roman" w:cs="Times New Roman"/>
          <w:sz w:val="24"/>
          <w:szCs w:val="24"/>
          <w:lang w:val="en-GB"/>
        </w:rPr>
        <w:t>Hatry</w:t>
      </w:r>
      <w:proofErr w:type="spellEnd"/>
      <w:r w:rsidRPr="001562D6">
        <w:rPr>
          <w:rFonts w:ascii="Times New Roman" w:hAnsi="Times New Roman" w:cs="Times New Roman"/>
          <w:sz w:val="24"/>
          <w:szCs w:val="24"/>
          <w:lang w:val="en-GB"/>
        </w:rPr>
        <w:t>, &amp;</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J. S.</w:t>
      </w:r>
      <w:r w:rsidR="00781A3E">
        <w:rPr>
          <w:rFonts w:ascii="Times New Roman" w:hAnsi="Times New Roman" w:cs="Times New Roman"/>
          <w:sz w:val="24"/>
          <w:szCs w:val="24"/>
          <w:lang w:val="en-GB"/>
        </w:rPr>
        <w:t xml:space="preserve"> </w:t>
      </w:r>
      <w:proofErr w:type="spellStart"/>
      <w:r w:rsidRPr="001562D6">
        <w:rPr>
          <w:rFonts w:ascii="Times New Roman" w:hAnsi="Times New Roman" w:cs="Times New Roman"/>
          <w:sz w:val="24"/>
          <w:szCs w:val="24"/>
          <w:lang w:val="en-GB"/>
        </w:rPr>
        <w:t>Wholey</w:t>
      </w:r>
      <w:proofErr w:type="spellEnd"/>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(Eds.),</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Handbook of practical program evaluation</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(pp.</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62–87).</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Hoboken, NJ:</w:t>
      </w:r>
      <w:r w:rsidR="00781A3E">
        <w:rPr>
          <w:rFonts w:ascii="Times New Roman" w:hAnsi="Times New Roman" w:cs="Times New Roman"/>
          <w:sz w:val="24"/>
          <w:szCs w:val="24"/>
          <w:lang w:val="en-GB"/>
        </w:rPr>
        <w:t xml:space="preserve"> </w:t>
      </w:r>
      <w:r w:rsidRPr="001562D6">
        <w:rPr>
          <w:rFonts w:ascii="Times New Roman" w:hAnsi="Times New Roman" w:cs="Times New Roman"/>
          <w:sz w:val="24"/>
          <w:szCs w:val="24"/>
          <w:lang w:val="en-GB"/>
        </w:rPr>
        <w:t>Wiley &amp; Sons</w:t>
      </w:r>
    </w:p>
    <w:p w14:paraId="3449C88C" w14:textId="43EB48C7" w:rsidR="009700EA" w:rsidRPr="004E4619" w:rsidRDefault="009700EA"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McQuaid, R.W &amp; Lindsay, C. (2005) The concept of employability, </w:t>
      </w:r>
      <w:r w:rsidRPr="008E2CAA">
        <w:rPr>
          <w:rFonts w:ascii="Times New Roman" w:hAnsi="Times New Roman" w:cs="Times New Roman"/>
          <w:i/>
          <w:iCs/>
          <w:sz w:val="24"/>
          <w:szCs w:val="24"/>
          <w:lang w:val="en-GB"/>
        </w:rPr>
        <w:t>Urban Studies</w:t>
      </w:r>
      <w:r w:rsidRPr="004E4619">
        <w:rPr>
          <w:rFonts w:ascii="Times New Roman" w:hAnsi="Times New Roman" w:cs="Times New Roman"/>
          <w:sz w:val="24"/>
          <w:szCs w:val="24"/>
          <w:lang w:val="en-GB"/>
        </w:rPr>
        <w:t>, 42 (2), 197-219</w:t>
      </w:r>
    </w:p>
    <w:p w14:paraId="6356FFA0" w14:textId="77777777" w:rsidR="009C7B09" w:rsidRPr="001562D6" w:rsidRDefault="009C7B09" w:rsidP="009C7B09">
      <w:pPr>
        <w:rPr>
          <w:rFonts w:ascii="Times New Roman" w:hAnsi="Times New Roman" w:cs="Times New Roman"/>
          <w:sz w:val="24"/>
          <w:szCs w:val="24"/>
          <w:lang w:val="en-GB"/>
        </w:rPr>
      </w:pPr>
      <w:r w:rsidRPr="001562D6">
        <w:rPr>
          <w:rFonts w:ascii="Times New Roman" w:hAnsi="Times New Roman" w:cs="Times New Roman"/>
          <w:sz w:val="24"/>
          <w:szCs w:val="24"/>
          <w:lang w:val="en-GB"/>
        </w:rPr>
        <w:t>Norton, S and Dalrymple, R (2020) Enhancing Graduate Employability: a case study compendium. York: Advance HE.</w:t>
      </w:r>
    </w:p>
    <w:p w14:paraId="2B77C08B" w14:textId="1EA4D345"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Oakley, A. (2012). Foreword. In D. Gough, S. Oliver, &amp; J. Thomas (Eds.), An introduction to systematic reviews (pp. 7–10). London: Sage. </w:t>
      </w:r>
    </w:p>
    <w:p w14:paraId="3F76F059" w14:textId="77777777" w:rsidR="00021E25" w:rsidRPr="004E4619" w:rsidRDefault="00021E25" w:rsidP="00021E25">
      <w:pPr>
        <w:jc w:val="both"/>
        <w:rPr>
          <w:rFonts w:ascii="Times New Roman" w:hAnsi="Times New Roman" w:cs="Times New Roman"/>
          <w:sz w:val="24"/>
          <w:szCs w:val="24"/>
          <w:lang w:val="en-GB"/>
        </w:rPr>
      </w:pPr>
      <w:proofErr w:type="spellStart"/>
      <w:r w:rsidRPr="004E4619">
        <w:rPr>
          <w:rFonts w:ascii="Times New Roman" w:hAnsi="Times New Roman" w:cs="Times New Roman"/>
          <w:sz w:val="24"/>
          <w:szCs w:val="24"/>
          <w:lang w:val="en-GB"/>
        </w:rPr>
        <w:t>Peeters</w:t>
      </w:r>
      <w:proofErr w:type="spellEnd"/>
      <w:r w:rsidRPr="004E4619">
        <w:rPr>
          <w:rFonts w:ascii="Times New Roman" w:hAnsi="Times New Roman" w:cs="Times New Roman"/>
          <w:sz w:val="24"/>
          <w:szCs w:val="24"/>
          <w:lang w:val="en-GB"/>
        </w:rPr>
        <w:t xml:space="preserve">, E., J. </w:t>
      </w:r>
      <w:proofErr w:type="spellStart"/>
      <w:r w:rsidRPr="004E4619">
        <w:rPr>
          <w:rFonts w:ascii="Times New Roman" w:hAnsi="Times New Roman" w:cs="Times New Roman"/>
          <w:sz w:val="24"/>
          <w:szCs w:val="24"/>
          <w:lang w:val="en-GB"/>
        </w:rPr>
        <w:t>Nelissen</w:t>
      </w:r>
      <w:proofErr w:type="spellEnd"/>
      <w:r w:rsidRPr="004E4619">
        <w:rPr>
          <w:rFonts w:ascii="Times New Roman" w:hAnsi="Times New Roman" w:cs="Times New Roman"/>
          <w:sz w:val="24"/>
          <w:szCs w:val="24"/>
          <w:lang w:val="en-GB"/>
        </w:rPr>
        <w:t xml:space="preserve">, N. De </w:t>
      </w:r>
      <w:proofErr w:type="spellStart"/>
      <w:r w:rsidRPr="004E4619">
        <w:rPr>
          <w:rFonts w:ascii="Times New Roman" w:hAnsi="Times New Roman" w:cs="Times New Roman"/>
          <w:sz w:val="24"/>
          <w:szCs w:val="24"/>
          <w:lang w:val="en-GB"/>
        </w:rPr>
        <w:t>Cuyper</w:t>
      </w:r>
      <w:proofErr w:type="spellEnd"/>
      <w:r w:rsidRPr="004E4619">
        <w:rPr>
          <w:rFonts w:ascii="Times New Roman" w:hAnsi="Times New Roman" w:cs="Times New Roman"/>
          <w:sz w:val="24"/>
          <w:szCs w:val="24"/>
          <w:lang w:val="en-GB"/>
        </w:rPr>
        <w:t xml:space="preserve">, A. </w:t>
      </w:r>
      <w:proofErr w:type="spellStart"/>
      <w:r w:rsidRPr="004E4619">
        <w:rPr>
          <w:rFonts w:ascii="Times New Roman" w:hAnsi="Times New Roman" w:cs="Times New Roman"/>
          <w:sz w:val="24"/>
          <w:szCs w:val="24"/>
          <w:lang w:val="en-GB"/>
        </w:rPr>
        <w:t>Forrier</w:t>
      </w:r>
      <w:proofErr w:type="spellEnd"/>
      <w:r w:rsidRPr="004E4619">
        <w:rPr>
          <w:rFonts w:ascii="Times New Roman" w:hAnsi="Times New Roman" w:cs="Times New Roman"/>
          <w:sz w:val="24"/>
          <w:szCs w:val="24"/>
          <w:lang w:val="en-GB"/>
        </w:rPr>
        <w:t xml:space="preserve">, M. </w:t>
      </w:r>
      <w:proofErr w:type="spellStart"/>
      <w:r w:rsidRPr="004E4619">
        <w:rPr>
          <w:rFonts w:ascii="Times New Roman" w:hAnsi="Times New Roman" w:cs="Times New Roman"/>
          <w:sz w:val="24"/>
          <w:szCs w:val="24"/>
          <w:lang w:val="en-GB"/>
        </w:rPr>
        <w:t>Verbruggen</w:t>
      </w:r>
      <w:proofErr w:type="spellEnd"/>
      <w:r w:rsidRPr="004E4619">
        <w:rPr>
          <w:rFonts w:ascii="Times New Roman" w:hAnsi="Times New Roman" w:cs="Times New Roman"/>
          <w:sz w:val="24"/>
          <w:szCs w:val="24"/>
          <w:lang w:val="en-GB"/>
        </w:rPr>
        <w:t xml:space="preserve">, and H. De Witte. 2019. Employability Capital: A Conceptual Framework Tested Through Expert Analysis. </w:t>
      </w:r>
      <w:r w:rsidRPr="008E2CAA">
        <w:rPr>
          <w:rFonts w:ascii="Times New Roman" w:hAnsi="Times New Roman" w:cs="Times New Roman"/>
          <w:i/>
          <w:iCs/>
          <w:sz w:val="24"/>
          <w:szCs w:val="24"/>
          <w:lang w:val="en-GB"/>
        </w:rPr>
        <w:t>Journal of Career Development</w:t>
      </w:r>
      <w:r w:rsidRPr="004E4619">
        <w:rPr>
          <w:rFonts w:ascii="Times New Roman" w:hAnsi="Times New Roman" w:cs="Times New Roman"/>
          <w:sz w:val="24"/>
          <w:szCs w:val="24"/>
          <w:lang w:val="en-GB"/>
        </w:rPr>
        <w:t>, 46 (2), 79 – 93.</w:t>
      </w:r>
    </w:p>
    <w:p w14:paraId="20F965B1" w14:textId="699A35C3" w:rsidR="003D3E9E" w:rsidRDefault="003D3E9E" w:rsidP="003D3E9E">
      <w:pPr>
        <w:jc w:val="both"/>
        <w:rPr>
          <w:rFonts w:ascii="Times New Roman" w:hAnsi="Times New Roman" w:cs="Times New Roman"/>
          <w:sz w:val="24"/>
          <w:szCs w:val="24"/>
          <w:lang w:val="en-GB"/>
        </w:rPr>
      </w:pPr>
      <w:r>
        <w:rPr>
          <w:rFonts w:ascii="Times New Roman" w:hAnsi="Times New Roman" w:cs="Times New Roman"/>
          <w:sz w:val="24"/>
          <w:szCs w:val="24"/>
          <w:lang w:val="en-GB"/>
        </w:rPr>
        <w:t>Philpott</w:t>
      </w:r>
      <w:r w:rsidRPr="003D3E9E">
        <w:rPr>
          <w:rFonts w:ascii="Times New Roman" w:hAnsi="Times New Roman" w:cs="Times New Roman"/>
          <w:sz w:val="24"/>
          <w:szCs w:val="24"/>
          <w:lang w:val="en-GB"/>
        </w:rPr>
        <w:t>, J. (1999) Behind the ‘Buzzword’:</w:t>
      </w:r>
      <w:r>
        <w:rPr>
          <w:rFonts w:ascii="Times New Roman" w:hAnsi="Times New Roman" w:cs="Times New Roman"/>
          <w:sz w:val="24"/>
          <w:szCs w:val="24"/>
          <w:lang w:val="en-GB"/>
        </w:rPr>
        <w:t xml:space="preserve"> </w:t>
      </w:r>
      <w:r w:rsidRPr="003D3E9E">
        <w:rPr>
          <w:rFonts w:ascii="Times New Roman" w:hAnsi="Times New Roman" w:cs="Times New Roman"/>
          <w:sz w:val="24"/>
          <w:szCs w:val="24"/>
          <w:lang w:val="en-GB"/>
        </w:rPr>
        <w:t>Employability. London: Employment Policy</w:t>
      </w:r>
      <w:r>
        <w:rPr>
          <w:rFonts w:ascii="Times New Roman" w:hAnsi="Times New Roman" w:cs="Times New Roman"/>
          <w:sz w:val="24"/>
          <w:szCs w:val="24"/>
          <w:lang w:val="en-GB"/>
        </w:rPr>
        <w:t xml:space="preserve"> </w:t>
      </w:r>
      <w:r w:rsidRPr="003D3E9E">
        <w:rPr>
          <w:rFonts w:ascii="Times New Roman" w:hAnsi="Times New Roman" w:cs="Times New Roman"/>
          <w:sz w:val="24"/>
          <w:szCs w:val="24"/>
          <w:lang w:val="en-GB"/>
        </w:rPr>
        <w:t>Institute.</w:t>
      </w:r>
    </w:p>
    <w:p w14:paraId="50EF4CFD" w14:textId="20095472"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lastRenderedPageBreak/>
        <w:t xml:space="preserve">Powell J., &amp; </w:t>
      </w:r>
      <w:proofErr w:type="spellStart"/>
      <w:r w:rsidRPr="004E4619">
        <w:rPr>
          <w:rFonts w:ascii="Times New Roman" w:hAnsi="Times New Roman" w:cs="Times New Roman"/>
          <w:sz w:val="24"/>
          <w:szCs w:val="24"/>
          <w:lang w:val="en-GB"/>
        </w:rPr>
        <w:t>Solga</w:t>
      </w:r>
      <w:proofErr w:type="spellEnd"/>
      <w:r w:rsidRPr="004E4619">
        <w:rPr>
          <w:rFonts w:ascii="Times New Roman" w:hAnsi="Times New Roman" w:cs="Times New Roman"/>
          <w:sz w:val="24"/>
          <w:szCs w:val="24"/>
          <w:lang w:val="en-GB"/>
        </w:rPr>
        <w:t xml:space="preserve"> H. (2010) </w:t>
      </w:r>
      <w:proofErr w:type="spellStart"/>
      <w:r w:rsidRPr="004E4619">
        <w:rPr>
          <w:rFonts w:ascii="Times New Roman" w:hAnsi="Times New Roman" w:cs="Times New Roman"/>
          <w:sz w:val="24"/>
          <w:szCs w:val="24"/>
          <w:lang w:val="en-GB"/>
        </w:rPr>
        <w:t>Analyzing</w:t>
      </w:r>
      <w:proofErr w:type="spellEnd"/>
      <w:r w:rsidRPr="004E4619">
        <w:rPr>
          <w:rFonts w:ascii="Times New Roman" w:hAnsi="Times New Roman" w:cs="Times New Roman"/>
          <w:sz w:val="24"/>
          <w:szCs w:val="24"/>
          <w:lang w:val="en-GB"/>
        </w:rPr>
        <w:t xml:space="preserve"> the nexus of higher education and vocational training in Europe: a comparative‐institutional framework, </w:t>
      </w:r>
      <w:r w:rsidRPr="008E2CAA">
        <w:rPr>
          <w:rFonts w:ascii="Times New Roman" w:hAnsi="Times New Roman" w:cs="Times New Roman"/>
          <w:i/>
          <w:iCs/>
          <w:sz w:val="24"/>
          <w:szCs w:val="24"/>
          <w:lang w:val="en-GB"/>
        </w:rPr>
        <w:t>Studies in Higher Education</w:t>
      </w:r>
      <w:r w:rsidRPr="004E4619">
        <w:rPr>
          <w:rFonts w:ascii="Times New Roman" w:hAnsi="Times New Roman" w:cs="Times New Roman"/>
          <w:sz w:val="24"/>
          <w:szCs w:val="24"/>
          <w:lang w:val="en-GB"/>
        </w:rPr>
        <w:t xml:space="preserve">, 35 (6), 705-721. </w:t>
      </w:r>
    </w:p>
    <w:p w14:paraId="779F66BA" w14:textId="1B176ADE" w:rsidR="00132659" w:rsidRPr="008E2CAA" w:rsidRDefault="00132659" w:rsidP="00021E25">
      <w:pPr>
        <w:jc w:val="both"/>
        <w:rPr>
          <w:rFonts w:ascii="Times New Roman" w:hAnsi="Times New Roman" w:cs="Times New Roman"/>
          <w:sz w:val="24"/>
          <w:szCs w:val="24"/>
          <w:lang w:val="en-GB"/>
        </w:rPr>
      </w:pPr>
      <w:r w:rsidRPr="008E2CAA">
        <w:rPr>
          <w:rFonts w:ascii="Times New Roman" w:hAnsi="Times New Roman" w:cs="Times New Roman"/>
          <w:sz w:val="24"/>
          <w:szCs w:val="24"/>
          <w:lang w:val="it-IT"/>
        </w:rPr>
        <w:t xml:space="preserve">Scandurra, R., Cefalo, R., &amp; Kazepov, Y. (2021). </w:t>
      </w:r>
      <w:r w:rsidRPr="008E2CAA">
        <w:rPr>
          <w:rFonts w:ascii="Times New Roman" w:hAnsi="Times New Roman" w:cs="Times New Roman"/>
          <w:sz w:val="24"/>
          <w:szCs w:val="24"/>
          <w:lang w:val="en-GB"/>
        </w:rPr>
        <w:t xml:space="preserve">Drivers of youth labour market integration across European regions. </w:t>
      </w:r>
      <w:r w:rsidRPr="008E2CAA">
        <w:rPr>
          <w:rFonts w:ascii="Times New Roman" w:hAnsi="Times New Roman" w:cs="Times New Roman"/>
          <w:i/>
          <w:iCs/>
          <w:sz w:val="24"/>
          <w:szCs w:val="24"/>
          <w:lang w:val="en-GB"/>
        </w:rPr>
        <w:t>Social Indicators Research</w:t>
      </w:r>
      <w:r w:rsidRPr="008E2CAA">
        <w:rPr>
          <w:rFonts w:ascii="Times New Roman" w:hAnsi="Times New Roman" w:cs="Times New Roman"/>
          <w:sz w:val="24"/>
          <w:szCs w:val="24"/>
          <w:lang w:val="en-GB"/>
        </w:rPr>
        <w:t>, 154(3), 835–856.</w:t>
      </w:r>
    </w:p>
    <w:p w14:paraId="7231A768" w14:textId="333AF395" w:rsidR="00021E25" w:rsidRPr="004E4619" w:rsidRDefault="00021E25" w:rsidP="00021E25">
      <w:pPr>
        <w:jc w:val="both"/>
        <w:rPr>
          <w:rFonts w:ascii="Times New Roman" w:hAnsi="Times New Roman" w:cs="Times New Roman"/>
          <w:sz w:val="24"/>
          <w:szCs w:val="24"/>
          <w:lang w:val="en-GB"/>
        </w:rPr>
      </w:pPr>
      <w:r w:rsidRPr="004E4619">
        <w:rPr>
          <w:rFonts w:ascii="Times New Roman" w:hAnsi="Times New Roman" w:cs="Times New Roman"/>
          <w:sz w:val="24"/>
          <w:szCs w:val="24"/>
          <w:lang w:val="en-GB"/>
        </w:rPr>
        <w:t>Strauss A (1987) Qualitative Research for Social Scientists, Cambridge, Cambridge University Press, Cambridge</w:t>
      </w:r>
    </w:p>
    <w:p w14:paraId="5937F73E" w14:textId="12D94F27" w:rsidR="00132659" w:rsidRPr="008E2CAA" w:rsidRDefault="00132659" w:rsidP="008E2CAA">
      <w:pPr>
        <w:rPr>
          <w:rFonts w:ascii="Times New Roman" w:hAnsi="Times New Roman" w:cs="Times New Roman"/>
          <w:sz w:val="24"/>
          <w:szCs w:val="24"/>
          <w:lang w:val="en-GB"/>
        </w:rPr>
      </w:pPr>
      <w:r w:rsidRPr="004E4619">
        <w:rPr>
          <w:rFonts w:ascii="Times New Roman" w:hAnsi="Times New Roman" w:cs="Times New Roman"/>
          <w:sz w:val="24"/>
          <w:szCs w:val="24"/>
          <w:lang w:val="en-GB"/>
        </w:rPr>
        <w:t xml:space="preserve">Walker, I, Zhu, Y. (2008). The college wage premium and the expansion of higher education in the UK. </w:t>
      </w:r>
      <w:r w:rsidRPr="008E2CAA">
        <w:rPr>
          <w:rFonts w:ascii="Times New Roman" w:hAnsi="Times New Roman" w:cs="Times New Roman"/>
          <w:i/>
          <w:iCs/>
          <w:sz w:val="24"/>
          <w:szCs w:val="24"/>
          <w:lang w:val="en-GB"/>
        </w:rPr>
        <w:t>The Scandinavian Journal of Economics</w:t>
      </w:r>
      <w:r w:rsidRPr="004E4619">
        <w:rPr>
          <w:rFonts w:ascii="Times New Roman" w:hAnsi="Times New Roman" w:cs="Times New Roman"/>
          <w:sz w:val="24"/>
          <w:szCs w:val="24"/>
          <w:lang w:val="en-GB"/>
        </w:rPr>
        <w:t>, 110(4), 695-709 DOI:</w:t>
      </w:r>
      <w:r w:rsidR="004E4619">
        <w:rPr>
          <w:rFonts w:ascii="Times New Roman" w:hAnsi="Times New Roman" w:cs="Times New Roman"/>
          <w:sz w:val="24"/>
          <w:szCs w:val="24"/>
          <w:lang w:val="en-GB"/>
        </w:rPr>
        <w:t xml:space="preserve"> </w:t>
      </w:r>
      <w:r w:rsidRPr="008E2CAA">
        <w:rPr>
          <w:rFonts w:ascii="Times New Roman" w:hAnsi="Times New Roman" w:cs="Times New Roman"/>
          <w:sz w:val="24"/>
          <w:szCs w:val="24"/>
          <w:lang w:val="en-GB"/>
        </w:rPr>
        <w:t xml:space="preserve"> </w:t>
      </w:r>
      <w:hyperlink r:id="rId12" w:history="1">
        <w:r w:rsidRPr="008E2CAA">
          <w:rPr>
            <w:rFonts w:ascii="Times New Roman" w:hAnsi="Times New Roman" w:cs="Times New Roman"/>
            <w:sz w:val="24"/>
            <w:szCs w:val="24"/>
            <w:lang w:val="en-GB"/>
          </w:rPr>
          <w:t>https://doi.org/10.1111/j.1467-9442.2008.00557.x</w:t>
        </w:r>
      </w:hyperlink>
    </w:p>
    <w:p w14:paraId="5C9F4106" w14:textId="41DC372E" w:rsidR="00C64165" w:rsidRDefault="00021E25" w:rsidP="00BB46C6">
      <w:pPr>
        <w:jc w:val="both"/>
        <w:rPr>
          <w:rFonts w:ascii="Times New Roman" w:hAnsi="Times New Roman" w:cs="Times New Roman"/>
        </w:rPr>
      </w:pPr>
      <w:r w:rsidRPr="004E4619">
        <w:rPr>
          <w:rFonts w:ascii="Times New Roman" w:hAnsi="Times New Roman" w:cs="Times New Roman"/>
          <w:sz w:val="24"/>
          <w:szCs w:val="24"/>
          <w:lang w:val="en-GB"/>
        </w:rPr>
        <w:t>Yorke, M. (2006). Employability in Higher Education: What It Is - What It Is Not. (Vol. 1). York: Higher Education Academy.</w:t>
      </w:r>
    </w:p>
    <w:p w14:paraId="7634FB4A" w14:textId="77777777" w:rsidR="00C64165" w:rsidRPr="008E2CAA" w:rsidRDefault="00C64165" w:rsidP="00277BD5">
      <w:pPr>
        <w:jc w:val="both"/>
        <w:rPr>
          <w:rFonts w:ascii="Times New Roman" w:hAnsi="Times New Roman" w:cs="Times New Roman"/>
          <w:sz w:val="24"/>
          <w:szCs w:val="24"/>
          <w:lang w:val="en-GB"/>
        </w:rPr>
      </w:pPr>
    </w:p>
    <w:sectPr w:rsidR="00C64165" w:rsidRPr="008E2CAA" w:rsidSect="004558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5C2F" w14:textId="77777777" w:rsidR="007D0111" w:rsidRDefault="007D0111" w:rsidP="00455834">
      <w:pPr>
        <w:spacing w:after="0" w:line="240" w:lineRule="auto"/>
      </w:pPr>
      <w:r>
        <w:separator/>
      </w:r>
    </w:p>
  </w:endnote>
  <w:endnote w:type="continuationSeparator" w:id="0">
    <w:p w14:paraId="60022AA9" w14:textId="77777777" w:rsidR="007D0111" w:rsidRDefault="007D0111" w:rsidP="0045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045748"/>
      <w:docPartObj>
        <w:docPartGallery w:val="Page Numbers (Bottom of Page)"/>
        <w:docPartUnique/>
      </w:docPartObj>
    </w:sdtPr>
    <w:sdtEndPr>
      <w:rPr>
        <w:noProof/>
      </w:rPr>
    </w:sdtEndPr>
    <w:sdtContent>
      <w:p w14:paraId="25F9BFFB" w14:textId="299ABE3B" w:rsidR="00C81DC4" w:rsidRDefault="00C81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B9CB3" w14:textId="77777777" w:rsidR="00455834" w:rsidRDefault="0045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41843"/>
      <w:docPartObj>
        <w:docPartGallery w:val="Page Numbers (Bottom of Page)"/>
        <w:docPartUnique/>
      </w:docPartObj>
    </w:sdtPr>
    <w:sdtEndPr>
      <w:rPr>
        <w:noProof/>
      </w:rPr>
    </w:sdtEndPr>
    <w:sdtContent>
      <w:p w14:paraId="62AFE9BF" w14:textId="77777777" w:rsidR="00E07A27" w:rsidRDefault="00E07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72340" w14:textId="77777777" w:rsidR="00E07A27" w:rsidRDefault="00E0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E2AB" w14:textId="77777777" w:rsidR="007D0111" w:rsidRDefault="007D0111" w:rsidP="00455834">
      <w:pPr>
        <w:spacing w:after="0" w:line="240" w:lineRule="auto"/>
      </w:pPr>
      <w:r>
        <w:separator/>
      </w:r>
    </w:p>
  </w:footnote>
  <w:footnote w:type="continuationSeparator" w:id="0">
    <w:p w14:paraId="485FC119" w14:textId="77777777" w:rsidR="007D0111" w:rsidRDefault="007D0111" w:rsidP="00455834">
      <w:pPr>
        <w:spacing w:after="0" w:line="240" w:lineRule="auto"/>
      </w:pPr>
      <w:r>
        <w:continuationSeparator/>
      </w:r>
    </w:p>
  </w:footnote>
  <w:footnote w:id="1">
    <w:p w14:paraId="1B996376" w14:textId="2C42C5C6" w:rsidR="0056647F" w:rsidRPr="00781A3E" w:rsidRDefault="0056647F" w:rsidP="0056647F">
      <w:pPr>
        <w:pStyle w:val="FootnoteText"/>
        <w:rPr>
          <w:lang w:val="en-GB"/>
        </w:rPr>
      </w:pPr>
      <w:r w:rsidRPr="0056647F">
        <w:rPr>
          <w:rStyle w:val="FootnoteReference"/>
        </w:rPr>
        <w:sym w:font="Symbol" w:char="F02A"/>
      </w:r>
      <w:r w:rsidRPr="0056647F">
        <w:rPr>
          <w:lang w:val="en-GB"/>
        </w:rPr>
        <w:t xml:space="preserve"> </w:t>
      </w:r>
      <w:r w:rsidRPr="0056647F">
        <w:rPr>
          <w:rFonts w:ascii="Times New Roman" w:hAnsi="Times New Roman" w:cs="Times New Roman"/>
          <w:lang w:val="en-GB"/>
        </w:rPr>
        <w:t xml:space="preserve">Corresponding author: email: </w:t>
      </w:r>
      <w:hyperlink r:id="rId1" w:history="1">
        <w:r w:rsidRPr="0056647F">
          <w:rPr>
            <w:rStyle w:val="Hyperlink"/>
            <w:rFonts w:ascii="Times New Roman" w:hAnsi="Times New Roman" w:cs="Times New Roman"/>
            <w:lang w:val="en-GB"/>
          </w:rPr>
          <w:t>rosario.scandurra@uab.cat</w:t>
        </w:r>
      </w:hyperlink>
      <w:r w:rsidRPr="0056647F">
        <w:rPr>
          <w:rFonts w:ascii="Times New Roman" w:hAnsi="Times New Roman" w:cs="Times New Roman"/>
          <w:lang w:val="en-GB"/>
        </w:rPr>
        <w:t xml:space="preserve">. </w:t>
      </w:r>
      <w:r w:rsidRPr="00781A3E">
        <w:rPr>
          <w:rFonts w:ascii="Times New Roman" w:hAnsi="Times New Roman" w:cs="Times New Roman"/>
          <w:lang w:val="en-GB"/>
        </w:rPr>
        <w:t>Address: Universitat Autònoma de Barcelona, Department of Sociology &amp; GEPS, Edifici B3, E1/101, Carrer de la Vall Moronta, 08193, Bellaterra (Cerdanyola del Vallès)</w:t>
      </w:r>
      <w:r w:rsidRPr="00781A3E">
        <w:rPr>
          <w:lang w:val="en-GB"/>
        </w:rPr>
        <w:t xml:space="preserve"> </w:t>
      </w:r>
    </w:p>
  </w:footnote>
  <w:footnote w:id="2">
    <w:p w14:paraId="791989E4" w14:textId="77777777" w:rsidR="00136CDF" w:rsidRPr="009C7B09" w:rsidRDefault="00136CDF" w:rsidP="00136CDF">
      <w:pPr>
        <w:pStyle w:val="FootnoteText"/>
        <w:rPr>
          <w:rFonts w:ascii="Times New Roman" w:hAnsi="Times New Roman" w:cs="Times New Roman"/>
          <w:lang w:val="en-GB"/>
        </w:rPr>
      </w:pPr>
      <w:r w:rsidRPr="009C7B09">
        <w:rPr>
          <w:rStyle w:val="FootnoteReference"/>
          <w:rFonts w:ascii="Times New Roman" w:hAnsi="Times New Roman" w:cs="Times New Roman"/>
        </w:rPr>
        <w:footnoteRef/>
      </w:r>
      <w:r w:rsidRPr="009C7B09">
        <w:rPr>
          <w:rFonts w:ascii="Times New Roman" w:hAnsi="Times New Roman" w:cs="Times New Roman"/>
          <w:lang w:val="en-GB"/>
        </w:rPr>
        <w:t xml:space="preserve"> See for instance a wide range of best practice case studies published by NACE: https://www.naceweb.org/career-development/best-practices/</w:t>
      </w:r>
    </w:p>
  </w:footnote>
  <w:footnote w:id="3">
    <w:p w14:paraId="2BCDD8E0" w14:textId="77777777" w:rsidR="00136CDF" w:rsidRPr="009C7B09" w:rsidRDefault="00136CDF" w:rsidP="00136CDF">
      <w:pPr>
        <w:pStyle w:val="FootnoteText"/>
        <w:rPr>
          <w:rFonts w:ascii="Times New Roman" w:hAnsi="Times New Roman" w:cs="Times New Roman"/>
          <w:lang w:val="en-GB"/>
        </w:rPr>
      </w:pPr>
      <w:r w:rsidRPr="009C7B09">
        <w:rPr>
          <w:rStyle w:val="FootnoteReference"/>
          <w:rFonts w:ascii="Times New Roman" w:hAnsi="Times New Roman" w:cs="Times New Roman"/>
        </w:rPr>
        <w:footnoteRef/>
      </w:r>
      <w:r w:rsidRPr="009C7B09">
        <w:rPr>
          <w:rFonts w:ascii="Times New Roman" w:hAnsi="Times New Roman" w:cs="Times New Roman"/>
          <w:lang w:val="en-GB"/>
        </w:rPr>
        <w:t xml:space="preserve"> </w:t>
      </w:r>
      <w:hyperlink r:id="rId2" w:history="1">
        <w:r w:rsidRPr="009C7B09">
          <w:rPr>
            <w:rStyle w:val="Hyperlink"/>
            <w:rFonts w:ascii="Times New Roman" w:hAnsi="Times New Roman" w:cs="Times New Roman"/>
            <w:lang w:val="en-GB"/>
          </w:rPr>
          <w:t>https://www.topuniversities.com/university-rankings/employability-rankings/2022</w:t>
        </w:r>
      </w:hyperlink>
    </w:p>
  </w:footnote>
  <w:footnote w:id="4">
    <w:p w14:paraId="1305E551" w14:textId="77777777" w:rsidR="00136CDF" w:rsidRPr="009C7B09" w:rsidRDefault="00136CDF" w:rsidP="00136CDF">
      <w:pPr>
        <w:pStyle w:val="FootnoteText"/>
        <w:rPr>
          <w:rFonts w:ascii="Times New Roman" w:hAnsi="Times New Roman" w:cs="Times New Roman"/>
          <w:lang w:val="en-GB"/>
        </w:rPr>
      </w:pPr>
      <w:r w:rsidRPr="009C7B09">
        <w:rPr>
          <w:rStyle w:val="FootnoteReference"/>
          <w:rFonts w:ascii="Times New Roman" w:hAnsi="Times New Roman" w:cs="Times New Roman"/>
        </w:rPr>
        <w:footnoteRef/>
      </w:r>
      <w:r w:rsidRPr="009C7B09">
        <w:rPr>
          <w:rFonts w:ascii="Times New Roman" w:hAnsi="Times New Roman" w:cs="Times New Roman"/>
          <w:lang w:val="en-GB"/>
        </w:rPr>
        <w:t xml:space="preserve"> </w:t>
      </w:r>
      <w:hyperlink r:id="rId3" w:history="1">
        <w:r w:rsidRPr="009C7B09">
          <w:rPr>
            <w:rStyle w:val="Hyperlink"/>
            <w:rFonts w:ascii="Times New Roman" w:hAnsi="Times New Roman" w:cs="Times New Roman"/>
            <w:lang w:val="en-GB"/>
          </w:rPr>
          <w:t>https://www.timeshighereducation.com/press-releases/global-employability-rankings-2021</w:t>
        </w:r>
      </w:hyperlink>
      <w:r w:rsidRPr="009C7B09">
        <w:rPr>
          <w:rFonts w:ascii="Times New Roman" w:hAnsi="Times New Roman" w:cs="Times New Roman"/>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24CC"/>
    <w:multiLevelType w:val="multilevel"/>
    <w:tmpl w:val="BDDC11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DF5F92"/>
    <w:multiLevelType w:val="hybridMultilevel"/>
    <w:tmpl w:val="64F2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B369D"/>
    <w:multiLevelType w:val="multilevel"/>
    <w:tmpl w:val="ADC29B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AEA6EB8"/>
    <w:multiLevelType w:val="hybridMultilevel"/>
    <w:tmpl w:val="9DE8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40BD"/>
    <w:multiLevelType w:val="hybridMultilevel"/>
    <w:tmpl w:val="A93A9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2085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BE57B2B"/>
    <w:multiLevelType w:val="hybridMultilevel"/>
    <w:tmpl w:val="E8A21284"/>
    <w:lvl w:ilvl="0" w:tplc="30BAC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B1A6E"/>
    <w:multiLevelType w:val="multilevel"/>
    <w:tmpl w:val="40C29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37642A3"/>
    <w:multiLevelType w:val="hybridMultilevel"/>
    <w:tmpl w:val="6810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67D7A"/>
    <w:multiLevelType w:val="multilevel"/>
    <w:tmpl w:val="2C6CB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91704280">
    <w:abstractNumId w:val="5"/>
  </w:num>
  <w:num w:numId="2" w16cid:durableId="1431120903">
    <w:abstractNumId w:val="1"/>
  </w:num>
  <w:num w:numId="3" w16cid:durableId="2041005832">
    <w:abstractNumId w:val="4"/>
  </w:num>
  <w:num w:numId="4" w16cid:durableId="934828600">
    <w:abstractNumId w:val="3"/>
  </w:num>
  <w:num w:numId="5" w16cid:durableId="1824085264">
    <w:abstractNumId w:val="0"/>
  </w:num>
  <w:num w:numId="6" w16cid:durableId="318391769">
    <w:abstractNumId w:val="2"/>
  </w:num>
  <w:num w:numId="7" w16cid:durableId="89399155">
    <w:abstractNumId w:val="9"/>
  </w:num>
  <w:num w:numId="8" w16cid:durableId="1538159702">
    <w:abstractNumId w:val="7"/>
  </w:num>
  <w:num w:numId="9" w16cid:durableId="1752892673">
    <w:abstractNumId w:val="6"/>
  </w:num>
  <w:num w:numId="10" w16cid:durableId="1193806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F6"/>
    <w:rsid w:val="00021E25"/>
    <w:rsid w:val="00026D24"/>
    <w:rsid w:val="000313E6"/>
    <w:rsid w:val="00036945"/>
    <w:rsid w:val="00044312"/>
    <w:rsid w:val="000576B2"/>
    <w:rsid w:val="00070EC4"/>
    <w:rsid w:val="00075259"/>
    <w:rsid w:val="000840C7"/>
    <w:rsid w:val="00094F6B"/>
    <w:rsid w:val="000A5DE0"/>
    <w:rsid w:val="000A66D6"/>
    <w:rsid w:val="000D3C25"/>
    <w:rsid w:val="000E07FD"/>
    <w:rsid w:val="000E7D14"/>
    <w:rsid w:val="00113E72"/>
    <w:rsid w:val="00120E2A"/>
    <w:rsid w:val="00132659"/>
    <w:rsid w:val="00136CDF"/>
    <w:rsid w:val="00137C63"/>
    <w:rsid w:val="00144F85"/>
    <w:rsid w:val="001515A3"/>
    <w:rsid w:val="0015310F"/>
    <w:rsid w:val="00156211"/>
    <w:rsid w:val="0016615A"/>
    <w:rsid w:val="001C0CA9"/>
    <w:rsid w:val="001F3ECA"/>
    <w:rsid w:val="001F63C5"/>
    <w:rsid w:val="00225553"/>
    <w:rsid w:val="00235F8B"/>
    <w:rsid w:val="002731E1"/>
    <w:rsid w:val="00277751"/>
    <w:rsid w:val="00277BD5"/>
    <w:rsid w:val="00281881"/>
    <w:rsid w:val="00282F97"/>
    <w:rsid w:val="002839FE"/>
    <w:rsid w:val="00286DF7"/>
    <w:rsid w:val="002903AC"/>
    <w:rsid w:val="0029579C"/>
    <w:rsid w:val="00295F3D"/>
    <w:rsid w:val="002B10F9"/>
    <w:rsid w:val="002B3835"/>
    <w:rsid w:val="002C6706"/>
    <w:rsid w:val="002E2261"/>
    <w:rsid w:val="00311205"/>
    <w:rsid w:val="00311286"/>
    <w:rsid w:val="00341A4A"/>
    <w:rsid w:val="003451B1"/>
    <w:rsid w:val="00351951"/>
    <w:rsid w:val="00351ED9"/>
    <w:rsid w:val="003546C6"/>
    <w:rsid w:val="003653C3"/>
    <w:rsid w:val="003B6541"/>
    <w:rsid w:val="003D3E9E"/>
    <w:rsid w:val="003D6EF3"/>
    <w:rsid w:val="004325EB"/>
    <w:rsid w:val="0044493E"/>
    <w:rsid w:val="00446DFF"/>
    <w:rsid w:val="00455834"/>
    <w:rsid w:val="004604E5"/>
    <w:rsid w:val="004A5DE2"/>
    <w:rsid w:val="004C1DE3"/>
    <w:rsid w:val="004E4619"/>
    <w:rsid w:val="004F0B80"/>
    <w:rsid w:val="004F666E"/>
    <w:rsid w:val="00511B32"/>
    <w:rsid w:val="005123E1"/>
    <w:rsid w:val="00513ADC"/>
    <w:rsid w:val="005201CB"/>
    <w:rsid w:val="00547C0B"/>
    <w:rsid w:val="00566298"/>
    <w:rsid w:val="0056647F"/>
    <w:rsid w:val="005732F9"/>
    <w:rsid w:val="005A02AD"/>
    <w:rsid w:val="00617556"/>
    <w:rsid w:val="00622B66"/>
    <w:rsid w:val="00622BF0"/>
    <w:rsid w:val="00657C69"/>
    <w:rsid w:val="00683328"/>
    <w:rsid w:val="00691FCF"/>
    <w:rsid w:val="006B6276"/>
    <w:rsid w:val="006D504F"/>
    <w:rsid w:val="006F5854"/>
    <w:rsid w:val="007114E5"/>
    <w:rsid w:val="00712F1C"/>
    <w:rsid w:val="00740443"/>
    <w:rsid w:val="00761721"/>
    <w:rsid w:val="00764E2D"/>
    <w:rsid w:val="00781A3E"/>
    <w:rsid w:val="007945A3"/>
    <w:rsid w:val="00794FC4"/>
    <w:rsid w:val="007B232B"/>
    <w:rsid w:val="007C130D"/>
    <w:rsid w:val="007D0111"/>
    <w:rsid w:val="007D05B2"/>
    <w:rsid w:val="007E056B"/>
    <w:rsid w:val="007E5783"/>
    <w:rsid w:val="007E6965"/>
    <w:rsid w:val="007F1781"/>
    <w:rsid w:val="007F4B15"/>
    <w:rsid w:val="008040C3"/>
    <w:rsid w:val="0082255C"/>
    <w:rsid w:val="00830BC6"/>
    <w:rsid w:val="00837200"/>
    <w:rsid w:val="00847361"/>
    <w:rsid w:val="00854D58"/>
    <w:rsid w:val="00866DDE"/>
    <w:rsid w:val="00894221"/>
    <w:rsid w:val="008E2CAA"/>
    <w:rsid w:val="008F6387"/>
    <w:rsid w:val="009041E9"/>
    <w:rsid w:val="00906697"/>
    <w:rsid w:val="0091168A"/>
    <w:rsid w:val="00944752"/>
    <w:rsid w:val="00955E28"/>
    <w:rsid w:val="0096198D"/>
    <w:rsid w:val="009700EA"/>
    <w:rsid w:val="009A0043"/>
    <w:rsid w:val="009B5C2E"/>
    <w:rsid w:val="009C7B09"/>
    <w:rsid w:val="009E038D"/>
    <w:rsid w:val="00A10ED8"/>
    <w:rsid w:val="00A25D64"/>
    <w:rsid w:val="00A2749E"/>
    <w:rsid w:val="00A47E4A"/>
    <w:rsid w:val="00A53FEE"/>
    <w:rsid w:val="00A676DC"/>
    <w:rsid w:val="00A83018"/>
    <w:rsid w:val="00AA0247"/>
    <w:rsid w:val="00AA2AFB"/>
    <w:rsid w:val="00AC4C1A"/>
    <w:rsid w:val="00AC4D1F"/>
    <w:rsid w:val="00AC6E83"/>
    <w:rsid w:val="00AD37CA"/>
    <w:rsid w:val="00AE54EB"/>
    <w:rsid w:val="00B03377"/>
    <w:rsid w:val="00B25EE0"/>
    <w:rsid w:val="00B436C3"/>
    <w:rsid w:val="00B5516D"/>
    <w:rsid w:val="00B650C5"/>
    <w:rsid w:val="00B8777D"/>
    <w:rsid w:val="00BA7857"/>
    <w:rsid w:val="00BB1B6A"/>
    <w:rsid w:val="00BB46C6"/>
    <w:rsid w:val="00BD7049"/>
    <w:rsid w:val="00BE0CF6"/>
    <w:rsid w:val="00BE3AF3"/>
    <w:rsid w:val="00C04622"/>
    <w:rsid w:val="00C11547"/>
    <w:rsid w:val="00C12B9F"/>
    <w:rsid w:val="00C17394"/>
    <w:rsid w:val="00C528B4"/>
    <w:rsid w:val="00C64165"/>
    <w:rsid w:val="00C81DC4"/>
    <w:rsid w:val="00C917F1"/>
    <w:rsid w:val="00C93A25"/>
    <w:rsid w:val="00C95CD0"/>
    <w:rsid w:val="00CD0C70"/>
    <w:rsid w:val="00CE2FF3"/>
    <w:rsid w:val="00D01289"/>
    <w:rsid w:val="00D26A47"/>
    <w:rsid w:val="00D73F47"/>
    <w:rsid w:val="00DA6E61"/>
    <w:rsid w:val="00DA7E59"/>
    <w:rsid w:val="00DB7042"/>
    <w:rsid w:val="00DC0FC9"/>
    <w:rsid w:val="00DC100C"/>
    <w:rsid w:val="00DE5EC6"/>
    <w:rsid w:val="00DF02CF"/>
    <w:rsid w:val="00DF5F37"/>
    <w:rsid w:val="00E05C93"/>
    <w:rsid w:val="00E07A27"/>
    <w:rsid w:val="00E20C23"/>
    <w:rsid w:val="00E24D52"/>
    <w:rsid w:val="00E37340"/>
    <w:rsid w:val="00E552D2"/>
    <w:rsid w:val="00E6429C"/>
    <w:rsid w:val="00E73BB4"/>
    <w:rsid w:val="00E76A8B"/>
    <w:rsid w:val="00E90037"/>
    <w:rsid w:val="00E922FC"/>
    <w:rsid w:val="00EB2267"/>
    <w:rsid w:val="00EB3648"/>
    <w:rsid w:val="00EB79FE"/>
    <w:rsid w:val="00EE19A8"/>
    <w:rsid w:val="00F0351E"/>
    <w:rsid w:val="00F3361B"/>
    <w:rsid w:val="00F45FF7"/>
    <w:rsid w:val="00F50274"/>
    <w:rsid w:val="00F603DC"/>
    <w:rsid w:val="00F71527"/>
    <w:rsid w:val="00F76A4A"/>
    <w:rsid w:val="00FA1963"/>
    <w:rsid w:val="00FB323D"/>
    <w:rsid w:val="00FC05BE"/>
    <w:rsid w:val="00FC20F7"/>
    <w:rsid w:val="00FF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7618"/>
  <w15:chartTrackingRefBased/>
  <w15:docId w15:val="{30A5595A-1117-4160-A97F-5E902854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34"/>
    <w:rPr>
      <w:lang w:val="es-ES"/>
    </w:rPr>
  </w:style>
  <w:style w:type="paragraph" w:styleId="Heading1">
    <w:name w:val="heading 1"/>
    <w:basedOn w:val="Normal"/>
    <w:next w:val="Normal"/>
    <w:link w:val="Heading1Char"/>
    <w:uiPriority w:val="9"/>
    <w:qFormat/>
    <w:rsid w:val="0044493E"/>
    <w:pPr>
      <w:keepNext/>
      <w:keepLines/>
      <w:numPr>
        <w:numId w:val="1"/>
      </w:numPr>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041E9"/>
    <w:pPr>
      <w:keepNext/>
      <w:keepLines/>
      <w:numPr>
        <w:ilvl w:val="1"/>
        <w:numId w:val="1"/>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691FCF"/>
    <w:pPr>
      <w:keepNext/>
      <w:keepLines/>
      <w:numPr>
        <w:ilvl w:val="2"/>
        <w:numId w:val="1"/>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44493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93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93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93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9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9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5834"/>
    <w:rPr>
      <w:sz w:val="16"/>
      <w:szCs w:val="16"/>
    </w:rPr>
  </w:style>
  <w:style w:type="paragraph" w:styleId="CommentText">
    <w:name w:val="annotation text"/>
    <w:basedOn w:val="Normal"/>
    <w:link w:val="CommentTextChar"/>
    <w:uiPriority w:val="99"/>
    <w:unhideWhenUsed/>
    <w:rsid w:val="00455834"/>
    <w:pPr>
      <w:spacing w:line="240" w:lineRule="auto"/>
    </w:pPr>
    <w:rPr>
      <w:sz w:val="20"/>
      <w:szCs w:val="20"/>
      <w:lang w:val="de-DE"/>
    </w:rPr>
  </w:style>
  <w:style w:type="character" w:customStyle="1" w:styleId="CommentTextChar">
    <w:name w:val="Comment Text Char"/>
    <w:basedOn w:val="DefaultParagraphFont"/>
    <w:link w:val="CommentText"/>
    <w:uiPriority w:val="99"/>
    <w:rsid w:val="00455834"/>
    <w:rPr>
      <w:sz w:val="20"/>
      <w:szCs w:val="20"/>
      <w:lang w:val="de-DE"/>
    </w:rPr>
  </w:style>
  <w:style w:type="paragraph" w:styleId="Header">
    <w:name w:val="header"/>
    <w:basedOn w:val="Normal"/>
    <w:link w:val="HeaderChar"/>
    <w:uiPriority w:val="99"/>
    <w:unhideWhenUsed/>
    <w:rsid w:val="0045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834"/>
    <w:rPr>
      <w:lang w:val="es-ES"/>
    </w:rPr>
  </w:style>
  <w:style w:type="paragraph" w:styleId="Footer">
    <w:name w:val="footer"/>
    <w:basedOn w:val="Normal"/>
    <w:link w:val="FooterChar"/>
    <w:uiPriority w:val="99"/>
    <w:unhideWhenUsed/>
    <w:rsid w:val="0045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834"/>
    <w:rPr>
      <w:lang w:val="es-ES"/>
    </w:rPr>
  </w:style>
  <w:style w:type="character" w:customStyle="1" w:styleId="Heading1Char">
    <w:name w:val="Heading 1 Char"/>
    <w:basedOn w:val="DefaultParagraphFont"/>
    <w:link w:val="Heading1"/>
    <w:uiPriority w:val="9"/>
    <w:rsid w:val="0044493E"/>
    <w:rPr>
      <w:rFonts w:asciiTheme="majorHAnsi" w:eastAsiaTheme="majorEastAsia" w:hAnsiTheme="majorHAnsi" w:cstheme="majorBidi"/>
      <w:color w:val="000000" w:themeColor="text1"/>
      <w:sz w:val="32"/>
      <w:szCs w:val="32"/>
      <w:lang w:val="es-ES"/>
    </w:rPr>
  </w:style>
  <w:style w:type="character" w:customStyle="1" w:styleId="Heading2Char">
    <w:name w:val="Heading 2 Char"/>
    <w:basedOn w:val="DefaultParagraphFont"/>
    <w:link w:val="Heading2"/>
    <w:uiPriority w:val="9"/>
    <w:rsid w:val="009041E9"/>
    <w:rPr>
      <w:rFonts w:asciiTheme="majorHAnsi" w:eastAsiaTheme="majorEastAsia" w:hAnsiTheme="majorHAnsi" w:cstheme="majorBidi"/>
      <w:sz w:val="26"/>
      <w:szCs w:val="26"/>
      <w:lang w:val="es-ES"/>
    </w:rPr>
  </w:style>
  <w:style w:type="character" w:customStyle="1" w:styleId="Heading3Char">
    <w:name w:val="Heading 3 Char"/>
    <w:basedOn w:val="DefaultParagraphFont"/>
    <w:link w:val="Heading3"/>
    <w:uiPriority w:val="9"/>
    <w:rsid w:val="00691FCF"/>
    <w:rPr>
      <w:rFonts w:asciiTheme="majorHAnsi" w:eastAsiaTheme="majorEastAsia" w:hAnsiTheme="majorHAnsi" w:cstheme="majorBidi"/>
      <w:sz w:val="24"/>
      <w:szCs w:val="24"/>
      <w:lang w:val="es-ES"/>
    </w:rPr>
  </w:style>
  <w:style w:type="character" w:customStyle="1" w:styleId="Heading4Char">
    <w:name w:val="Heading 4 Char"/>
    <w:basedOn w:val="DefaultParagraphFont"/>
    <w:link w:val="Heading4"/>
    <w:uiPriority w:val="9"/>
    <w:semiHidden/>
    <w:rsid w:val="0044493E"/>
    <w:rPr>
      <w:rFonts w:asciiTheme="majorHAnsi" w:eastAsiaTheme="majorEastAsia" w:hAnsiTheme="majorHAnsi" w:cstheme="majorBidi"/>
      <w:i/>
      <w:iCs/>
      <w:color w:val="2F5496" w:themeColor="accent1" w:themeShade="BF"/>
      <w:lang w:val="es-ES"/>
    </w:rPr>
  </w:style>
  <w:style w:type="character" w:customStyle="1" w:styleId="Heading5Char">
    <w:name w:val="Heading 5 Char"/>
    <w:basedOn w:val="DefaultParagraphFont"/>
    <w:link w:val="Heading5"/>
    <w:uiPriority w:val="9"/>
    <w:semiHidden/>
    <w:rsid w:val="0044493E"/>
    <w:rPr>
      <w:rFonts w:asciiTheme="majorHAnsi" w:eastAsiaTheme="majorEastAsia" w:hAnsiTheme="majorHAnsi" w:cstheme="majorBidi"/>
      <w:color w:val="2F5496" w:themeColor="accent1" w:themeShade="BF"/>
      <w:lang w:val="es-ES"/>
    </w:rPr>
  </w:style>
  <w:style w:type="character" w:customStyle="1" w:styleId="Heading6Char">
    <w:name w:val="Heading 6 Char"/>
    <w:basedOn w:val="DefaultParagraphFont"/>
    <w:link w:val="Heading6"/>
    <w:uiPriority w:val="9"/>
    <w:semiHidden/>
    <w:rsid w:val="0044493E"/>
    <w:rPr>
      <w:rFonts w:asciiTheme="majorHAnsi" w:eastAsiaTheme="majorEastAsia" w:hAnsiTheme="majorHAnsi" w:cstheme="majorBidi"/>
      <w:color w:val="1F3763" w:themeColor="accent1" w:themeShade="7F"/>
      <w:lang w:val="es-ES"/>
    </w:rPr>
  </w:style>
  <w:style w:type="character" w:customStyle="1" w:styleId="Heading7Char">
    <w:name w:val="Heading 7 Char"/>
    <w:basedOn w:val="DefaultParagraphFont"/>
    <w:link w:val="Heading7"/>
    <w:uiPriority w:val="9"/>
    <w:semiHidden/>
    <w:rsid w:val="0044493E"/>
    <w:rPr>
      <w:rFonts w:asciiTheme="majorHAnsi" w:eastAsiaTheme="majorEastAsia" w:hAnsiTheme="majorHAnsi" w:cstheme="majorBidi"/>
      <w:i/>
      <w:iCs/>
      <w:color w:val="1F3763" w:themeColor="accent1" w:themeShade="7F"/>
      <w:lang w:val="es-ES"/>
    </w:rPr>
  </w:style>
  <w:style w:type="character" w:customStyle="1" w:styleId="Heading8Char">
    <w:name w:val="Heading 8 Char"/>
    <w:basedOn w:val="DefaultParagraphFont"/>
    <w:link w:val="Heading8"/>
    <w:uiPriority w:val="9"/>
    <w:semiHidden/>
    <w:rsid w:val="0044493E"/>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uiPriority w:val="9"/>
    <w:semiHidden/>
    <w:rsid w:val="0044493E"/>
    <w:rPr>
      <w:rFonts w:asciiTheme="majorHAnsi" w:eastAsiaTheme="majorEastAsia" w:hAnsiTheme="majorHAnsi" w:cstheme="majorBidi"/>
      <w:i/>
      <w:iCs/>
      <w:color w:val="272727" w:themeColor="text1" w:themeTint="D8"/>
      <w:sz w:val="21"/>
      <w:szCs w:val="21"/>
      <w:lang w:val="es-ES"/>
    </w:rPr>
  </w:style>
  <w:style w:type="character" w:customStyle="1" w:styleId="viiyi">
    <w:name w:val="viiyi"/>
    <w:basedOn w:val="DefaultParagraphFont"/>
    <w:rsid w:val="00944752"/>
  </w:style>
  <w:style w:type="character" w:customStyle="1" w:styleId="jlqj4b">
    <w:name w:val="jlqj4b"/>
    <w:basedOn w:val="DefaultParagraphFont"/>
    <w:rsid w:val="00944752"/>
  </w:style>
  <w:style w:type="paragraph" w:styleId="ListParagraph">
    <w:name w:val="List Paragraph"/>
    <w:basedOn w:val="Normal"/>
    <w:uiPriority w:val="34"/>
    <w:qFormat/>
    <w:rsid w:val="007D05B2"/>
    <w:pPr>
      <w:ind w:left="720"/>
      <w:contextualSpacing/>
    </w:pPr>
  </w:style>
  <w:style w:type="paragraph" w:styleId="Caption">
    <w:name w:val="caption"/>
    <w:basedOn w:val="Normal"/>
    <w:next w:val="Normal"/>
    <w:uiPriority w:val="35"/>
    <w:unhideWhenUsed/>
    <w:qFormat/>
    <w:rsid w:val="00EB3648"/>
    <w:pPr>
      <w:spacing w:after="200" w:line="240" w:lineRule="auto"/>
    </w:pPr>
    <w:rPr>
      <w:rFonts w:ascii="Garamond" w:hAnsi="Garamond"/>
      <w:b/>
      <w:iCs/>
      <w:szCs w:val="18"/>
    </w:rPr>
  </w:style>
  <w:style w:type="character" w:styleId="Hyperlink">
    <w:name w:val="Hyperlink"/>
    <w:basedOn w:val="DefaultParagraphFont"/>
    <w:uiPriority w:val="99"/>
    <w:unhideWhenUsed/>
    <w:rsid w:val="005732F9"/>
    <w:rPr>
      <w:color w:val="0563C1" w:themeColor="hyperlink"/>
      <w:u w:val="single"/>
    </w:rPr>
  </w:style>
  <w:style w:type="paragraph" w:styleId="FootnoteText">
    <w:name w:val="footnote text"/>
    <w:basedOn w:val="Normal"/>
    <w:link w:val="FootnoteTextChar"/>
    <w:uiPriority w:val="99"/>
    <w:unhideWhenUsed/>
    <w:rsid w:val="005732F9"/>
    <w:pPr>
      <w:spacing w:after="0" w:line="240" w:lineRule="auto"/>
    </w:pPr>
    <w:rPr>
      <w:sz w:val="20"/>
      <w:szCs w:val="20"/>
    </w:rPr>
  </w:style>
  <w:style w:type="character" w:customStyle="1" w:styleId="FootnoteTextChar">
    <w:name w:val="Footnote Text Char"/>
    <w:basedOn w:val="DefaultParagraphFont"/>
    <w:link w:val="FootnoteText"/>
    <w:uiPriority w:val="99"/>
    <w:rsid w:val="005732F9"/>
    <w:rPr>
      <w:sz w:val="20"/>
      <w:szCs w:val="20"/>
      <w:lang w:val="es-ES"/>
    </w:rPr>
  </w:style>
  <w:style w:type="character" w:styleId="FootnoteReference">
    <w:name w:val="footnote reference"/>
    <w:basedOn w:val="DefaultParagraphFont"/>
    <w:uiPriority w:val="99"/>
    <w:semiHidden/>
    <w:unhideWhenUsed/>
    <w:rsid w:val="005732F9"/>
    <w:rPr>
      <w:vertAlign w:val="superscript"/>
    </w:rPr>
  </w:style>
  <w:style w:type="character" w:styleId="UnresolvedMention">
    <w:name w:val="Unresolved Mention"/>
    <w:basedOn w:val="DefaultParagraphFont"/>
    <w:uiPriority w:val="99"/>
    <w:semiHidden/>
    <w:unhideWhenUsed/>
    <w:rsid w:val="00E24D52"/>
    <w:rPr>
      <w:color w:val="605E5C"/>
      <w:shd w:val="clear" w:color="auto" w:fill="E1DFDD"/>
    </w:rPr>
  </w:style>
  <w:style w:type="paragraph" w:styleId="Bibliography">
    <w:name w:val="Bibliography"/>
    <w:basedOn w:val="Normal"/>
    <w:next w:val="Normal"/>
    <w:uiPriority w:val="37"/>
    <w:semiHidden/>
    <w:unhideWhenUsed/>
    <w:rsid w:val="006D504F"/>
  </w:style>
  <w:style w:type="paragraph" w:styleId="CommentSubject">
    <w:name w:val="annotation subject"/>
    <w:basedOn w:val="CommentText"/>
    <w:next w:val="CommentText"/>
    <w:link w:val="CommentSubjectChar"/>
    <w:uiPriority w:val="99"/>
    <w:semiHidden/>
    <w:unhideWhenUsed/>
    <w:rsid w:val="00622BF0"/>
    <w:rPr>
      <w:b/>
      <w:bCs/>
      <w:lang w:val="es-ES"/>
    </w:rPr>
  </w:style>
  <w:style w:type="character" w:customStyle="1" w:styleId="CommentSubjectChar">
    <w:name w:val="Comment Subject Char"/>
    <w:basedOn w:val="CommentTextChar"/>
    <w:link w:val="CommentSubject"/>
    <w:uiPriority w:val="99"/>
    <w:semiHidden/>
    <w:rsid w:val="00622BF0"/>
    <w:rPr>
      <w:b/>
      <w:bCs/>
      <w:sz w:val="20"/>
      <w:szCs w:val="20"/>
      <w:lang w:val="es-ES"/>
    </w:rPr>
  </w:style>
  <w:style w:type="paragraph" w:styleId="Revision">
    <w:name w:val="Revision"/>
    <w:hidden/>
    <w:uiPriority w:val="99"/>
    <w:semiHidden/>
    <w:rsid w:val="00622BF0"/>
    <w:pPr>
      <w:spacing w:after="0" w:line="240" w:lineRule="auto"/>
    </w:pPr>
    <w:rPr>
      <w:lang w:val="es-ES"/>
    </w:rPr>
  </w:style>
  <w:style w:type="character" w:styleId="Emphasis">
    <w:name w:val="Emphasis"/>
    <w:basedOn w:val="DefaultParagraphFont"/>
    <w:uiPriority w:val="20"/>
    <w:qFormat/>
    <w:rsid w:val="00132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1073">
      <w:bodyDiv w:val="1"/>
      <w:marLeft w:val="0"/>
      <w:marRight w:val="0"/>
      <w:marTop w:val="0"/>
      <w:marBottom w:val="0"/>
      <w:divBdr>
        <w:top w:val="none" w:sz="0" w:space="0" w:color="auto"/>
        <w:left w:val="none" w:sz="0" w:space="0" w:color="auto"/>
        <w:bottom w:val="none" w:sz="0" w:space="0" w:color="auto"/>
        <w:right w:val="none" w:sz="0" w:space="0" w:color="auto"/>
      </w:divBdr>
    </w:div>
    <w:div w:id="820460088">
      <w:bodyDiv w:val="1"/>
      <w:marLeft w:val="0"/>
      <w:marRight w:val="0"/>
      <w:marTop w:val="0"/>
      <w:marBottom w:val="0"/>
      <w:divBdr>
        <w:top w:val="none" w:sz="0" w:space="0" w:color="auto"/>
        <w:left w:val="none" w:sz="0" w:space="0" w:color="auto"/>
        <w:bottom w:val="none" w:sz="0" w:space="0" w:color="auto"/>
        <w:right w:val="none" w:sz="0" w:space="0" w:color="auto"/>
      </w:divBdr>
      <w:divsChild>
        <w:div w:id="2029286793">
          <w:marLeft w:val="0"/>
          <w:marRight w:val="0"/>
          <w:marTop w:val="0"/>
          <w:marBottom w:val="0"/>
          <w:divBdr>
            <w:top w:val="none" w:sz="0" w:space="0" w:color="auto"/>
            <w:left w:val="none" w:sz="0" w:space="0" w:color="auto"/>
            <w:bottom w:val="none" w:sz="0" w:space="0" w:color="auto"/>
            <w:right w:val="none" w:sz="0" w:space="0" w:color="auto"/>
          </w:divBdr>
        </w:div>
      </w:divsChild>
    </w:div>
    <w:div w:id="1153136609">
      <w:bodyDiv w:val="1"/>
      <w:marLeft w:val="0"/>
      <w:marRight w:val="0"/>
      <w:marTop w:val="0"/>
      <w:marBottom w:val="0"/>
      <w:divBdr>
        <w:top w:val="none" w:sz="0" w:space="0" w:color="auto"/>
        <w:left w:val="none" w:sz="0" w:space="0" w:color="auto"/>
        <w:bottom w:val="none" w:sz="0" w:space="0" w:color="auto"/>
        <w:right w:val="none" w:sz="0" w:space="0" w:color="auto"/>
      </w:divBdr>
    </w:div>
    <w:div w:id="19652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67-9442.2008.00557.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23396/bis-16-265-success-as-a-knowledgeeconomy.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imeshighereducation.com/press-releases/global-employability-rankings-2021" TargetMode="External"/><Relationship Id="rId2" Type="http://schemas.openxmlformats.org/officeDocument/2006/relationships/hyperlink" Target="https://www.topuniversities.com/university-rankings/employability-rankings/2022" TargetMode="External"/><Relationship Id="rId1" Type="http://schemas.openxmlformats.org/officeDocument/2006/relationships/hyperlink" Target="mailto:rosario.scandurra@uab.ca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Dropbox\EPD%20project%20BCN\EPD_LR\lr_form_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solidFill>
            <a:ln>
              <a:solidFill>
                <a:schemeClr val="tx1"/>
              </a:solidFill>
            </a:ln>
            <a:effectLst/>
          </c:spPr>
          <c:invertIfNegative val="0"/>
          <c:cat>
            <c:strRef>
              <c:f>res_design!$E$9:$E$14</c:f>
              <c:strCache>
                <c:ptCount val="6"/>
                <c:pt idx="0">
                  <c:v>Research/theory overview / lit review</c:v>
                </c:pt>
                <c:pt idx="1">
                  <c:v>Discursive</c:v>
                </c:pt>
                <c:pt idx="2">
                  <c:v>Case study - Mixed methods</c:v>
                </c:pt>
                <c:pt idx="3">
                  <c:v>Case study</c:v>
                </c:pt>
                <c:pt idx="4">
                  <c:v>Quantitative</c:v>
                </c:pt>
                <c:pt idx="5">
                  <c:v>Qualitative</c:v>
                </c:pt>
              </c:strCache>
            </c:strRef>
          </c:cat>
          <c:val>
            <c:numRef>
              <c:f>res_design!$F$9:$F$14</c:f>
              <c:numCache>
                <c:formatCode>General</c:formatCode>
                <c:ptCount val="6"/>
                <c:pt idx="0">
                  <c:v>5</c:v>
                </c:pt>
                <c:pt idx="1">
                  <c:v>10</c:v>
                </c:pt>
                <c:pt idx="2">
                  <c:v>11</c:v>
                </c:pt>
                <c:pt idx="3">
                  <c:v>13</c:v>
                </c:pt>
                <c:pt idx="4">
                  <c:v>21</c:v>
                </c:pt>
                <c:pt idx="5">
                  <c:v>26</c:v>
                </c:pt>
              </c:numCache>
            </c:numRef>
          </c:val>
          <c:extLst>
            <c:ext xmlns:c16="http://schemas.microsoft.com/office/drawing/2014/chart" uri="{C3380CC4-5D6E-409C-BE32-E72D297353CC}">
              <c16:uniqueId val="{00000000-A919-4B44-B9F8-F6D8BAD523AF}"/>
            </c:ext>
          </c:extLst>
        </c:ser>
        <c:dLbls>
          <c:showLegendKey val="0"/>
          <c:showVal val="0"/>
          <c:showCatName val="0"/>
          <c:showSerName val="0"/>
          <c:showPercent val="0"/>
          <c:showBubbleSize val="0"/>
        </c:dLbls>
        <c:gapWidth val="182"/>
        <c:axId val="258701664"/>
        <c:axId val="258699584"/>
      </c:barChart>
      <c:catAx>
        <c:axId val="25870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99584"/>
        <c:crosses val="autoZero"/>
        <c:auto val="1"/>
        <c:lblAlgn val="ctr"/>
        <c:lblOffset val="100"/>
        <c:noMultiLvlLbl val="0"/>
      </c:catAx>
      <c:valAx>
        <c:axId val="25869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0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A112-B722-4BDA-9E04-2A4B3AE3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8061</Words>
  <Characters>45952</Characters>
  <Application>Microsoft Office Word</Application>
  <DocSecurity>0</DocSecurity>
  <Lines>382</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Kristinn Hermannsson</dc:creator>
  <cp:keywords/>
  <dc:description/>
  <cp:lastModifiedBy>Deirdre Kelly</cp:lastModifiedBy>
  <cp:revision>2</cp:revision>
  <cp:lastPrinted>2022-11-25T15:03:00Z</cp:lastPrinted>
  <dcterms:created xsi:type="dcterms:W3CDTF">2023-03-06T10:32:00Z</dcterms:created>
  <dcterms:modified xsi:type="dcterms:W3CDTF">2023-03-06T10:32:00Z</dcterms:modified>
</cp:coreProperties>
</file>