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1372044"/>
        <w:docPartObj>
          <w:docPartGallery w:val="Cover Pages"/>
          <w:docPartUnique/>
        </w:docPartObj>
      </w:sdtPr>
      <w:sdtEndPr>
        <w:rPr>
          <w:rFonts w:ascii="Times New Roman" w:hAnsi="Times New Roman" w:cs="Times New Roman"/>
          <w:b/>
          <w:bCs/>
          <w:caps/>
          <w:lang w:val="en-GB"/>
        </w:rPr>
      </w:sdtEndPr>
      <w:sdtContent>
        <w:p w14:paraId="226475A4" w14:textId="007EE120" w:rsidR="005622C0" w:rsidRDefault="005622C0">
          <w:r>
            <w:rPr>
              <w:noProof/>
            </w:rPr>
            <mc:AlternateContent>
              <mc:Choice Requires="wpg">
                <w:drawing>
                  <wp:anchor distT="0" distB="0" distL="114300" distR="114300" simplePos="0" relativeHeight="251662336" behindDoc="0" locked="0" layoutInCell="1" allowOverlap="1" wp14:anchorId="0301CDAE" wp14:editId="773C348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2B4C7D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BB937D1" wp14:editId="6B9F286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1F09F57" w14:textId="745BC44F" w:rsidR="005622C0" w:rsidRDefault="009D5845">
                                    <w:pPr>
                                      <w:pStyle w:val="NoSpacing"/>
                                      <w:jc w:val="right"/>
                                      <w:rPr>
                                        <w:color w:val="595959" w:themeColor="text1" w:themeTint="A6"/>
                                        <w:sz w:val="28"/>
                                        <w:szCs w:val="28"/>
                                      </w:rPr>
                                    </w:pPr>
                                    <w:r>
                                      <w:rPr>
                                        <w:color w:val="595959" w:themeColor="text1" w:themeTint="A6"/>
                                        <w:sz w:val="28"/>
                                        <w:szCs w:val="28"/>
                                      </w:rPr>
                                      <w:t>Zhengyao Yuan, Chrislyn Pereira, Leo SIlunde, Ninad Haibat</w:t>
                                    </w:r>
                                  </w:p>
                                </w:sdtContent>
                              </w:sdt>
                              <w:p w14:paraId="271D8301" w14:textId="082B1CC7" w:rsidR="005622C0" w:rsidRDefault="00837E7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F3C1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BB937D1"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1F09F57" w14:textId="745BC44F" w:rsidR="005622C0" w:rsidRDefault="009D5845">
                              <w:pPr>
                                <w:pStyle w:val="NoSpacing"/>
                                <w:jc w:val="right"/>
                                <w:rPr>
                                  <w:color w:val="595959" w:themeColor="text1" w:themeTint="A6"/>
                                  <w:sz w:val="28"/>
                                  <w:szCs w:val="28"/>
                                </w:rPr>
                              </w:pPr>
                              <w:r>
                                <w:rPr>
                                  <w:color w:val="595959" w:themeColor="text1" w:themeTint="A6"/>
                                  <w:sz w:val="28"/>
                                  <w:szCs w:val="28"/>
                                </w:rPr>
                                <w:t>Zhengyao Yuan, Chrislyn Pereira, Leo SIlunde, Ninad Haibat</w:t>
                              </w:r>
                            </w:p>
                          </w:sdtContent>
                        </w:sdt>
                        <w:p w14:paraId="271D8301" w14:textId="082B1CC7" w:rsidR="005622C0" w:rsidRDefault="00837E7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F3C1F">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3DE3C07" wp14:editId="0FB1CA5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2C01A" w14:textId="77777777" w:rsidR="005622C0" w:rsidRDefault="005622C0">
                                <w:pPr>
                                  <w:pStyle w:val="NoSpacing"/>
                                  <w:jc w:val="right"/>
                                  <w:rPr>
                                    <w:color w:val="4472C4" w:themeColor="accent1"/>
                                    <w:sz w:val="28"/>
                                    <w:szCs w:val="28"/>
                                  </w:rPr>
                                </w:pPr>
                                <w:r>
                                  <w:rPr>
                                    <w:color w:val="4472C4" w:themeColor="accent1"/>
                                    <w:sz w:val="28"/>
                                    <w:szCs w:val="28"/>
                                  </w:rPr>
                                  <w:t>Abstract</w:t>
                                </w:r>
                              </w:p>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3C05BEB" w14:textId="02FD0804" w:rsidR="005622C0" w:rsidRDefault="003F3CCA">
                                    <w:pPr>
                                      <w:pStyle w:val="NoSpacing"/>
                                      <w:jc w:val="right"/>
                                      <w:rPr>
                                        <w:color w:val="595959" w:themeColor="text1" w:themeTint="A6"/>
                                      </w:rPr>
                                    </w:pPr>
                                    <w:r>
                                      <w:rPr>
                                        <w:color w:val="595959" w:themeColor="text1" w:themeTint="A6"/>
                                      </w:rPr>
                                      <w:t xml:space="preserve">Utilising the twin powers of law and finance in tackling ocean biodiversity loss caused by </w:t>
                                    </w:r>
                                    <w:r w:rsidR="003F3C1F">
                                      <w:rPr>
                                        <w:color w:val="595959" w:themeColor="text1" w:themeTint="A6"/>
                                      </w:rPr>
                                      <w:t>the commercial</w:t>
                                    </w:r>
                                    <w:r>
                                      <w:rPr>
                                        <w:color w:val="595959" w:themeColor="text1" w:themeTint="A6"/>
                                      </w:rPr>
                                      <w:t xml:space="preserve"> fish</w:t>
                                    </w:r>
                                    <w:r w:rsidR="003F3C1F">
                                      <w:rPr>
                                        <w:color w:val="595959" w:themeColor="text1" w:themeTint="A6"/>
                                      </w:rPr>
                                      <w:t>ing industry</w:t>
                                    </w:r>
                                    <w:r>
                                      <w:rPr>
                                        <w:color w:val="595959" w:themeColor="text1" w:themeTint="A6"/>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3DE3C07"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" filled="f" stroked="f" strokeweight=".5pt">
                    <v:textbox style="mso-fit-shape-to-text:t" inset="126pt,0,54pt,0">
                      <w:txbxContent>
                        <w:p w14:paraId="18F2C01A" w14:textId="77777777" w:rsidR="005622C0" w:rsidRDefault="005622C0">
                          <w:pPr>
                            <w:pStyle w:val="NoSpacing"/>
                            <w:jc w:val="right"/>
                            <w:rPr>
                              <w:color w:val="4472C4" w:themeColor="accent1"/>
                              <w:sz w:val="28"/>
                              <w:szCs w:val="28"/>
                            </w:rPr>
                          </w:pPr>
                          <w:r>
                            <w:rPr>
                              <w:color w:val="4472C4" w:themeColor="accent1"/>
                              <w:sz w:val="28"/>
                              <w:szCs w:val="28"/>
                            </w:rPr>
                            <w:t>Abstract</w:t>
                          </w:r>
                        </w:p>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3C05BEB" w14:textId="02FD0804" w:rsidR="005622C0" w:rsidRDefault="003F3CCA">
                              <w:pPr>
                                <w:pStyle w:val="NoSpacing"/>
                                <w:jc w:val="right"/>
                                <w:rPr>
                                  <w:color w:val="595959" w:themeColor="text1" w:themeTint="A6"/>
                                </w:rPr>
                              </w:pPr>
                              <w:r>
                                <w:rPr>
                                  <w:color w:val="595959" w:themeColor="text1" w:themeTint="A6"/>
                                </w:rPr>
                                <w:t xml:space="preserve">Utilising the twin powers of law and finance in tackling ocean biodiversity loss caused by </w:t>
                              </w:r>
                              <w:r w:rsidR="003F3C1F">
                                <w:rPr>
                                  <w:color w:val="595959" w:themeColor="text1" w:themeTint="A6"/>
                                </w:rPr>
                                <w:t>the commercial</w:t>
                              </w:r>
                              <w:r>
                                <w:rPr>
                                  <w:color w:val="595959" w:themeColor="text1" w:themeTint="A6"/>
                                </w:rPr>
                                <w:t xml:space="preserve"> fish</w:t>
                              </w:r>
                              <w:r w:rsidR="003F3C1F">
                                <w:rPr>
                                  <w:color w:val="595959" w:themeColor="text1" w:themeTint="A6"/>
                                </w:rPr>
                                <w:t>ing industry</w:t>
                              </w:r>
                              <w:r>
                                <w:rPr>
                                  <w:color w:val="595959" w:themeColor="text1" w:themeTint="A6"/>
                                </w:rPr>
                                <w: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2AD01E4" wp14:editId="62677ED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525CD" w14:textId="7BDB169C" w:rsidR="005622C0" w:rsidRPr="005428E7" w:rsidRDefault="00837E7A">
                                <w:pPr>
                                  <w:jc w:val="right"/>
                                  <w:rPr>
                                    <w:rFonts w:ascii="Cambria" w:hAnsi="Cambria"/>
                                    <w:color w:val="4472C4" w:themeColor="accent1"/>
                                    <w:sz w:val="64"/>
                                    <w:szCs w:val="64"/>
                                  </w:rPr>
                                </w:pPr>
                                <w:sdt>
                                  <w:sdtPr>
                                    <w:rPr>
                                      <w:rFonts w:ascii="Cambria" w:hAnsi="Cambria"/>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355C4" w:rsidRPr="005428E7">
                                      <w:rPr>
                                        <w:rFonts w:ascii="Cambria" w:hAnsi="Cambria"/>
                                        <w:color w:val="4472C4" w:themeColor="accent1"/>
                                        <w:sz w:val="64"/>
                                        <w:szCs w:val="64"/>
                                      </w:rPr>
                                      <w:t xml:space="preserve">Let’s Dive Deeper: Exploring </w:t>
                                    </w:r>
                                    <w:r w:rsidR="00E355C4">
                                      <w:rPr>
                                        <w:rFonts w:ascii="Cambria" w:hAnsi="Cambria"/>
                                        <w:color w:val="4472C4" w:themeColor="accent1"/>
                                        <w:sz w:val="64"/>
                                        <w:szCs w:val="64"/>
                                      </w:rPr>
                                      <w:t>t</w:t>
                                    </w:r>
                                    <w:r w:rsidR="00E355C4" w:rsidRPr="005428E7">
                                      <w:rPr>
                                        <w:rFonts w:ascii="Cambria" w:hAnsi="Cambria"/>
                                        <w:color w:val="4472C4" w:themeColor="accent1"/>
                                        <w:sz w:val="64"/>
                                        <w:szCs w:val="64"/>
                                      </w:rPr>
                                      <w:t>he Blue Audit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CD7E064" w14:textId="204CD31F" w:rsidR="005622C0" w:rsidRDefault="005622C0">
                                    <w:pPr>
                                      <w:jc w:val="right"/>
                                      <w:rPr>
                                        <w:smallCaps/>
                                        <w:color w:val="404040" w:themeColor="text1" w:themeTint="BF"/>
                                        <w:sz w:val="36"/>
                                        <w:szCs w:val="36"/>
                                      </w:rPr>
                                    </w:pPr>
                                    <w:r>
                                      <w:rPr>
                                        <w:color w:val="404040" w:themeColor="text1" w:themeTint="BF"/>
                                        <w:sz w:val="36"/>
                                        <w:szCs w:val="36"/>
                                      </w:rPr>
                                      <w:t>Executive Summary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2AD01E4"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" filled="f" stroked="f" strokeweight=".5pt">
                    <v:textbox inset="126pt,0,54pt,0">
                      <w:txbxContent>
                        <w:p w14:paraId="289525CD" w14:textId="7BDB169C" w:rsidR="005622C0" w:rsidRPr="005428E7" w:rsidRDefault="00837E7A">
                          <w:pPr>
                            <w:jc w:val="right"/>
                            <w:rPr>
                              <w:rFonts w:ascii="Cambria" w:hAnsi="Cambria"/>
                              <w:color w:val="4472C4" w:themeColor="accent1"/>
                              <w:sz w:val="64"/>
                              <w:szCs w:val="64"/>
                            </w:rPr>
                          </w:pPr>
                          <w:sdt>
                            <w:sdtPr>
                              <w:rPr>
                                <w:rFonts w:ascii="Cambria" w:hAnsi="Cambria"/>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355C4" w:rsidRPr="005428E7">
                                <w:rPr>
                                  <w:rFonts w:ascii="Cambria" w:hAnsi="Cambria"/>
                                  <w:color w:val="4472C4" w:themeColor="accent1"/>
                                  <w:sz w:val="64"/>
                                  <w:szCs w:val="64"/>
                                </w:rPr>
                                <w:t xml:space="preserve">Let’s Dive Deeper: Exploring </w:t>
                              </w:r>
                              <w:r w:rsidR="00E355C4">
                                <w:rPr>
                                  <w:rFonts w:ascii="Cambria" w:hAnsi="Cambria"/>
                                  <w:color w:val="4472C4" w:themeColor="accent1"/>
                                  <w:sz w:val="64"/>
                                  <w:szCs w:val="64"/>
                                </w:rPr>
                                <w:t>t</w:t>
                              </w:r>
                              <w:r w:rsidR="00E355C4" w:rsidRPr="005428E7">
                                <w:rPr>
                                  <w:rFonts w:ascii="Cambria" w:hAnsi="Cambria"/>
                                  <w:color w:val="4472C4" w:themeColor="accent1"/>
                                  <w:sz w:val="64"/>
                                  <w:szCs w:val="64"/>
                                </w:rPr>
                                <w:t>he Blue Audit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CD7E064" w14:textId="204CD31F" w:rsidR="005622C0" w:rsidRDefault="005622C0">
                              <w:pPr>
                                <w:jc w:val="right"/>
                                <w:rPr>
                                  <w:smallCaps/>
                                  <w:color w:val="404040" w:themeColor="text1" w:themeTint="BF"/>
                                  <w:sz w:val="36"/>
                                  <w:szCs w:val="36"/>
                                </w:rPr>
                              </w:pPr>
                              <w:r>
                                <w:rPr>
                                  <w:color w:val="404040" w:themeColor="text1" w:themeTint="BF"/>
                                  <w:sz w:val="36"/>
                                  <w:szCs w:val="36"/>
                                </w:rPr>
                                <w:t>Executive Summary</w:t>
                              </w:r>
                            </w:p>
                          </w:sdtContent>
                        </w:sdt>
                      </w:txbxContent>
                    </v:textbox>
                    <w10:wrap type="square" anchorx="page" anchory="page"/>
                  </v:shape>
                </w:pict>
              </mc:Fallback>
            </mc:AlternateContent>
          </w:r>
        </w:p>
        <w:p w14:paraId="6FB6B55F" w14:textId="3A39E198" w:rsidR="005622C0" w:rsidRDefault="005622C0">
          <w:pPr>
            <w:rPr>
              <w:rFonts w:ascii="Times New Roman" w:hAnsi="Times New Roman" w:cs="Times New Roman"/>
              <w:lang w:val="en-GB"/>
            </w:rPr>
          </w:pPr>
          <w:r>
            <w:rPr>
              <w:rFonts w:ascii="Times New Roman" w:hAnsi="Times New Roman" w:cs="Times New Roman"/>
              <w:b/>
              <w:bCs/>
              <w:caps/>
              <w:lang w:val="en-GB"/>
            </w:rPr>
            <w:br w:type="page"/>
          </w:r>
        </w:p>
      </w:sdtContent>
    </w:sdt>
    <w:p w14:paraId="6303B454" w14:textId="24457AE7" w:rsidR="00F41CD0" w:rsidRPr="00DA6082" w:rsidRDefault="00BD4F0C" w:rsidP="00DA6082">
      <w:pPr>
        <w:pStyle w:val="Heading1"/>
        <w:rPr>
          <w:rFonts w:ascii="Futura Medium" w:hAnsi="Futura Medium" w:cs="Futura Medium"/>
          <w:sz w:val="36"/>
          <w:szCs w:val="36"/>
          <w:lang w:val="en-GB"/>
        </w:rPr>
      </w:pPr>
      <w:r w:rsidRPr="00DA6082">
        <w:rPr>
          <w:rFonts w:ascii="Cambria" w:hAnsi="Cambria" w:cs="Futura Medium"/>
          <w:b w:val="0"/>
          <w:bCs w:val="0"/>
          <w:caps w:val="0"/>
          <w:sz w:val="36"/>
          <w:szCs w:val="36"/>
          <w:lang w:val="en-GB"/>
        </w:rPr>
        <w:lastRenderedPageBreak/>
        <w:t>Environmental</w:t>
      </w:r>
      <w:r w:rsidRPr="00DA6082">
        <w:rPr>
          <w:rFonts w:ascii="Futura Medium" w:hAnsi="Futura Medium" w:cs="Futura Medium"/>
          <w:caps w:val="0"/>
          <w:sz w:val="36"/>
          <w:szCs w:val="36"/>
          <w:lang w:val="en-GB"/>
        </w:rPr>
        <w:t xml:space="preserve"> </w:t>
      </w:r>
      <w:r w:rsidRPr="00DA6082">
        <w:rPr>
          <w:rFonts w:ascii="Cambria" w:hAnsi="Cambria" w:cs="Futura Medium"/>
          <w:b w:val="0"/>
          <w:bCs w:val="0"/>
          <w:caps w:val="0"/>
          <w:sz w:val="36"/>
          <w:szCs w:val="36"/>
          <w:lang w:val="en-GB"/>
        </w:rPr>
        <w:t>Issues</w:t>
      </w:r>
    </w:p>
    <w:p w14:paraId="3CD62CBD" w14:textId="267F0EEA" w:rsidR="00017FD6" w:rsidRPr="00DA6082" w:rsidRDefault="00017FD6" w:rsidP="00B34EFB">
      <w:pPr>
        <w:jc w:val="both"/>
        <w:rPr>
          <w:rFonts w:eastAsiaTheme="minorHAnsi" w:cs="Times New Roman"/>
          <w:lang w:val="en-GB"/>
        </w:rPr>
      </w:pPr>
      <w:r w:rsidRPr="00DA6082">
        <w:rPr>
          <w:rFonts w:ascii="Times New Roman" w:hAnsi="Times New Roman" w:cs="Times New Roman"/>
          <w:sz w:val="22"/>
          <w:szCs w:val="22"/>
          <w:lang w:val="en-GB"/>
        </w:rPr>
        <w:t xml:space="preserve">  </w:t>
      </w:r>
      <w:r w:rsidRPr="00DA6082">
        <w:rPr>
          <w:rFonts w:eastAsiaTheme="minorHAnsi" w:cs="Times New Roman"/>
          <w:lang w:val="en-GB"/>
        </w:rPr>
        <w:t xml:space="preserve">Aquaculture </w:t>
      </w:r>
      <w:r w:rsidR="0098046A">
        <w:rPr>
          <w:rFonts w:eastAsiaTheme="minorHAnsi" w:cs="Times New Roman"/>
          <w:lang w:val="en-GB"/>
        </w:rPr>
        <w:t>first</w:t>
      </w:r>
      <w:r w:rsidR="00F41CD0" w:rsidRPr="00DA6082">
        <w:rPr>
          <w:rFonts w:eastAsiaTheme="minorHAnsi" w:cs="Times New Roman"/>
          <w:lang w:val="en-GB"/>
        </w:rPr>
        <w:t xml:space="preserve"> emerged as a</w:t>
      </w:r>
      <w:r w:rsidR="00BF5031">
        <w:rPr>
          <w:rFonts w:eastAsiaTheme="minorHAnsi" w:cs="Times New Roman"/>
          <w:lang w:val="en-GB"/>
        </w:rPr>
        <w:t xml:space="preserve"> proposed </w:t>
      </w:r>
      <w:r w:rsidR="00F41CD0" w:rsidRPr="00DA6082">
        <w:rPr>
          <w:rFonts w:eastAsiaTheme="minorHAnsi" w:cs="Times New Roman"/>
          <w:lang w:val="en-GB"/>
        </w:rPr>
        <w:t xml:space="preserve">alternative to </w:t>
      </w:r>
      <w:r w:rsidR="00BF5031">
        <w:rPr>
          <w:rFonts w:eastAsiaTheme="minorHAnsi" w:cs="Times New Roman"/>
          <w:lang w:val="en-GB"/>
        </w:rPr>
        <w:t>wild capture</w:t>
      </w:r>
      <w:r w:rsidR="00B674FD">
        <w:rPr>
          <w:rFonts w:eastAsiaTheme="minorHAnsi" w:cs="Times New Roman"/>
          <w:lang w:val="en-GB"/>
        </w:rPr>
        <w:t xml:space="preserve"> </w:t>
      </w:r>
      <w:r w:rsidR="00F31220">
        <w:rPr>
          <w:rFonts w:eastAsiaTheme="minorHAnsi" w:cs="Times New Roman"/>
          <w:lang w:val="en-GB"/>
        </w:rPr>
        <w:t xml:space="preserve">in part due </w:t>
      </w:r>
      <w:r w:rsidR="00F41CD0" w:rsidRPr="00DA6082">
        <w:rPr>
          <w:rFonts w:eastAsiaTheme="minorHAnsi" w:cs="Times New Roman"/>
          <w:lang w:val="en-GB"/>
        </w:rPr>
        <w:t>to the rapid decline in fish stocks caused by overfishing.</w:t>
      </w:r>
      <w:r w:rsidR="00010B7C" w:rsidRPr="00DA6082">
        <w:rPr>
          <w:rStyle w:val="FootnoteReference"/>
          <w:rFonts w:eastAsiaTheme="minorHAnsi" w:cs="Times New Roman"/>
          <w:lang w:val="en-GB"/>
        </w:rPr>
        <w:footnoteReference w:id="1"/>
      </w:r>
      <w:r w:rsidR="00F41CD0" w:rsidRPr="00DA6082">
        <w:rPr>
          <w:rFonts w:eastAsiaTheme="minorHAnsi" w:cs="Times New Roman"/>
          <w:lang w:val="en-GB"/>
        </w:rPr>
        <w:t xml:space="preserve"> Coupled with population growth, rising household incomes and a corresponding demand for animal protein, there has been a surge in fish consumption</w:t>
      </w:r>
      <w:r w:rsidR="0098046A">
        <w:rPr>
          <w:rFonts w:eastAsiaTheme="minorHAnsi" w:cs="Times New Roman"/>
          <w:lang w:val="en-GB"/>
        </w:rPr>
        <w:t xml:space="preserve"> which has </w:t>
      </w:r>
      <w:r w:rsidR="000A01AA">
        <w:rPr>
          <w:rFonts w:eastAsiaTheme="minorHAnsi" w:cs="Times New Roman"/>
          <w:lang w:val="en-GB"/>
        </w:rPr>
        <w:t>fuelled</w:t>
      </w:r>
      <w:r w:rsidR="00337A31">
        <w:rPr>
          <w:rFonts w:eastAsiaTheme="minorHAnsi" w:cs="Times New Roman"/>
          <w:lang w:val="en-GB"/>
        </w:rPr>
        <w:t xml:space="preserve"> substantial growth within</w:t>
      </w:r>
      <w:r w:rsidR="0098046A">
        <w:rPr>
          <w:rFonts w:eastAsiaTheme="minorHAnsi" w:cs="Times New Roman"/>
          <w:lang w:val="en-GB"/>
        </w:rPr>
        <w:t xml:space="preserve"> the aquaculture industry</w:t>
      </w:r>
      <w:r w:rsidRPr="00DA6082">
        <w:rPr>
          <w:rFonts w:eastAsiaTheme="minorHAnsi" w:cs="Times New Roman"/>
          <w:lang w:val="en-GB"/>
        </w:rPr>
        <w:t>.</w:t>
      </w:r>
      <w:r w:rsidR="00010B7C" w:rsidRPr="00DA6082">
        <w:rPr>
          <w:rStyle w:val="FootnoteReference"/>
          <w:rFonts w:eastAsiaTheme="minorHAnsi" w:cs="Times New Roman"/>
          <w:lang w:val="en-GB"/>
        </w:rPr>
        <w:footnoteReference w:id="2"/>
      </w:r>
      <w:r w:rsidRPr="00DA6082">
        <w:rPr>
          <w:rFonts w:eastAsiaTheme="minorHAnsi" w:cs="Times New Roman"/>
          <w:lang w:val="en-GB"/>
        </w:rPr>
        <w:t xml:space="preserve"> </w:t>
      </w:r>
      <w:r w:rsidR="00954073" w:rsidRPr="00DA6082">
        <w:rPr>
          <w:rFonts w:eastAsiaTheme="minorHAnsi" w:cs="Times New Roman"/>
          <w:lang w:val="en-GB"/>
        </w:rPr>
        <w:t>With salmon being one of the fish species most commonly eaten by humans</w:t>
      </w:r>
      <w:r w:rsidRPr="00DA6082">
        <w:rPr>
          <w:rFonts w:eastAsiaTheme="minorHAnsi" w:cs="Times New Roman"/>
          <w:lang w:val="en-GB"/>
        </w:rPr>
        <w:t>,</w:t>
      </w:r>
      <w:r w:rsidR="00010B7C" w:rsidRPr="00DA6082">
        <w:rPr>
          <w:rStyle w:val="FootnoteReference"/>
          <w:rFonts w:eastAsiaTheme="minorHAnsi" w:cs="Times New Roman"/>
          <w:lang w:val="en-GB"/>
        </w:rPr>
        <w:footnoteReference w:id="3"/>
      </w:r>
      <w:r w:rsidR="00F41CD0" w:rsidRPr="00DA6082">
        <w:rPr>
          <w:rFonts w:eastAsiaTheme="minorHAnsi" w:cs="Times New Roman"/>
          <w:lang w:val="en-GB"/>
        </w:rPr>
        <w:t xml:space="preserve"> salmon farming</w:t>
      </w:r>
      <w:r w:rsidR="00A26829">
        <w:rPr>
          <w:rFonts w:eastAsiaTheme="minorHAnsi" w:cs="Times New Roman"/>
          <w:lang w:val="en-GB"/>
        </w:rPr>
        <w:t xml:space="preserve"> specifically</w:t>
      </w:r>
      <w:r w:rsidR="00F41CD0" w:rsidRPr="00DA6082">
        <w:rPr>
          <w:rFonts w:eastAsiaTheme="minorHAnsi" w:cs="Times New Roman"/>
          <w:lang w:val="en-GB"/>
        </w:rPr>
        <w:t xml:space="preserve"> has played a large role in </w:t>
      </w:r>
      <w:r w:rsidR="007606EE">
        <w:rPr>
          <w:rFonts w:eastAsiaTheme="minorHAnsi" w:cs="Times New Roman"/>
          <w:lang w:val="en-GB"/>
        </w:rPr>
        <w:t>supplying</w:t>
      </w:r>
      <w:r w:rsidR="00F41CD0" w:rsidRPr="00DA6082">
        <w:rPr>
          <w:rFonts w:eastAsiaTheme="minorHAnsi" w:cs="Times New Roman"/>
          <w:lang w:val="en-GB"/>
        </w:rPr>
        <w:t xml:space="preserve"> this </w:t>
      </w:r>
      <w:r w:rsidRPr="00DA6082">
        <w:rPr>
          <w:rFonts w:eastAsiaTheme="minorHAnsi" w:cs="Times New Roman"/>
          <w:lang w:val="en-GB"/>
        </w:rPr>
        <w:t xml:space="preserve">increasing </w:t>
      </w:r>
      <w:r w:rsidR="00F41CD0" w:rsidRPr="00DA6082">
        <w:rPr>
          <w:rFonts w:eastAsiaTheme="minorHAnsi" w:cs="Times New Roman"/>
          <w:lang w:val="en-GB"/>
        </w:rPr>
        <w:t>demand.</w:t>
      </w:r>
    </w:p>
    <w:p w14:paraId="5FCB5A57" w14:textId="3C5ADD79" w:rsidR="006C47B3" w:rsidRPr="00DA6082" w:rsidRDefault="00B46430" w:rsidP="00B34EFB">
      <w:pPr>
        <w:jc w:val="both"/>
        <w:rPr>
          <w:rFonts w:eastAsiaTheme="minorHAnsi" w:cs="Times New Roman"/>
          <w:lang w:val="en-GB"/>
        </w:rPr>
      </w:pPr>
      <w:r w:rsidRPr="00DA6082">
        <w:rPr>
          <w:rFonts w:eastAsiaTheme="minorHAnsi" w:cs="Times New Roman"/>
          <w:lang w:val="en-GB"/>
        </w:rPr>
        <w:t xml:space="preserve">  "Marine biodiversity" encompasses the variability</w:t>
      </w:r>
      <w:r w:rsidR="00080D8A" w:rsidRPr="00DA6082">
        <w:rPr>
          <w:rFonts w:eastAsiaTheme="minorHAnsi" w:cs="Times New Roman"/>
          <w:lang w:val="en-GB"/>
        </w:rPr>
        <w:t xml:space="preserve"> of</w:t>
      </w:r>
      <w:r w:rsidRPr="00DA6082">
        <w:rPr>
          <w:rFonts w:eastAsiaTheme="minorHAnsi" w:cs="Times New Roman"/>
          <w:lang w:val="en-GB"/>
        </w:rPr>
        <w:t xml:space="preserve"> all life forms and systems in the marine realm, from genes to ecosystems. The loss of biodiversity would therefore mean the loss of variety.</w:t>
      </w:r>
      <w:r w:rsidR="005F73EA" w:rsidRPr="00DA6082">
        <w:rPr>
          <w:rFonts w:eastAsiaTheme="minorHAnsi" w:cs="Times New Roman"/>
          <w:lang w:val="en-GB"/>
        </w:rPr>
        <w:t xml:space="preserve"> </w:t>
      </w:r>
      <w:r w:rsidR="00F41CD0" w:rsidRPr="00DA6082">
        <w:rPr>
          <w:rFonts w:eastAsiaTheme="minorHAnsi" w:cs="Times New Roman"/>
          <w:lang w:val="en-GB"/>
        </w:rPr>
        <w:t xml:space="preserve">Currently, </w:t>
      </w:r>
      <w:r w:rsidR="009A5F5C" w:rsidRPr="00DA6082">
        <w:rPr>
          <w:rFonts w:eastAsiaTheme="minorHAnsi" w:cs="Times New Roman"/>
          <w:lang w:val="en-GB"/>
        </w:rPr>
        <w:t xml:space="preserve">sea-based </w:t>
      </w:r>
      <w:r w:rsidR="00F41CD0" w:rsidRPr="00DA6082">
        <w:rPr>
          <w:rFonts w:eastAsiaTheme="minorHAnsi" w:cs="Times New Roman"/>
          <w:lang w:val="en-GB"/>
        </w:rPr>
        <w:t>salmon farming</w:t>
      </w:r>
      <w:r w:rsidR="00DE78BE" w:rsidRPr="00DA6082">
        <w:rPr>
          <w:rFonts w:eastAsiaTheme="minorHAnsi" w:cs="Times New Roman"/>
          <w:lang w:val="en-GB"/>
        </w:rPr>
        <w:t xml:space="preserve"> (otherwise known as “mariculture”)</w:t>
      </w:r>
      <w:r w:rsidR="00F41CD0" w:rsidRPr="00DA6082">
        <w:rPr>
          <w:rFonts w:eastAsiaTheme="minorHAnsi" w:cs="Times New Roman"/>
          <w:lang w:val="en-GB"/>
        </w:rPr>
        <w:t xml:space="preserve"> in the commercial fishing industry contributes to the loss of marine biodiversity for three main reasons. Firstly, lice infestation leads to massive mortality</w:t>
      </w:r>
      <w:r w:rsidR="004D6AC7" w:rsidRPr="00DA6082">
        <w:rPr>
          <w:rFonts w:eastAsiaTheme="minorHAnsi" w:cs="Times New Roman"/>
          <w:lang w:val="en-GB"/>
        </w:rPr>
        <w:t xml:space="preserve"> rates</w:t>
      </w:r>
      <w:r w:rsidR="00F41CD0" w:rsidRPr="00DA6082">
        <w:rPr>
          <w:rFonts w:eastAsiaTheme="minorHAnsi" w:cs="Times New Roman"/>
          <w:lang w:val="en-GB"/>
        </w:rPr>
        <w:t xml:space="preserve"> of farmed salmon. Secondly, </w:t>
      </w:r>
      <w:r w:rsidR="007606EE">
        <w:rPr>
          <w:rFonts w:eastAsiaTheme="minorHAnsi" w:cs="Times New Roman"/>
          <w:lang w:val="en-GB"/>
        </w:rPr>
        <w:t xml:space="preserve">mariculture operators' excessive use of chemicals </w:t>
      </w:r>
      <w:r w:rsidR="00F41CD0" w:rsidRPr="00DA6082">
        <w:rPr>
          <w:rFonts w:eastAsiaTheme="minorHAnsi" w:cs="Times New Roman"/>
          <w:lang w:val="en-GB"/>
        </w:rPr>
        <w:t>to treat lice infestations degrades the surrounding water bodies</w:t>
      </w:r>
      <w:r w:rsidR="007A1F81" w:rsidRPr="00DA6082">
        <w:rPr>
          <w:rFonts w:eastAsiaTheme="minorHAnsi" w:cs="Times New Roman"/>
          <w:lang w:val="en-GB"/>
        </w:rPr>
        <w:t>.</w:t>
      </w:r>
      <w:r w:rsidR="00F41CD0" w:rsidRPr="00DA6082">
        <w:rPr>
          <w:rFonts w:eastAsiaTheme="minorHAnsi" w:cs="Times New Roman"/>
          <w:lang w:val="en-GB"/>
        </w:rPr>
        <w:t xml:space="preserve"> </w:t>
      </w:r>
      <w:r w:rsidR="00D8445E" w:rsidRPr="00DA6082">
        <w:rPr>
          <w:rFonts w:eastAsiaTheme="minorHAnsi" w:cs="Times New Roman"/>
          <w:lang w:val="en-GB"/>
        </w:rPr>
        <w:t>Worsened by being</w:t>
      </w:r>
      <w:r w:rsidR="00F41CD0" w:rsidRPr="00DA6082">
        <w:rPr>
          <w:rFonts w:eastAsiaTheme="minorHAnsi" w:cs="Times New Roman"/>
          <w:lang w:val="en-GB"/>
        </w:rPr>
        <w:t xml:space="preserve"> </w:t>
      </w:r>
      <w:r w:rsidR="007A1F81" w:rsidRPr="00DA6082">
        <w:rPr>
          <w:rFonts w:eastAsiaTheme="minorHAnsi" w:cs="Times New Roman"/>
          <w:lang w:val="en-GB"/>
        </w:rPr>
        <w:t xml:space="preserve">mixed with other </w:t>
      </w:r>
      <w:r w:rsidR="00D8445E" w:rsidRPr="00DA6082">
        <w:rPr>
          <w:rFonts w:eastAsiaTheme="minorHAnsi" w:cs="Times New Roman"/>
          <w:lang w:val="en-GB"/>
        </w:rPr>
        <w:t>contaminating</w:t>
      </w:r>
      <w:r w:rsidR="007A1F81" w:rsidRPr="00DA6082">
        <w:rPr>
          <w:rFonts w:eastAsiaTheme="minorHAnsi" w:cs="Times New Roman"/>
          <w:lang w:val="en-GB"/>
        </w:rPr>
        <w:t xml:space="preserve"> </w:t>
      </w:r>
      <w:r w:rsidR="00D8445E" w:rsidRPr="00DA6082">
        <w:rPr>
          <w:rFonts w:eastAsiaTheme="minorHAnsi" w:cs="Times New Roman"/>
          <w:lang w:val="en-GB"/>
        </w:rPr>
        <w:t>substances</w:t>
      </w:r>
      <w:r w:rsidR="00F41CD0" w:rsidRPr="00DA6082">
        <w:rPr>
          <w:rFonts w:eastAsiaTheme="minorHAnsi" w:cs="Times New Roman"/>
          <w:lang w:val="en-GB"/>
        </w:rPr>
        <w:t xml:space="preserve">, </w:t>
      </w:r>
      <w:r w:rsidR="007A1F81" w:rsidRPr="00DA6082">
        <w:rPr>
          <w:rFonts w:eastAsiaTheme="minorHAnsi" w:cs="Times New Roman"/>
          <w:lang w:val="en-GB"/>
        </w:rPr>
        <w:t xml:space="preserve">this </w:t>
      </w:r>
      <w:r w:rsidR="00D8445E" w:rsidRPr="00DA6082">
        <w:rPr>
          <w:rFonts w:eastAsiaTheme="minorHAnsi" w:cs="Times New Roman"/>
          <w:lang w:val="en-GB"/>
        </w:rPr>
        <w:t>release of effluents</w:t>
      </w:r>
      <w:r w:rsidR="007A1F81" w:rsidRPr="00DA6082">
        <w:rPr>
          <w:rFonts w:eastAsiaTheme="minorHAnsi" w:cs="Times New Roman"/>
          <w:lang w:val="en-GB"/>
        </w:rPr>
        <w:t xml:space="preserve"> impacts</w:t>
      </w:r>
      <w:r w:rsidR="00F41CD0" w:rsidRPr="00DA6082">
        <w:rPr>
          <w:rFonts w:eastAsiaTheme="minorHAnsi" w:cs="Times New Roman"/>
          <w:lang w:val="en-GB"/>
        </w:rPr>
        <w:t xml:space="preserve"> the stability of marine ecosystems</w:t>
      </w:r>
      <w:r w:rsidR="002D65C7" w:rsidRPr="00DA6082">
        <w:rPr>
          <w:rFonts w:eastAsiaTheme="minorHAnsi" w:cs="Times New Roman"/>
          <w:lang w:val="en-GB"/>
        </w:rPr>
        <w:t xml:space="preserve"> by </w:t>
      </w:r>
      <w:r w:rsidR="00463C08" w:rsidRPr="00DA6082">
        <w:rPr>
          <w:rFonts w:eastAsiaTheme="minorHAnsi" w:cs="Times New Roman"/>
          <w:lang w:val="en-GB"/>
        </w:rPr>
        <w:t>eutrophication</w:t>
      </w:r>
      <w:r w:rsidR="00711483" w:rsidRPr="00DA6082">
        <w:rPr>
          <w:rFonts w:eastAsiaTheme="minorHAnsi" w:cs="Times New Roman"/>
          <w:lang w:val="en-GB"/>
        </w:rPr>
        <w:t>. Apart from</w:t>
      </w:r>
      <w:r w:rsidR="00504949" w:rsidRPr="00DA6082">
        <w:rPr>
          <w:rFonts w:eastAsiaTheme="minorHAnsi" w:cs="Times New Roman"/>
          <w:lang w:val="en-GB"/>
        </w:rPr>
        <w:t xml:space="preserve"> </w:t>
      </w:r>
      <w:r w:rsidR="00711483" w:rsidRPr="00DA6082">
        <w:rPr>
          <w:rFonts w:eastAsiaTheme="minorHAnsi" w:cs="Times New Roman"/>
          <w:lang w:val="en-GB"/>
        </w:rPr>
        <w:t>t</w:t>
      </w:r>
      <w:r w:rsidR="006C47B3" w:rsidRPr="00DA6082">
        <w:rPr>
          <w:rFonts w:eastAsiaTheme="minorHAnsi" w:cs="Times New Roman"/>
          <w:lang w:val="en-GB"/>
        </w:rPr>
        <w:t>h</w:t>
      </w:r>
      <w:r w:rsidR="00D3475E" w:rsidRPr="00DA6082">
        <w:rPr>
          <w:rFonts w:eastAsiaTheme="minorHAnsi" w:cs="Times New Roman"/>
          <w:lang w:val="en-GB"/>
        </w:rPr>
        <w:t>e</w:t>
      </w:r>
      <w:r w:rsidR="00441B90" w:rsidRPr="00DA6082">
        <w:rPr>
          <w:rFonts w:eastAsiaTheme="minorHAnsi" w:cs="Times New Roman"/>
          <w:lang w:val="en-GB"/>
        </w:rPr>
        <w:t xml:space="preserve"> resultant</w:t>
      </w:r>
      <w:r w:rsidR="006C47B3" w:rsidRPr="00DA6082">
        <w:rPr>
          <w:rFonts w:eastAsiaTheme="minorHAnsi" w:cs="Times New Roman"/>
          <w:lang w:val="en-GB"/>
        </w:rPr>
        <w:t xml:space="preserve"> loss of marine biodiversity </w:t>
      </w:r>
      <w:r w:rsidR="00711483" w:rsidRPr="00DA6082">
        <w:rPr>
          <w:rFonts w:eastAsiaTheme="minorHAnsi" w:cs="Times New Roman"/>
          <w:lang w:val="en-GB"/>
        </w:rPr>
        <w:t>which presents itself in the form of an uninhabitable ecosystem</w:t>
      </w:r>
      <w:r w:rsidR="005E1611" w:rsidRPr="00DA6082">
        <w:rPr>
          <w:rFonts w:eastAsiaTheme="minorHAnsi" w:cs="Times New Roman"/>
          <w:lang w:val="en-GB"/>
        </w:rPr>
        <w:t>, eutrophication</w:t>
      </w:r>
      <w:r w:rsidR="00711483" w:rsidRPr="00DA6082">
        <w:rPr>
          <w:rFonts w:eastAsiaTheme="minorHAnsi" w:cs="Times New Roman"/>
          <w:lang w:val="en-GB"/>
        </w:rPr>
        <w:t xml:space="preserve"> </w:t>
      </w:r>
      <w:r w:rsidR="00AB5A2F" w:rsidRPr="00DA6082">
        <w:rPr>
          <w:rFonts w:eastAsiaTheme="minorHAnsi" w:cs="Times New Roman"/>
          <w:lang w:val="en-GB"/>
        </w:rPr>
        <w:t xml:space="preserve">also </w:t>
      </w:r>
      <w:r w:rsidR="006C47B3" w:rsidRPr="00DA6082">
        <w:rPr>
          <w:rFonts w:eastAsiaTheme="minorHAnsi" w:cs="Times New Roman"/>
          <w:lang w:val="en-GB"/>
        </w:rPr>
        <w:t xml:space="preserve">reduces the ability of </w:t>
      </w:r>
      <w:r w:rsidR="00BA0602" w:rsidRPr="00DA6082">
        <w:rPr>
          <w:rFonts w:eastAsiaTheme="minorHAnsi" w:cs="Times New Roman"/>
          <w:lang w:val="en-GB"/>
        </w:rPr>
        <w:t xml:space="preserve">natural </w:t>
      </w:r>
      <w:r w:rsidR="00061179" w:rsidRPr="00DA6082">
        <w:rPr>
          <w:rFonts w:eastAsiaTheme="minorHAnsi" w:cs="Times New Roman"/>
          <w:lang w:val="en-GB"/>
        </w:rPr>
        <w:t>water bodies</w:t>
      </w:r>
      <w:r w:rsidR="006C47B3" w:rsidRPr="00DA6082">
        <w:rPr>
          <w:rFonts w:eastAsiaTheme="minorHAnsi" w:cs="Times New Roman"/>
          <w:lang w:val="en-GB"/>
        </w:rPr>
        <w:t xml:space="preserve"> to act as a carbon sink, which contributes to </w:t>
      </w:r>
      <w:r w:rsidR="00A44DEA" w:rsidRPr="00DA6082">
        <w:rPr>
          <w:rFonts w:eastAsiaTheme="minorHAnsi" w:cs="Times New Roman"/>
          <w:lang w:val="en-GB"/>
        </w:rPr>
        <w:t xml:space="preserve">worsening </w:t>
      </w:r>
      <w:r w:rsidR="006C47B3" w:rsidRPr="00DA6082">
        <w:rPr>
          <w:rFonts w:eastAsiaTheme="minorHAnsi" w:cs="Times New Roman"/>
          <w:lang w:val="en-GB"/>
        </w:rPr>
        <w:t xml:space="preserve">climate change. </w:t>
      </w:r>
      <w:r w:rsidR="00F41CD0" w:rsidRPr="00DA6082">
        <w:rPr>
          <w:rFonts w:eastAsiaTheme="minorHAnsi" w:cs="Times New Roman"/>
          <w:lang w:val="en-GB"/>
        </w:rPr>
        <w:t xml:space="preserve">Finally, </w:t>
      </w:r>
      <w:r w:rsidR="003D76B2" w:rsidRPr="00DA6082">
        <w:rPr>
          <w:rFonts w:eastAsiaTheme="minorHAnsi" w:cs="Times New Roman"/>
          <w:lang w:val="en-GB"/>
        </w:rPr>
        <w:t xml:space="preserve">the risk of </w:t>
      </w:r>
      <w:r w:rsidR="00F41CD0" w:rsidRPr="00DA6082">
        <w:rPr>
          <w:rFonts w:eastAsiaTheme="minorHAnsi" w:cs="Times New Roman"/>
          <w:lang w:val="en-GB"/>
        </w:rPr>
        <w:t>farmed salmon escaping and breeding with wild salmon can compromise the genetic integrity of wild salmon populations</w:t>
      </w:r>
      <w:r w:rsidR="002F7AA0" w:rsidRPr="00DA6082">
        <w:rPr>
          <w:rFonts w:eastAsiaTheme="minorHAnsi" w:cs="Times New Roman"/>
          <w:lang w:val="en-GB"/>
        </w:rPr>
        <w:t>.</w:t>
      </w:r>
      <w:r w:rsidR="00F41CD0" w:rsidRPr="00DA6082">
        <w:rPr>
          <w:rFonts w:eastAsiaTheme="minorHAnsi" w:cs="Times New Roman"/>
          <w:lang w:val="en-GB"/>
        </w:rPr>
        <w:t xml:space="preserve"> </w:t>
      </w:r>
    </w:p>
    <w:p w14:paraId="04B5B696" w14:textId="43D3E592" w:rsidR="006B4292" w:rsidRPr="00DA6082" w:rsidRDefault="00C81D33" w:rsidP="00B34EFB">
      <w:pPr>
        <w:jc w:val="both"/>
        <w:rPr>
          <w:rFonts w:eastAsiaTheme="minorHAnsi" w:cs="Times New Roman"/>
          <w:lang w:val="en-GB"/>
        </w:rPr>
      </w:pPr>
      <w:r w:rsidRPr="00DA6082">
        <w:rPr>
          <w:rFonts w:eastAsiaTheme="minorHAnsi" w:cs="Times New Roman"/>
          <w:lang w:val="en-GB"/>
        </w:rPr>
        <w:t xml:space="preserve">  </w:t>
      </w:r>
      <w:r w:rsidR="004849D2" w:rsidRPr="00DA6082">
        <w:rPr>
          <w:rFonts w:eastAsiaTheme="minorHAnsi" w:cs="Times New Roman"/>
          <w:lang w:val="en-GB"/>
        </w:rPr>
        <w:t>T</w:t>
      </w:r>
      <w:r w:rsidR="00F41CD0" w:rsidRPr="00DA6082">
        <w:rPr>
          <w:rFonts w:eastAsiaTheme="minorHAnsi" w:cs="Times New Roman"/>
          <w:lang w:val="en-GB"/>
        </w:rPr>
        <w:t>hese problems are magnified by the scale of production in the commercial fishing industry</w:t>
      </w:r>
      <w:r w:rsidR="008825BC" w:rsidRPr="00DA6082">
        <w:rPr>
          <w:rFonts w:eastAsiaTheme="minorHAnsi" w:cs="Times New Roman"/>
          <w:lang w:val="en-GB"/>
        </w:rPr>
        <w:t xml:space="preserve"> and</w:t>
      </w:r>
      <w:r w:rsidR="005673A1" w:rsidRPr="00DA6082">
        <w:rPr>
          <w:rFonts w:eastAsiaTheme="minorHAnsi" w:cs="Times New Roman"/>
          <w:lang w:val="en-GB"/>
        </w:rPr>
        <w:t xml:space="preserve"> </w:t>
      </w:r>
      <w:r w:rsidR="00F41CD0" w:rsidRPr="00DA6082">
        <w:rPr>
          <w:rFonts w:eastAsiaTheme="minorHAnsi" w:cs="Times New Roman"/>
          <w:lang w:val="en-GB"/>
        </w:rPr>
        <w:t>patch</w:t>
      </w:r>
      <w:r w:rsidR="00C72ECB" w:rsidRPr="00DA6082">
        <w:rPr>
          <w:rFonts w:eastAsiaTheme="minorHAnsi" w:cs="Times New Roman"/>
          <w:lang w:val="en-GB"/>
        </w:rPr>
        <w:t>y</w:t>
      </w:r>
      <w:r w:rsidR="00F41CD0" w:rsidRPr="00DA6082">
        <w:rPr>
          <w:rFonts w:eastAsiaTheme="minorHAnsi" w:cs="Times New Roman"/>
          <w:lang w:val="en-GB"/>
        </w:rPr>
        <w:t xml:space="preserve"> regulation leav</w:t>
      </w:r>
      <w:r w:rsidR="005054BA" w:rsidRPr="00DA6082">
        <w:rPr>
          <w:rFonts w:eastAsiaTheme="minorHAnsi" w:cs="Times New Roman"/>
          <w:lang w:val="en-GB"/>
        </w:rPr>
        <w:t>ing</w:t>
      </w:r>
      <w:r w:rsidR="00F41CD0" w:rsidRPr="00DA6082">
        <w:rPr>
          <w:rFonts w:eastAsiaTheme="minorHAnsi" w:cs="Times New Roman"/>
          <w:lang w:val="en-GB"/>
        </w:rPr>
        <w:t xml:space="preserve"> much room for corporate self-management.</w:t>
      </w:r>
    </w:p>
    <w:p w14:paraId="1A344E59" w14:textId="77777777" w:rsidR="00FF094B" w:rsidRPr="00DA6082" w:rsidRDefault="00FF094B" w:rsidP="00F41CD0">
      <w:pPr>
        <w:rPr>
          <w:rFonts w:ascii="Times New Roman" w:hAnsi="Times New Roman" w:cs="Times New Roman"/>
          <w:sz w:val="22"/>
          <w:szCs w:val="22"/>
          <w:lang w:val="en-GB"/>
        </w:rPr>
      </w:pPr>
    </w:p>
    <w:p w14:paraId="44D832D1" w14:textId="191A4706" w:rsidR="00F41CD0" w:rsidRPr="00DA6082" w:rsidRDefault="00BD4F0C" w:rsidP="00DA6082">
      <w:pPr>
        <w:pStyle w:val="Heading1"/>
        <w:rPr>
          <w:rFonts w:ascii="Cambria" w:hAnsi="Cambria"/>
          <w:b w:val="0"/>
          <w:bCs w:val="0"/>
          <w:sz w:val="36"/>
          <w:szCs w:val="36"/>
          <w:lang w:val="en-GB"/>
        </w:rPr>
      </w:pPr>
      <w:r w:rsidRPr="00DA6082">
        <w:rPr>
          <w:rFonts w:ascii="Cambria" w:hAnsi="Cambria"/>
          <w:b w:val="0"/>
          <w:bCs w:val="0"/>
          <w:caps w:val="0"/>
          <w:sz w:val="36"/>
          <w:szCs w:val="36"/>
          <w:lang w:val="en-GB"/>
        </w:rPr>
        <w:t>Legal Issue</w:t>
      </w:r>
    </w:p>
    <w:p w14:paraId="61297430" w14:textId="0DC30110" w:rsidR="00F41CD0" w:rsidRPr="00DA6082" w:rsidRDefault="004D3F05" w:rsidP="00B34EFB">
      <w:pPr>
        <w:jc w:val="both"/>
        <w:rPr>
          <w:rFonts w:eastAsiaTheme="minorHAnsi" w:cs="Times New Roman"/>
          <w:lang w:val="en-GB"/>
        </w:rPr>
      </w:pPr>
      <w:r w:rsidRPr="00DA6082">
        <w:rPr>
          <w:rFonts w:eastAsiaTheme="minorHAnsi" w:cs="Times New Roman"/>
          <w:lang w:val="en-GB"/>
        </w:rPr>
        <w:t xml:space="preserve">  </w:t>
      </w:r>
      <w:r w:rsidR="00F41CD0" w:rsidRPr="00DA6082">
        <w:rPr>
          <w:rFonts w:eastAsiaTheme="minorHAnsi" w:cs="Times New Roman"/>
          <w:lang w:val="en-GB"/>
        </w:rPr>
        <w:t xml:space="preserve">The conditions that challenge biodiversity are shaped by increasing volatility, uncertainty, complexity and ambiguity, while the current standards and reporting frameworks that deal with the </w:t>
      </w:r>
      <w:r w:rsidR="00C81D33" w:rsidRPr="00DA6082">
        <w:rPr>
          <w:rFonts w:eastAsiaTheme="minorHAnsi" w:cs="Times New Roman"/>
          <w:lang w:val="en-GB"/>
        </w:rPr>
        <w:t xml:space="preserve">issue </w:t>
      </w:r>
      <w:r w:rsidR="00F41CD0" w:rsidRPr="00DA6082">
        <w:rPr>
          <w:rFonts w:eastAsiaTheme="minorHAnsi" w:cs="Times New Roman"/>
          <w:lang w:val="en-GB"/>
        </w:rPr>
        <w:t xml:space="preserve">are </w:t>
      </w:r>
      <w:r w:rsidR="007606EE">
        <w:rPr>
          <w:rFonts w:eastAsiaTheme="minorHAnsi" w:cs="Times New Roman"/>
          <w:lang w:val="en-GB"/>
        </w:rPr>
        <w:t>primarily</w:t>
      </w:r>
      <w:r w:rsidR="00F41CD0" w:rsidRPr="00DA6082">
        <w:rPr>
          <w:rFonts w:eastAsiaTheme="minorHAnsi" w:cs="Times New Roman"/>
          <w:lang w:val="en-GB"/>
        </w:rPr>
        <w:t xml:space="preserve"> voluntary and discretionary, such as the current EU directive that non-</w:t>
      </w:r>
      <w:r w:rsidR="00F41CD0" w:rsidRPr="00DA6082">
        <w:rPr>
          <w:rFonts w:eastAsiaTheme="minorHAnsi" w:cs="Times New Roman"/>
          <w:lang w:val="en-GB"/>
        </w:rPr>
        <w:lastRenderedPageBreak/>
        <w:t>financial reports can be included in annual reports. This runs counter to the urgency of mitigating biodiversity loss and suggests that current policies and regulations that attempt to disclose and measure the impact of investments are inadequate.</w:t>
      </w:r>
    </w:p>
    <w:p w14:paraId="03BC554C" w14:textId="679668FC" w:rsidR="00F41CD0" w:rsidRPr="00DA6082" w:rsidRDefault="004D3F05" w:rsidP="00B34EFB">
      <w:pPr>
        <w:jc w:val="both"/>
        <w:rPr>
          <w:rFonts w:eastAsiaTheme="minorHAnsi" w:cs="Times New Roman"/>
          <w:lang w:val="en-GB"/>
        </w:rPr>
      </w:pPr>
      <w:r w:rsidRPr="00DA6082">
        <w:rPr>
          <w:rFonts w:eastAsiaTheme="minorHAnsi" w:cs="Times New Roman"/>
          <w:lang w:val="en-GB"/>
        </w:rPr>
        <w:t xml:space="preserve">  </w:t>
      </w:r>
      <w:r w:rsidR="00F41CD0" w:rsidRPr="00DA6082">
        <w:rPr>
          <w:rFonts w:eastAsiaTheme="minorHAnsi" w:cs="Times New Roman"/>
          <w:lang w:val="en-GB"/>
        </w:rPr>
        <w:t>According to a McKinsey survey, nearly 97% of investors believe that sustainability disclosures should be audited in some way, and 67% said that sustainability audits should be as rigorous as financial audits.</w:t>
      </w:r>
      <w:r w:rsidR="0042235A" w:rsidRPr="00DA6082">
        <w:rPr>
          <w:rStyle w:val="FootnoteReference"/>
          <w:rFonts w:eastAsiaTheme="minorHAnsi" w:cs="Times New Roman"/>
          <w:lang w:val="en-GB"/>
        </w:rPr>
        <w:footnoteReference w:id="4"/>
      </w:r>
      <w:r w:rsidR="00F41CD0" w:rsidRPr="00DA6082">
        <w:rPr>
          <w:rFonts w:eastAsiaTheme="minorHAnsi" w:cs="Times New Roman"/>
          <w:lang w:val="en-GB"/>
        </w:rPr>
        <w:t xml:space="preserve"> This places demands on external audit</w:t>
      </w:r>
      <w:r w:rsidR="005142F8" w:rsidRPr="00DA6082">
        <w:rPr>
          <w:rFonts w:eastAsiaTheme="minorHAnsi" w:cs="Times New Roman"/>
          <w:lang w:val="en-GB"/>
        </w:rPr>
        <w:t>or</w:t>
      </w:r>
      <w:r w:rsidR="00F41CD0" w:rsidRPr="00DA6082">
        <w:rPr>
          <w:rFonts w:eastAsiaTheme="minorHAnsi" w:cs="Times New Roman"/>
          <w:lang w:val="en-GB"/>
        </w:rPr>
        <w:t>s of sustainability disclosure content</w:t>
      </w:r>
      <w:r w:rsidR="00021FD6" w:rsidRPr="00DA6082">
        <w:rPr>
          <w:rFonts w:eastAsiaTheme="minorHAnsi" w:cs="Times New Roman"/>
          <w:lang w:val="en-GB"/>
        </w:rPr>
        <w:t>;</w:t>
      </w:r>
      <w:r w:rsidR="00F41CD0" w:rsidRPr="00DA6082">
        <w:rPr>
          <w:rFonts w:eastAsiaTheme="minorHAnsi" w:cs="Times New Roman"/>
          <w:lang w:val="en-GB"/>
        </w:rPr>
        <w:t xml:space="preserve"> </w:t>
      </w:r>
      <w:r w:rsidR="007606EE">
        <w:rPr>
          <w:rFonts w:eastAsiaTheme="minorHAnsi" w:cs="Times New Roman"/>
          <w:lang w:val="en-GB"/>
        </w:rPr>
        <w:t>to</w:t>
      </w:r>
      <w:r w:rsidR="00F41CD0" w:rsidRPr="00DA6082">
        <w:rPr>
          <w:rFonts w:eastAsiaTheme="minorHAnsi" w:cs="Times New Roman"/>
          <w:lang w:val="en-GB"/>
        </w:rPr>
        <w:t xml:space="preserve"> serve the marine economy, corporate reporting must be of high quality, consistent, comparable and verifiable. The current policy does not meet these demands.</w:t>
      </w:r>
    </w:p>
    <w:p w14:paraId="35CE7CC1" w14:textId="0928BD3F" w:rsidR="00C17674" w:rsidRPr="00DA6082" w:rsidRDefault="001F7769" w:rsidP="00DA6082">
      <w:pPr>
        <w:pStyle w:val="Heading1"/>
        <w:rPr>
          <w:rFonts w:ascii="Cambria" w:hAnsi="Cambria"/>
          <w:b w:val="0"/>
          <w:bCs w:val="0"/>
          <w:sz w:val="36"/>
          <w:szCs w:val="36"/>
          <w:lang w:val="en-GB"/>
        </w:rPr>
      </w:pPr>
      <w:r w:rsidRPr="001F7769">
        <w:rPr>
          <w:rFonts w:ascii="Cambria" w:hAnsi="Cambria"/>
          <w:b w:val="0"/>
          <w:bCs w:val="0"/>
          <w:caps w:val="0"/>
          <w:sz w:val="36"/>
          <w:szCs w:val="36"/>
          <w:lang w:val="en-GB"/>
        </w:rPr>
        <w:t>Solving Problems</w:t>
      </w:r>
    </w:p>
    <w:p w14:paraId="2306BCBC" w14:textId="2360D0B2" w:rsidR="00940DDA" w:rsidRPr="00DA6082" w:rsidRDefault="007F1B99" w:rsidP="00B34EFB">
      <w:pPr>
        <w:jc w:val="both"/>
        <w:rPr>
          <w:rFonts w:eastAsiaTheme="minorHAnsi" w:cs="Times New Roman"/>
          <w:lang w:val="en-GB"/>
        </w:rPr>
      </w:pPr>
      <w:r w:rsidRPr="00DA6082">
        <w:rPr>
          <w:rFonts w:eastAsiaTheme="minorHAnsi" w:cs="Times New Roman"/>
          <w:lang w:val="en-GB"/>
        </w:rPr>
        <w:t xml:space="preserve">  </w:t>
      </w:r>
      <w:r w:rsidR="00940DDA" w:rsidRPr="00DA6082">
        <w:rPr>
          <w:rFonts w:eastAsiaTheme="minorHAnsi" w:cs="Times New Roman"/>
          <w:lang w:val="en-GB"/>
        </w:rPr>
        <w:t xml:space="preserve">In </w:t>
      </w:r>
      <w:r w:rsidR="006F778B" w:rsidRPr="00DA6082">
        <w:rPr>
          <w:rFonts w:eastAsiaTheme="minorHAnsi" w:cs="Times New Roman"/>
          <w:lang w:val="en-GB"/>
        </w:rPr>
        <w:t xml:space="preserve">this </w:t>
      </w:r>
      <w:r w:rsidR="00940DDA" w:rsidRPr="00DA6082">
        <w:rPr>
          <w:rFonts w:eastAsiaTheme="minorHAnsi" w:cs="Times New Roman"/>
          <w:lang w:val="en-GB"/>
        </w:rPr>
        <w:t xml:space="preserve">context, we recommend that specific covenants relating to sustainability be imposed on debt issues, which could be used to require greater disclosure or prohibit the use of proceeds for risky activities. The professionalism and rigour of external audits would also be enhanced to ensure accountability and transparency through independent verification and audit of non-financial information. This audit report would also form part of the </w:t>
      </w:r>
      <w:r w:rsidR="00935F31" w:rsidRPr="00DA6082">
        <w:rPr>
          <w:rFonts w:eastAsiaTheme="minorHAnsi" w:cs="Times New Roman"/>
          <w:lang w:val="en-GB"/>
        </w:rPr>
        <w:t xml:space="preserve">borrowing </w:t>
      </w:r>
      <w:r w:rsidR="00940DDA" w:rsidRPr="00DA6082">
        <w:rPr>
          <w:rFonts w:eastAsiaTheme="minorHAnsi" w:cs="Times New Roman"/>
          <w:lang w:val="en-GB"/>
        </w:rPr>
        <w:t>company's annual report,</w:t>
      </w:r>
      <w:r w:rsidR="00A92CF3" w:rsidRPr="00DA6082">
        <w:rPr>
          <w:rFonts w:eastAsiaTheme="minorHAnsi" w:cs="Times New Roman"/>
          <w:lang w:val="en-GB"/>
        </w:rPr>
        <w:t xml:space="preserve"> entitled</w:t>
      </w:r>
      <w:r w:rsidR="00940DDA" w:rsidRPr="00DA6082">
        <w:rPr>
          <w:rFonts w:eastAsiaTheme="minorHAnsi" w:cs="Times New Roman"/>
          <w:lang w:val="en-GB"/>
        </w:rPr>
        <w:t xml:space="preserve"> the </w:t>
      </w:r>
      <w:r w:rsidR="003D442A" w:rsidRPr="00DA6082">
        <w:rPr>
          <w:rFonts w:eastAsiaTheme="minorHAnsi" w:cs="Times New Roman"/>
          <w:lang w:val="en-GB"/>
        </w:rPr>
        <w:t>“</w:t>
      </w:r>
      <w:r w:rsidR="00940DDA" w:rsidRPr="00DA6082">
        <w:rPr>
          <w:rFonts w:eastAsiaTheme="minorHAnsi" w:cs="Times New Roman"/>
          <w:lang w:val="en-GB"/>
        </w:rPr>
        <w:t>Blue Audit</w:t>
      </w:r>
      <w:r w:rsidR="003D442A" w:rsidRPr="00DA6082">
        <w:rPr>
          <w:rFonts w:eastAsiaTheme="minorHAnsi" w:cs="Times New Roman"/>
          <w:lang w:val="en-GB"/>
        </w:rPr>
        <w:t>”</w:t>
      </w:r>
      <w:r w:rsidR="00940DDA" w:rsidRPr="00DA6082">
        <w:rPr>
          <w:rFonts w:eastAsiaTheme="minorHAnsi" w:cs="Times New Roman"/>
          <w:lang w:val="en-GB"/>
        </w:rPr>
        <w:t>.</w:t>
      </w:r>
    </w:p>
    <w:p w14:paraId="49B9DF81" w14:textId="09F6D18A" w:rsidR="00940DDA" w:rsidRPr="00DA6082" w:rsidRDefault="00482C8C" w:rsidP="00B34EFB">
      <w:pPr>
        <w:jc w:val="both"/>
        <w:rPr>
          <w:rFonts w:eastAsiaTheme="minorHAnsi" w:cs="Times New Roman"/>
          <w:lang w:val="en-GB"/>
        </w:rPr>
      </w:pPr>
      <w:r w:rsidRPr="00DA6082">
        <w:rPr>
          <w:rFonts w:eastAsiaTheme="minorHAnsi" w:cs="Times New Roman"/>
          <w:lang w:val="en-GB"/>
        </w:rPr>
        <w:t xml:space="preserve">  I</w:t>
      </w:r>
      <w:r w:rsidR="00940DDA" w:rsidRPr="00DA6082">
        <w:rPr>
          <w:rFonts w:eastAsiaTheme="minorHAnsi" w:cs="Times New Roman"/>
          <w:lang w:val="en-GB"/>
        </w:rPr>
        <w:t>t needs to be clear that environmental issues can indeed be a risk in financial markets, affecting investment returns and business operations. In its Global Risks 2020 report, the World Economic Forum ("WEF") found that failure to mitigate climate change is the most impactful risk that global businesses will face. In addition to this, the WEF ranked the loss of biodiversity as the second most impactful risk. This is partly because the loss of biodiversity affects global food and health systems, and the disruption of these systems can have a systemic impact on all members of these supply chains - including banks. With the market's focus on the environment</w:t>
      </w:r>
      <w:r w:rsidR="00527B24" w:rsidRPr="00DA6082">
        <w:rPr>
          <w:rFonts w:eastAsiaTheme="minorHAnsi" w:cs="Times New Roman"/>
          <w:lang w:val="en-GB"/>
        </w:rPr>
        <w:t xml:space="preserve"> and the </w:t>
      </w:r>
      <w:r w:rsidR="00940DDA" w:rsidRPr="00DA6082">
        <w:rPr>
          <w:rFonts w:eastAsiaTheme="minorHAnsi" w:cs="Times New Roman"/>
          <w:lang w:val="en-GB"/>
        </w:rPr>
        <w:t>climate, the attitude of a company or any market participant to the environment can have a direct impact on its reputation. Some studies have shown that borrowers with strong sustainability practices have easier access to capital in terms of loan prices. Bauer and Hann</w:t>
      </w:r>
      <w:r w:rsidR="0006103A" w:rsidRPr="00DA6082">
        <w:rPr>
          <w:rStyle w:val="FootnoteReference"/>
          <w:rFonts w:eastAsiaTheme="minorHAnsi" w:cs="Times New Roman"/>
          <w:lang w:val="en-GB"/>
        </w:rPr>
        <w:footnoteReference w:id="5"/>
      </w:r>
      <w:r w:rsidR="00940DDA" w:rsidRPr="00DA6082">
        <w:rPr>
          <w:rFonts w:eastAsiaTheme="minorHAnsi" w:cs="Times New Roman"/>
          <w:lang w:val="en-GB"/>
        </w:rPr>
        <w:t xml:space="preserve"> show that environmental concerns are associated with significantly higher debt financing costs and lower credit ratings. They find that positive environmental practices are associated with lower costs of debt.</w:t>
      </w:r>
    </w:p>
    <w:p w14:paraId="17689122" w14:textId="7DFD35F2" w:rsidR="00940DDA" w:rsidRPr="00DA6082" w:rsidRDefault="00D039C9" w:rsidP="00B34EFB">
      <w:pPr>
        <w:jc w:val="both"/>
        <w:rPr>
          <w:rFonts w:eastAsiaTheme="minorHAnsi" w:cs="Times New Roman"/>
          <w:lang w:val="en-GB"/>
        </w:rPr>
      </w:pPr>
      <w:r w:rsidRPr="00DA6082">
        <w:rPr>
          <w:rFonts w:eastAsiaTheme="minorHAnsi" w:cs="Times New Roman"/>
          <w:lang w:val="en-GB"/>
        </w:rPr>
        <w:lastRenderedPageBreak/>
        <w:t xml:space="preserve">  </w:t>
      </w:r>
      <w:r w:rsidR="00940DDA" w:rsidRPr="00DA6082">
        <w:rPr>
          <w:rFonts w:eastAsiaTheme="minorHAnsi" w:cs="Times New Roman"/>
          <w:lang w:val="en-GB"/>
        </w:rPr>
        <w:t>Traditionally, banks have played a crucial role in the functioning of the economy and because of this, we seek to use the relationship between banks and lending firms to effect systemic change. Amongst other things, the existence of a core group of core actors and multi-stakeholder platforms, such as the Loan Market Association (</w:t>
      </w:r>
      <w:r w:rsidR="001543F6" w:rsidRPr="00DA6082">
        <w:rPr>
          <w:rFonts w:eastAsiaTheme="minorHAnsi" w:cs="Times New Roman"/>
          <w:lang w:val="en-GB"/>
        </w:rPr>
        <w:t>“</w:t>
      </w:r>
      <w:r w:rsidR="00940DDA" w:rsidRPr="00DA6082">
        <w:rPr>
          <w:rFonts w:eastAsiaTheme="minorHAnsi" w:cs="Times New Roman"/>
          <w:lang w:val="en-GB"/>
        </w:rPr>
        <w:t>LMA</w:t>
      </w:r>
      <w:r w:rsidR="001543F6" w:rsidRPr="00DA6082">
        <w:rPr>
          <w:rFonts w:eastAsiaTheme="minorHAnsi" w:cs="Times New Roman"/>
          <w:lang w:val="en-GB"/>
        </w:rPr>
        <w:t>”</w:t>
      </w:r>
      <w:r w:rsidR="00940DDA" w:rsidRPr="00DA6082">
        <w:rPr>
          <w:rFonts w:eastAsiaTheme="minorHAnsi" w:cs="Times New Roman"/>
          <w:lang w:val="en-GB"/>
        </w:rPr>
        <w:t>), can provide a potential leverage point for achieving high-level action across the seafood industry.</w:t>
      </w:r>
      <w:r w:rsidRPr="00DA6082">
        <w:rPr>
          <w:rFonts w:eastAsiaTheme="minorHAnsi" w:cs="Times New Roman"/>
          <w:lang w:val="en-GB"/>
        </w:rPr>
        <w:t xml:space="preserve"> </w:t>
      </w:r>
      <w:r w:rsidR="00940DDA" w:rsidRPr="00DA6082">
        <w:rPr>
          <w:rFonts w:eastAsiaTheme="minorHAnsi" w:cs="Times New Roman"/>
          <w:lang w:val="en-GB"/>
        </w:rPr>
        <w:t>So far, although</w:t>
      </w:r>
      <w:r w:rsidR="00195C83">
        <w:rPr>
          <w:rFonts w:eastAsiaTheme="minorHAnsi" w:cs="Times New Roman"/>
          <w:lang w:val="en-GB"/>
        </w:rPr>
        <w:t xml:space="preserve"> the</w:t>
      </w:r>
      <w:r w:rsidR="00940DDA" w:rsidRPr="00DA6082">
        <w:rPr>
          <w:rFonts w:eastAsiaTheme="minorHAnsi" w:cs="Times New Roman"/>
          <w:lang w:val="en-GB"/>
        </w:rPr>
        <w:t xml:space="preserve"> LMA </w:t>
      </w:r>
      <w:r w:rsidR="00195C83">
        <w:rPr>
          <w:rFonts w:eastAsiaTheme="minorHAnsi" w:cs="Times New Roman"/>
          <w:lang w:val="en-GB"/>
        </w:rPr>
        <w:t>is</w:t>
      </w:r>
      <w:r w:rsidR="00940DDA" w:rsidRPr="00DA6082">
        <w:rPr>
          <w:rFonts w:eastAsiaTheme="minorHAnsi" w:cs="Times New Roman"/>
          <w:lang w:val="en-GB"/>
        </w:rPr>
        <w:t xml:space="preserve"> well established in using standardised documentation to build cooperation,</w:t>
      </w:r>
      <w:r w:rsidR="003B6EEE">
        <w:rPr>
          <w:rStyle w:val="FootnoteReference"/>
          <w:rFonts w:eastAsiaTheme="minorHAnsi" w:cs="Times New Roman"/>
          <w:lang w:val="en-GB"/>
        </w:rPr>
        <w:footnoteReference w:id="6"/>
      </w:r>
      <w:r w:rsidR="00940DDA" w:rsidRPr="00DA6082">
        <w:rPr>
          <w:rFonts w:eastAsiaTheme="minorHAnsi" w:cs="Times New Roman"/>
          <w:lang w:val="en-GB"/>
        </w:rPr>
        <w:t xml:space="preserve"> the LMA standard form does not contain a standard </w:t>
      </w:r>
      <w:r w:rsidR="00B34EFB">
        <w:rPr>
          <w:rFonts w:eastAsiaTheme="minorHAnsi" w:cs="Times New Roman"/>
          <w:lang w:val="en-GB"/>
        </w:rPr>
        <w:t>“</w:t>
      </w:r>
      <w:r w:rsidR="00940DDA" w:rsidRPr="00DA6082">
        <w:rPr>
          <w:rFonts w:eastAsiaTheme="minorHAnsi" w:cs="Times New Roman"/>
          <w:lang w:val="en-GB"/>
        </w:rPr>
        <w:t>basket</w:t>
      </w:r>
      <w:r w:rsidR="00B34EFB">
        <w:rPr>
          <w:rFonts w:eastAsiaTheme="minorHAnsi" w:cs="Times New Roman"/>
          <w:lang w:val="en-GB"/>
        </w:rPr>
        <w:t>”</w:t>
      </w:r>
      <w:r w:rsidR="00940DDA" w:rsidRPr="00DA6082">
        <w:rPr>
          <w:rFonts w:eastAsiaTheme="minorHAnsi" w:cs="Times New Roman"/>
          <w:lang w:val="en-GB"/>
        </w:rPr>
        <w:t xml:space="preserve"> that would allow more debt to be dedicated to marine-related investments or initiatives.</w:t>
      </w:r>
    </w:p>
    <w:p w14:paraId="58482A8C" w14:textId="6EA7F2C8" w:rsidR="00940DDA" w:rsidRPr="00DA6082" w:rsidRDefault="00D039C9" w:rsidP="00B34EFB">
      <w:pPr>
        <w:jc w:val="both"/>
        <w:rPr>
          <w:rFonts w:eastAsiaTheme="minorHAnsi" w:cs="Times New Roman"/>
          <w:lang w:val="en-GB"/>
        </w:rPr>
      </w:pPr>
      <w:r w:rsidRPr="00DA6082">
        <w:rPr>
          <w:rFonts w:eastAsiaTheme="minorHAnsi" w:cs="Times New Roman"/>
          <w:lang w:val="en-GB"/>
        </w:rPr>
        <w:t xml:space="preserve">  </w:t>
      </w:r>
      <w:r w:rsidR="00A619CD" w:rsidRPr="00DA6082">
        <w:rPr>
          <w:rFonts w:eastAsiaTheme="minorHAnsi" w:cs="Times New Roman"/>
          <w:lang w:val="en-GB"/>
        </w:rPr>
        <w:t>As can be seen, l</w:t>
      </w:r>
      <w:r w:rsidR="00940DDA" w:rsidRPr="00DA6082">
        <w:rPr>
          <w:rFonts w:eastAsiaTheme="minorHAnsi" w:cs="Times New Roman"/>
          <w:lang w:val="en-GB"/>
        </w:rPr>
        <w:t xml:space="preserve">aw and finance and ecology interact with each other. Modern finance relies heavily on contract law and financial obligations involving claims set out in contracts, and ecology is increasingly incorporated as an expected risk in the investment decisions of financial institutions. Blue </w:t>
      </w:r>
      <w:r w:rsidR="001B28FC" w:rsidRPr="00DA6082">
        <w:rPr>
          <w:rFonts w:eastAsiaTheme="minorHAnsi" w:cs="Times New Roman"/>
          <w:lang w:val="en-GB"/>
        </w:rPr>
        <w:t>A</w:t>
      </w:r>
      <w:r w:rsidR="00940DDA" w:rsidRPr="00DA6082">
        <w:rPr>
          <w:rFonts w:eastAsiaTheme="minorHAnsi" w:cs="Times New Roman"/>
          <w:lang w:val="en-GB"/>
        </w:rPr>
        <w:t>udits bring these three closer together. The role of banks in financing the transition to a blue economy is to release private investment and to assess projects from an economic and environmental point of view while taking into account the overall risks. This means that the bank accepts the loan agreement initiated by the LMA and constructs a legal relationship with the company that relies on contract law.</w:t>
      </w:r>
    </w:p>
    <w:p w14:paraId="5B76E721" w14:textId="7A6612F7" w:rsidR="00A0175E" w:rsidRPr="00DA6082" w:rsidRDefault="00D039C9" w:rsidP="00B34EFB">
      <w:pPr>
        <w:jc w:val="both"/>
        <w:rPr>
          <w:rFonts w:eastAsiaTheme="minorHAnsi" w:cs="Times New Roman"/>
          <w:lang w:val="en-GB"/>
        </w:rPr>
      </w:pPr>
      <w:r w:rsidRPr="00DA6082">
        <w:rPr>
          <w:rFonts w:eastAsiaTheme="minorHAnsi" w:cs="Times New Roman"/>
          <w:lang w:val="en-GB"/>
        </w:rPr>
        <w:t xml:space="preserve">  </w:t>
      </w:r>
      <w:r w:rsidR="00940DDA" w:rsidRPr="00DA6082">
        <w:rPr>
          <w:rFonts w:eastAsiaTheme="minorHAnsi" w:cs="Times New Roman"/>
          <w:lang w:val="en-GB"/>
        </w:rPr>
        <w:t xml:space="preserve">One deterrent mechanism that banks can use in terms of specific implementation guarantees is the inclusion of a buy-back clause in the loan contract. In the context of blue audits, clawback clauses can be used to ensure that borrowers provide fair and accurate information on the status of their environmental practices, as the recovery of these funds is usually triggered when the conditions of some loan covenants are not met. Such a mechanism could therefore be an effective way for banks to ensure that borrowers comply with the annual publication of the </w:t>
      </w:r>
      <w:r w:rsidR="001B28FC" w:rsidRPr="00DA6082">
        <w:rPr>
          <w:rFonts w:eastAsiaTheme="minorHAnsi" w:cs="Times New Roman"/>
          <w:lang w:val="en-GB"/>
        </w:rPr>
        <w:t>B</w:t>
      </w:r>
      <w:r w:rsidR="00940DDA" w:rsidRPr="00DA6082">
        <w:rPr>
          <w:rFonts w:eastAsiaTheme="minorHAnsi" w:cs="Times New Roman"/>
          <w:lang w:val="en-GB"/>
        </w:rPr>
        <w:t xml:space="preserve">lue </w:t>
      </w:r>
      <w:r w:rsidR="001B28FC" w:rsidRPr="00DA6082">
        <w:rPr>
          <w:rFonts w:eastAsiaTheme="minorHAnsi" w:cs="Times New Roman"/>
          <w:lang w:val="en-GB"/>
        </w:rPr>
        <w:t>A</w:t>
      </w:r>
      <w:r w:rsidR="00940DDA" w:rsidRPr="00DA6082">
        <w:rPr>
          <w:rFonts w:eastAsiaTheme="minorHAnsi" w:cs="Times New Roman"/>
          <w:lang w:val="en-GB"/>
        </w:rPr>
        <w:t xml:space="preserve">udit report. In addition to this, banks can add </w:t>
      </w:r>
      <w:r w:rsidR="00B24AC4" w:rsidRPr="00DA6082">
        <w:rPr>
          <w:rFonts w:eastAsiaTheme="minorHAnsi" w:cs="Times New Roman"/>
          <w:lang w:val="en-GB"/>
        </w:rPr>
        <w:t>“</w:t>
      </w:r>
      <w:r w:rsidR="00940DDA" w:rsidRPr="00DA6082">
        <w:rPr>
          <w:rFonts w:eastAsiaTheme="minorHAnsi" w:cs="Times New Roman"/>
          <w:lang w:val="en-GB"/>
        </w:rPr>
        <w:t>green pill</w:t>
      </w:r>
      <w:r w:rsidR="00B24AC4" w:rsidRPr="00DA6082">
        <w:rPr>
          <w:rFonts w:eastAsiaTheme="minorHAnsi" w:cs="Times New Roman"/>
          <w:lang w:val="en-GB"/>
        </w:rPr>
        <w:t>”</w:t>
      </w:r>
      <w:r w:rsidR="00940DDA" w:rsidRPr="00DA6082">
        <w:rPr>
          <w:rFonts w:eastAsiaTheme="minorHAnsi" w:cs="Times New Roman"/>
          <w:lang w:val="en-GB"/>
        </w:rPr>
        <w:t xml:space="preserve"> clauses to their loan covenants. The green pill mechanism uses the bank's power to grant loans to borrowers so that access to these loans and the interest rates charged are dependent on the borrowers meeting their environmental commitments under the contract. As a result, if borrowers do not meet these conditions, they risk losing the preferential interest rates set out in their contracts. Borrowers may also be unable to obtain debt financing from the bank due to this enforcement mechanism.</w:t>
      </w:r>
    </w:p>
    <w:p w14:paraId="1755E4E5" w14:textId="4BD4603A" w:rsidR="00947F1D" w:rsidRPr="00DA6082" w:rsidRDefault="00596E93" w:rsidP="00B34EFB">
      <w:pPr>
        <w:jc w:val="both"/>
        <w:rPr>
          <w:rFonts w:eastAsiaTheme="minorHAnsi" w:cs="Times New Roman"/>
          <w:lang w:val="en-GB"/>
        </w:rPr>
      </w:pPr>
      <w:r>
        <w:rPr>
          <w:rFonts w:eastAsiaTheme="minorHAnsi" w:cs="Times New Roman"/>
          <w:lang w:val="en-GB"/>
        </w:rPr>
        <w:t xml:space="preserve">  </w:t>
      </w:r>
      <w:r w:rsidR="00A0175E" w:rsidRPr="00DA6082">
        <w:rPr>
          <w:rFonts w:eastAsiaTheme="minorHAnsi" w:cs="Times New Roman"/>
          <w:lang w:val="en-GB"/>
        </w:rPr>
        <w:t xml:space="preserve">In summary, we believe that the inclusion of blue audits in loan agreements is an approach that can be taken to address the loss of marine diversity. </w:t>
      </w:r>
      <w:r w:rsidR="00947F1D" w:rsidRPr="00DA6082">
        <w:rPr>
          <w:rFonts w:eastAsiaTheme="minorHAnsi" w:cs="Times New Roman"/>
          <w:lang w:val="en-GB"/>
        </w:rPr>
        <w:t xml:space="preserve">For further details and more in-depth </w:t>
      </w:r>
      <w:r w:rsidR="0005013D" w:rsidRPr="00DA6082">
        <w:rPr>
          <w:rFonts w:eastAsiaTheme="minorHAnsi" w:cs="Times New Roman"/>
          <w:lang w:val="en-GB"/>
        </w:rPr>
        <w:t>discussions</w:t>
      </w:r>
      <w:r w:rsidR="00947F1D" w:rsidRPr="00DA6082">
        <w:rPr>
          <w:rFonts w:eastAsiaTheme="minorHAnsi" w:cs="Times New Roman"/>
          <w:lang w:val="en-GB"/>
        </w:rPr>
        <w:t>, please refer to the extended version of the report</w:t>
      </w:r>
      <w:r w:rsidR="0005013D" w:rsidRPr="00DA6082">
        <w:rPr>
          <w:rFonts w:eastAsiaTheme="minorHAnsi" w:cs="Times New Roman"/>
          <w:lang w:val="en-GB"/>
        </w:rPr>
        <w:t xml:space="preserve"> (</w:t>
      </w:r>
      <w:r w:rsidR="0005013D" w:rsidRPr="00DA6082">
        <w:rPr>
          <w:rFonts w:eastAsiaTheme="minorHAnsi" w:cs="Times New Roman"/>
          <w:i/>
          <w:iCs/>
          <w:lang w:val="en-GB"/>
        </w:rPr>
        <w:t>to be published shortly</w:t>
      </w:r>
      <w:r w:rsidR="0005013D" w:rsidRPr="00DA6082">
        <w:rPr>
          <w:rFonts w:eastAsiaTheme="minorHAnsi" w:cs="Times New Roman"/>
          <w:lang w:val="en-GB"/>
        </w:rPr>
        <w:t>)</w:t>
      </w:r>
      <w:r w:rsidR="00947F1D" w:rsidRPr="00DA6082">
        <w:rPr>
          <w:rFonts w:eastAsiaTheme="minorHAnsi" w:cs="Times New Roman"/>
          <w:lang w:val="en-GB"/>
        </w:rPr>
        <w:t xml:space="preserve">. </w:t>
      </w:r>
    </w:p>
    <w:sectPr w:rsidR="00947F1D" w:rsidRPr="00DA6082" w:rsidSect="00DA6082">
      <w:footerReference w:type="even" r:id="rId11"/>
      <w:footerReference w:type="default" r:id="rId12"/>
      <w:pgSz w:w="11906" w:h="16838"/>
      <w:pgMar w:top="1440" w:right="1800" w:bottom="1440" w:left="1800" w:header="851" w:footer="992"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91C" w14:textId="77777777" w:rsidR="00837E7A" w:rsidRDefault="00837E7A" w:rsidP="00010B7C">
      <w:pPr>
        <w:spacing w:before="0" w:after="0" w:line="240" w:lineRule="auto"/>
      </w:pPr>
      <w:r>
        <w:separator/>
      </w:r>
    </w:p>
  </w:endnote>
  <w:endnote w:type="continuationSeparator" w:id="0">
    <w:p w14:paraId="6AEB50B1" w14:textId="77777777" w:rsidR="00837E7A" w:rsidRDefault="00837E7A" w:rsidP="00010B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4598487"/>
      <w:docPartObj>
        <w:docPartGallery w:val="Page Numbers (Bottom of Page)"/>
        <w:docPartUnique/>
      </w:docPartObj>
    </w:sdtPr>
    <w:sdtContent>
      <w:p w14:paraId="264452C8" w14:textId="7CC99FAC" w:rsidR="001C6EAE" w:rsidRDefault="001C6EAE" w:rsidP="007E4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726B3" w14:textId="77777777" w:rsidR="001C6EAE" w:rsidRDefault="001C6EAE" w:rsidP="001C6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2612673"/>
      <w:docPartObj>
        <w:docPartGallery w:val="Page Numbers (Bottom of Page)"/>
        <w:docPartUnique/>
      </w:docPartObj>
    </w:sdtPr>
    <w:sdtContent>
      <w:p w14:paraId="36B2F468" w14:textId="00B74F28" w:rsidR="001C6EAE" w:rsidRDefault="001C6EAE" w:rsidP="007E4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08124E" w14:textId="77777777" w:rsidR="001C6EAE" w:rsidRDefault="001C6EAE" w:rsidP="001C6E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E031" w14:textId="77777777" w:rsidR="00837E7A" w:rsidRDefault="00837E7A" w:rsidP="00010B7C">
      <w:pPr>
        <w:spacing w:before="0" w:after="0" w:line="240" w:lineRule="auto"/>
      </w:pPr>
      <w:r>
        <w:separator/>
      </w:r>
    </w:p>
  </w:footnote>
  <w:footnote w:type="continuationSeparator" w:id="0">
    <w:p w14:paraId="5B4CFA74" w14:textId="77777777" w:rsidR="00837E7A" w:rsidRDefault="00837E7A" w:rsidP="00010B7C">
      <w:pPr>
        <w:spacing w:before="0" w:after="0" w:line="240" w:lineRule="auto"/>
      </w:pPr>
      <w:r>
        <w:continuationSeparator/>
      </w:r>
    </w:p>
  </w:footnote>
  <w:footnote w:id="1">
    <w:p w14:paraId="3F2C3118" w14:textId="26391E9E" w:rsidR="00010B7C" w:rsidRPr="00791590" w:rsidRDefault="00010B7C" w:rsidP="00586A63">
      <w:pPr>
        <w:pStyle w:val="FootnoteText"/>
        <w:spacing w:line="240" w:lineRule="auto"/>
        <w:jc w:val="both"/>
        <w:rPr>
          <w:sz w:val="16"/>
          <w:szCs w:val="16"/>
          <w:lang w:val="en-GB"/>
        </w:rPr>
      </w:pPr>
      <w:r w:rsidRPr="00791590">
        <w:rPr>
          <w:rStyle w:val="FootnoteReference"/>
          <w:sz w:val="16"/>
          <w:szCs w:val="16"/>
        </w:rPr>
        <w:footnoteRef/>
      </w:r>
      <w:r w:rsidR="006D78B5">
        <w:rPr>
          <w:sz w:val="16"/>
          <w:szCs w:val="16"/>
        </w:rPr>
        <w:fldChar w:fldCharType="begin"/>
      </w:r>
      <w:r w:rsidR="006D78B5">
        <w:rPr>
          <w:sz w:val="16"/>
          <w:szCs w:val="16"/>
        </w:rPr>
        <w:instrText xml:space="preserve"> ADDIN ZOTERO_ITEM CSL_CITATION {"citationID":"FoZgupLi","properties":{"formattedCitation":"Nathanial Gronewold, \\uc0\\u8216{}Aquaculture May Replace Wild Fish Stocks\\uc0\\u8217{} ({\\i{}Scientific American}) &lt;https://www.scientificamerican.com/article/aquaculture-replace-fish-stocks/&gt; accessed 7 June 2022.","plainCitation":"Nathanial Gronewold, ‘Aquaculture May Replace Wild Fish Stocks’ (Scientific American) &lt;https://www.scientificamerican.com/article/aquaculture-replace-fish-stocks/&gt; accessed 7 June 2022.","noteIndex":1},"citationItems":[{"id":431,"uris":["http://zotero.org/users/9459662/items/SH3JVXI2"],"itemData":{"id":431,"type":"webpage","abstract":"A new report from the United Nations notes that farmed fish are beginning to make up for the decline in wild catches","container-title":"Scientific American","language":"en","title":"Aquaculture May Replace Wild Fish Stocks","URL":"https://www.scientificamerican.com/article/aquaculture-replace-fish-stocks/","author":[{"family":"Gronewold","given":"Nathanial"}],"accessed":{"date-parts":[["2022",6,7]]}}}],"schema":"https://github.com/citation-style-language/schema/raw/master/csl-citation.json"} </w:instrText>
      </w:r>
      <w:r w:rsidR="006D78B5">
        <w:rPr>
          <w:sz w:val="16"/>
          <w:szCs w:val="16"/>
        </w:rPr>
        <w:fldChar w:fldCharType="separate"/>
      </w:r>
      <w:r w:rsidR="006D78B5" w:rsidRPr="006D78B5">
        <w:rPr>
          <w:rFonts w:ascii="DengXian" w:eastAsia="DengXian" w:cs="Times New Roman"/>
          <w:sz w:val="16"/>
        </w:rPr>
        <w:t>Nathanial Gronewold, ‘Aquaculture May Replace Wild Fish Stocks’ (</w:t>
      </w:r>
      <w:r w:rsidR="006D78B5" w:rsidRPr="006D78B5">
        <w:rPr>
          <w:rFonts w:ascii="DengXian" w:eastAsia="DengXian" w:cs="Times New Roman"/>
          <w:i/>
          <w:iCs/>
          <w:sz w:val="16"/>
        </w:rPr>
        <w:t>Scientific American</w:t>
      </w:r>
      <w:r w:rsidR="006D78B5" w:rsidRPr="006D78B5">
        <w:rPr>
          <w:rFonts w:ascii="DengXian" w:eastAsia="DengXian" w:cs="Times New Roman"/>
          <w:sz w:val="16"/>
        </w:rPr>
        <w:t>) &lt;https://www.scientificamerican.com/article/aquaculture-replace-fish-stocks/&gt; accessed 7 June 2022.</w:t>
      </w:r>
      <w:r w:rsidR="006D78B5">
        <w:rPr>
          <w:sz w:val="16"/>
          <w:szCs w:val="16"/>
        </w:rPr>
        <w:fldChar w:fldCharType="end"/>
      </w:r>
    </w:p>
  </w:footnote>
  <w:footnote w:id="2">
    <w:p w14:paraId="693D6EDC" w14:textId="62DDDDDD" w:rsidR="00010B7C" w:rsidRPr="00791590" w:rsidRDefault="00010B7C" w:rsidP="00586A63">
      <w:pPr>
        <w:pStyle w:val="FootnoteText"/>
        <w:spacing w:line="240" w:lineRule="auto"/>
        <w:jc w:val="both"/>
        <w:rPr>
          <w:sz w:val="16"/>
          <w:szCs w:val="16"/>
          <w:lang w:val="en-GB"/>
        </w:rPr>
      </w:pPr>
      <w:r w:rsidRPr="00791590">
        <w:rPr>
          <w:rStyle w:val="FootnoteReference"/>
          <w:sz w:val="16"/>
          <w:szCs w:val="16"/>
        </w:rPr>
        <w:footnoteRef/>
      </w:r>
      <w:r w:rsidRPr="00791590">
        <w:rPr>
          <w:sz w:val="16"/>
          <w:szCs w:val="16"/>
        </w:rPr>
        <w:t xml:space="preserve"> </w:t>
      </w:r>
      <w:r w:rsidR="00F85F23" w:rsidRPr="00F85F23">
        <w:rPr>
          <w:sz w:val="16"/>
          <w:szCs w:val="16"/>
        </w:rPr>
        <w:fldChar w:fldCharType="begin"/>
      </w:r>
      <w:r w:rsidR="005509EB">
        <w:rPr>
          <w:sz w:val="16"/>
          <w:szCs w:val="16"/>
        </w:rPr>
        <w:instrText xml:space="preserve"> ADDIN ZOTERO_ITEM CSL_CITATION {"citationID":"StpYsV7j","properties":{"formattedCitation":"Rosamond L Naylor and others, \\uc0\\u8216{}A 20-Year Retrospective Review of Global Aquaculture\\uc0\\u8217{} (2021) 591 Nature 551.","plainCitation":"Rosamond L Naylor and others, ‘A 20-Year Retrospective Review of Global Aquaculture’ (2021) 591 Nature 551.","noteIndex":2},"citationItems":[{"id":282,"uris":["http://zotero.org/groups/4677361/items/NJIRDRG8"],"itemData":{"id":282,"type":"article-journal","container-title":"Nature","ISSN":"1476-4687","issue":"7851","journalAbbreviation":"Nature","note":"publisher: Nature Publishing Group","page":"551-563","title":"A 20-year retrospective review of global aquaculture","volume":"591","author":[{"family":"Naylor","given":"Rosamond L"},{"family":"Hardy","given":"Ronald W"},{"family":"Buschmann","given":"Alejandro H"},{"family":"Bush","given":"Simon R"},{"family":"Cao","given":"Ling"},{"family":"Klinger","given":"Dane H"},{"family":"Little","given":"David C"},{"family":"Lubchenco","given":"Jane"},{"family":"Shumway","given":"Sandra E"},{"family":"Troell","given":"Max"}],"issued":{"date-parts":[["2021"]]}}}],"schema":"https://github.com/citation-style-language/schema/raw/master/csl-citation.json"} </w:instrText>
      </w:r>
      <w:r w:rsidR="00F85F23" w:rsidRPr="00F85F23">
        <w:rPr>
          <w:sz w:val="16"/>
          <w:szCs w:val="16"/>
        </w:rPr>
        <w:fldChar w:fldCharType="separate"/>
      </w:r>
      <w:r w:rsidR="00F85F23" w:rsidRPr="00F85F23">
        <w:rPr>
          <w:sz w:val="16"/>
          <w:szCs w:val="16"/>
        </w:rPr>
        <w:t>Rosamond L Naylor and others, ‘A 20-Year Retrospective Review of Global Aquaculture’ (2021) 591 Nature 551.</w:t>
      </w:r>
      <w:r w:rsidR="00F85F23" w:rsidRPr="00F85F23">
        <w:rPr>
          <w:sz w:val="16"/>
          <w:szCs w:val="16"/>
        </w:rPr>
        <w:fldChar w:fldCharType="end"/>
      </w:r>
    </w:p>
  </w:footnote>
  <w:footnote w:id="3">
    <w:p w14:paraId="528B1DB3" w14:textId="419AED70" w:rsidR="00010B7C" w:rsidRPr="00DA6082" w:rsidRDefault="00010B7C" w:rsidP="00586A63">
      <w:pPr>
        <w:pStyle w:val="FootnoteText"/>
        <w:spacing w:line="240" w:lineRule="auto"/>
        <w:jc w:val="both"/>
        <w:rPr>
          <w:lang w:val="en-GB"/>
        </w:rPr>
      </w:pPr>
      <w:r w:rsidRPr="00791590">
        <w:rPr>
          <w:rStyle w:val="FootnoteReference"/>
          <w:sz w:val="16"/>
          <w:szCs w:val="16"/>
        </w:rPr>
        <w:footnoteRef/>
      </w:r>
      <w:r w:rsidRPr="00791590">
        <w:rPr>
          <w:sz w:val="16"/>
          <w:szCs w:val="16"/>
        </w:rPr>
        <w:t xml:space="preserve"> </w:t>
      </w:r>
      <w:r w:rsidR="005509EB">
        <w:rPr>
          <w:sz w:val="16"/>
          <w:szCs w:val="16"/>
        </w:rPr>
        <w:fldChar w:fldCharType="begin"/>
      </w:r>
      <w:r w:rsidR="005509EB">
        <w:rPr>
          <w:sz w:val="16"/>
          <w:szCs w:val="16"/>
        </w:rPr>
        <w:instrText xml:space="preserve"> ADDIN ZOTERO_ITEM CSL_CITATION {"citationID":"hUQImFfH","properties":{"formattedCitation":"Ranithri Abeynayake and Eresha Mendis, \\uc0\\u8216{}Seafood Science, Advances in Chemistry, Technology and Applications\\uc0\\u8217{} (2014).","plainCitation":"Ranithri Abeynayake and Eresha Mendis, ‘Seafood Science, Advances in Chemistry, Technology and Applications’ (2014).","noteIndex":3},"citationItems":[{"id":424,"uris":["http://zotero.org/users/9459662/items/EJWNQV95"],"itemData":{"id":424,"type":"chapter","abstract":"Emerging research evidence regarding the impact of diet on human health beyond the basic nutrition has aroused the curiosity of consumers. Marine based bioactive compounds, in particular, are believed to provide a number of health bene</w:instrText>
      </w:r>
      <w:r w:rsidR="005509EB">
        <w:rPr>
          <w:rFonts w:ascii="Times New Roman" w:hAnsi="Times New Roman" w:cs="Times New Roman"/>
          <w:sz w:val="16"/>
          <w:szCs w:val="16"/>
        </w:rPr>
        <w:instrText>ﬁ</w:instrText>
      </w:r>
      <w:r w:rsidR="005509EB">
        <w:rPr>
          <w:sz w:val="16"/>
          <w:szCs w:val="16"/>
        </w:rPr>
        <w:instrText xml:space="preserve">ts. The marine ecosystem covers more than 70% of the earth’s surface but represents 95% of the biosphere with phenomenal biodiversity (Faulkner 1995). Therefore, marine bioactive compounds can be derived from a number of sources including marine plants, microorganisms and by-products of the </w:instrText>
      </w:r>
      <w:r w:rsidR="005509EB">
        <w:rPr>
          <w:rFonts w:ascii="Times New Roman" w:hAnsi="Times New Roman" w:cs="Times New Roman"/>
          <w:sz w:val="16"/>
          <w:szCs w:val="16"/>
        </w:rPr>
        <w:instrText>ﬁ</w:instrText>
      </w:r>
      <w:r w:rsidR="005509EB">
        <w:rPr>
          <w:sz w:val="16"/>
          <w:szCs w:val="16"/>
        </w:rPr>
        <w:instrText>sh industry. Many marine organisms live in complex, competitive and aggressive habitats exposed to extreme conditions and in adapting to new environmental surroundings, they produce a wide variety of biologically active secondary metabolites which cannot be found in other organisms. While the effect of these compounds on the human body may be very small over relatively short periods, they could contribute signi</w:instrText>
      </w:r>
      <w:r w:rsidR="005509EB">
        <w:rPr>
          <w:rFonts w:ascii="Times New Roman" w:hAnsi="Times New Roman" w:cs="Times New Roman"/>
          <w:sz w:val="16"/>
          <w:szCs w:val="16"/>
        </w:rPr>
        <w:instrText>ﬁ</w:instrText>
      </w:r>
      <w:r w:rsidR="005509EB">
        <w:rPr>
          <w:sz w:val="16"/>
          <w:szCs w:val="16"/>
        </w:rPr>
        <w:instrText xml:space="preserve">cantly to health when they are consumed throughout one’s life as a part of the daily diet (Biesalski et al. 2009).","ISBN":"978-1-4665-9582-8","page":"261-275","source":"ResearchGate","title":"Seafood Science, Advances in Chemistry, Technology and Applications","author":[{"family":"Abeynayake","given":"Ranithri"},{"family":"Mendis","given":"Eresha"}],"issued":{"date-parts":[["2014",10,12]]}}}],"schema":"https://github.com/citation-style-language/schema/raw/master/csl-citation.json"} </w:instrText>
      </w:r>
      <w:r w:rsidR="005509EB">
        <w:rPr>
          <w:sz w:val="16"/>
          <w:szCs w:val="16"/>
        </w:rPr>
        <w:fldChar w:fldCharType="separate"/>
      </w:r>
      <w:r w:rsidR="005509EB" w:rsidRPr="005509EB">
        <w:rPr>
          <w:rFonts w:ascii="DengXian" w:eastAsia="DengXian" w:cs="Times New Roman"/>
          <w:sz w:val="16"/>
        </w:rPr>
        <w:t>Ranithri Abeynayake and Eresha Mendis, ‘Seafood Science, Advances in Chemistry, Technology and Applications’ (2014).</w:t>
      </w:r>
      <w:r w:rsidR="005509EB">
        <w:rPr>
          <w:sz w:val="16"/>
          <w:szCs w:val="16"/>
        </w:rPr>
        <w:fldChar w:fldCharType="end"/>
      </w:r>
    </w:p>
  </w:footnote>
  <w:footnote w:id="4">
    <w:p w14:paraId="526783B7" w14:textId="1C4771CD" w:rsidR="0042235A" w:rsidRPr="005509EB" w:rsidRDefault="0042235A" w:rsidP="00586A63">
      <w:pPr>
        <w:pStyle w:val="FootnoteText"/>
        <w:jc w:val="both"/>
        <w:rPr>
          <w:rFonts w:ascii="DengXian" w:eastAsia="DengXian" w:hAnsi="DengXian"/>
          <w:sz w:val="16"/>
          <w:szCs w:val="16"/>
          <w:lang w:val="en-GB"/>
        </w:rPr>
      </w:pPr>
      <w:r w:rsidRPr="005509EB">
        <w:rPr>
          <w:rStyle w:val="FootnoteReference"/>
          <w:rFonts w:ascii="DengXian" w:eastAsia="DengXian" w:hAnsi="DengXian"/>
          <w:sz w:val="16"/>
          <w:szCs w:val="16"/>
        </w:rPr>
        <w:footnoteRef/>
      </w:r>
      <w:r w:rsidR="005509EB" w:rsidRPr="005509EB">
        <w:rPr>
          <w:rFonts w:ascii="DengXian" w:eastAsia="DengXian" w:hAnsi="DengXian"/>
          <w:sz w:val="16"/>
          <w:szCs w:val="16"/>
        </w:rPr>
        <w:t>S</w:t>
      </w:r>
      <w:r w:rsidR="005509EB" w:rsidRPr="005509EB">
        <w:rPr>
          <w:rFonts w:ascii="DengXian" w:eastAsia="DengXian" w:hAnsi="DengXian" w:cs="Times New Roman"/>
          <w:sz w:val="16"/>
          <w:szCs w:val="16"/>
        </w:rPr>
        <w:t>ara Bernow and others, ‘Refining Sustainability Reporting for Investors | McKinsey’ &lt;https://www.mckinsey.com/business-functions/sustainability/our-insights/more-than-values-the-value-based-sustainability-reporting-that-investors-want&gt; accessed 13 May 2022.</w:t>
      </w:r>
    </w:p>
  </w:footnote>
  <w:footnote w:id="5">
    <w:p w14:paraId="3C1AF9DF" w14:textId="6DCB14A9" w:rsidR="0006103A" w:rsidRPr="005509EB" w:rsidRDefault="0006103A" w:rsidP="00586A63">
      <w:pPr>
        <w:pStyle w:val="FootnoteText"/>
        <w:jc w:val="both"/>
        <w:rPr>
          <w:sz w:val="16"/>
          <w:szCs w:val="16"/>
          <w:lang w:val="en-GB"/>
        </w:rPr>
      </w:pPr>
      <w:r w:rsidRPr="005509EB">
        <w:rPr>
          <w:rStyle w:val="FootnoteReference"/>
          <w:sz w:val="16"/>
          <w:szCs w:val="16"/>
        </w:rPr>
        <w:footnoteRef/>
      </w:r>
      <w:r w:rsidRPr="005509EB">
        <w:rPr>
          <w:sz w:val="16"/>
          <w:szCs w:val="16"/>
        </w:rPr>
        <w:t xml:space="preserve"> </w:t>
      </w:r>
      <w:r w:rsidR="00CE7964">
        <w:rPr>
          <w:sz w:val="16"/>
          <w:szCs w:val="16"/>
        </w:rPr>
        <w:fldChar w:fldCharType="begin"/>
      </w:r>
      <w:r w:rsidR="00CE7964">
        <w:rPr>
          <w:sz w:val="16"/>
          <w:szCs w:val="16"/>
        </w:rPr>
        <w:instrText xml:space="preserve"> ADDIN ZOTERO_ITEM CSL_CITATION {"citationID":"rWWM2puM","properties":{"formattedCitation":"Rob Bauer and Daniel Hann, \\uc0\\u8216{}Corporate Environmental Management and Credit Risk\\uc0\\u8217{} (Social Science Research Network 2010) SSRN Scholarly Paper 1660470 &lt;https://papers.ssrn.com/abstract=1660470&gt; accessed 7 June 2022.","plainCitation":"Rob Bauer and Daniel Hann, ‘Corporate Environmental Management and Credit Risk’ (Social Science Research Network 2010) SSRN Scholarly Paper 1660470 &lt;https://papers.ssrn.com/abstract=1660470&gt; accessed 7 June 2022.","noteIndex":5},"citationItems":[{"id":427,"uris":["http://zotero.org/users/9459662/items/IFZM8SXI"],"itemData":{"id":427,"type":"report","abstract":"This study analyzes corporate environmental management and its implications for bond investors. We provide support for the view that the credit standing of borrowing firms is influenced by legal, reputational, and regulatory risks associated with environmental incidents. Using environmental information on 582 U.S. public corporations between 1995 and 2006, we document that (i) environmental concerns are associated with a higher cost of debt financing and lower credit ratings, and (ii) proactive environmental practices are associated with a lower cost of debt. The results are robust to numerous controls for company and bond specific characteristics, alternative model specifications, and industry membership.","event-place":"Rochester, NY","genre":"SSRN Scholarly Paper","language":"en","note":"DOI: 10.2139/ssrn.1660470","number":"1660470","publisher":"Social Science Research Network","publisher-place":"Rochester, NY","source":"papers.ssrn.com","title":"Corporate Environmental Management and Credit Risk","URL":"https://papers.ssrn.com/abstract=1660470","author":[{"family":"Bauer","given":"Rob"},{"family":"Hann","given":"Daniel"}],"accessed":{"date-parts":[["2022",6,7]]},"issued":{"date-parts":[["2010",12,23]]}}}],"schema":"https://github.com/citation-style-language/schema/raw/master/csl-citation.json"} </w:instrText>
      </w:r>
      <w:r w:rsidR="00CE7964">
        <w:rPr>
          <w:sz w:val="16"/>
          <w:szCs w:val="16"/>
        </w:rPr>
        <w:fldChar w:fldCharType="separate"/>
      </w:r>
      <w:r w:rsidR="00CE7964" w:rsidRPr="00CE7964">
        <w:rPr>
          <w:rFonts w:ascii="DengXian" w:eastAsia="DengXian" w:cs="Times New Roman"/>
          <w:sz w:val="16"/>
        </w:rPr>
        <w:t>Rob Bauer and Daniel Hann, ‘Corporate Environmental Management and Credit Risk’ (Social Science Research Network 2010) SSRN Scholarly Paper 1660470 &lt;https://papers.ssrn.com/abstract=1660470&gt; accessed 7 June 2022.</w:t>
      </w:r>
      <w:r w:rsidR="00CE7964">
        <w:rPr>
          <w:sz w:val="16"/>
          <w:szCs w:val="16"/>
        </w:rPr>
        <w:fldChar w:fldCharType="end"/>
      </w:r>
    </w:p>
  </w:footnote>
  <w:footnote w:id="6">
    <w:p w14:paraId="760B82DE" w14:textId="3B325758" w:rsidR="003B6EEE" w:rsidRPr="003B6EEE" w:rsidRDefault="003B6EEE">
      <w:pPr>
        <w:pStyle w:val="FootnoteText"/>
        <w:rPr>
          <w:sz w:val="16"/>
          <w:szCs w:val="16"/>
          <w:lang w:val="en-GB"/>
        </w:rPr>
      </w:pPr>
      <w:r w:rsidRPr="003B6EEE">
        <w:rPr>
          <w:rStyle w:val="FootnoteReference"/>
          <w:sz w:val="16"/>
          <w:szCs w:val="16"/>
        </w:rPr>
        <w:footnoteRef/>
      </w:r>
      <w:r w:rsidRPr="003B6EEE">
        <w:rPr>
          <w:sz w:val="16"/>
          <w:szCs w:val="16"/>
        </w:rPr>
        <w:t xml:space="preserve"> </w:t>
      </w:r>
      <w:r w:rsidRPr="003B6EEE">
        <w:rPr>
          <w:sz w:val="16"/>
          <w:szCs w:val="16"/>
        </w:rPr>
        <w:fldChar w:fldCharType="begin"/>
      </w:r>
      <w:r w:rsidRPr="003B6EEE">
        <w:rPr>
          <w:sz w:val="16"/>
          <w:szCs w:val="16"/>
        </w:rPr>
        <w:instrText xml:space="preserve"> ADDIN ZOTERO_ITEM CSL_CITATION {"citationID":"ImXzEBNg","properties":{"formattedCitation":"Loan Market Association, \\uc0\\u8216{}LMA Documents &amp; Guidelines\\uc0\\u8217{} ({\\i{}LMA Documents &amp; Guidelines}) &lt;https://www.lma.eu.com/documents-guidelines/documents&gt; accessed 7 June 2022.","plainCitation":"Loan Market Association, ‘LMA Documents &amp; Guidelines’ (LMA Documents &amp; Guidelines) &lt;https://www.lma.eu.com/documents-guidelines/documents&gt; accessed 7 June 2022.","noteIndex":6},"citationItems":[{"id":432,"uris":["http://zotero.org/users/9459662/items/LPDIH9H3"],"itemData":{"id":432,"type":"webpage","container-title":"LMA Documents &amp; Guidelines","title":"LMA Documents &amp; Guidelines","URL":"https://www.lma.eu.com/documents-guidelines/documents","author":[{"family":"Loan Market Association","given":""}],"accessed":{"date-parts":[["2022",6,7]]}}}],"schema":"https://github.com/citation-style-language/schema/raw/master/csl-citation.json"} </w:instrText>
      </w:r>
      <w:r w:rsidRPr="003B6EEE">
        <w:rPr>
          <w:sz w:val="16"/>
          <w:szCs w:val="16"/>
        </w:rPr>
        <w:fldChar w:fldCharType="separate"/>
      </w:r>
      <w:r w:rsidRPr="003B6EEE">
        <w:rPr>
          <w:rFonts w:ascii="DengXian" w:eastAsia="DengXian" w:cs="Times New Roman"/>
          <w:sz w:val="16"/>
          <w:szCs w:val="16"/>
        </w:rPr>
        <w:t>Loan Market Association, ‘LMA Documents &amp; Guidelines’ (</w:t>
      </w:r>
      <w:r w:rsidRPr="003B6EEE">
        <w:rPr>
          <w:rFonts w:ascii="DengXian" w:eastAsia="DengXian" w:cs="Times New Roman"/>
          <w:i/>
          <w:iCs/>
          <w:sz w:val="16"/>
          <w:szCs w:val="16"/>
        </w:rPr>
        <w:t>LMA Documents &amp; Guidelines</w:t>
      </w:r>
      <w:r w:rsidRPr="003B6EEE">
        <w:rPr>
          <w:rFonts w:ascii="DengXian" w:eastAsia="DengXian" w:cs="Times New Roman"/>
          <w:sz w:val="16"/>
          <w:szCs w:val="16"/>
        </w:rPr>
        <w:t>) &lt;https://www.lma.eu.com/documents-guidelines/documents&gt; accessed 7 June 2022.</w:t>
      </w:r>
      <w:r w:rsidRPr="003B6EEE">
        <w:rPr>
          <w:sz w:val="16"/>
          <w:szCs w:val="16"/>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11859">
    <w:abstractNumId w:val="0"/>
  </w:num>
  <w:num w:numId="2" w16cid:durableId="29637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47"/>
    <w:rsid w:val="00010B7C"/>
    <w:rsid w:val="00017FD6"/>
    <w:rsid w:val="00021FD6"/>
    <w:rsid w:val="0005013D"/>
    <w:rsid w:val="00056328"/>
    <w:rsid w:val="0006103A"/>
    <w:rsid w:val="00061179"/>
    <w:rsid w:val="0007154C"/>
    <w:rsid w:val="00074E29"/>
    <w:rsid w:val="00080D8A"/>
    <w:rsid w:val="00096085"/>
    <w:rsid w:val="000A01AA"/>
    <w:rsid w:val="000B3F47"/>
    <w:rsid w:val="000F711B"/>
    <w:rsid w:val="00140822"/>
    <w:rsid w:val="001543F6"/>
    <w:rsid w:val="001939D6"/>
    <w:rsid w:val="00195C83"/>
    <w:rsid w:val="001B2859"/>
    <w:rsid w:val="001B28FC"/>
    <w:rsid w:val="001C6EAE"/>
    <w:rsid w:val="001F56D6"/>
    <w:rsid w:val="001F7769"/>
    <w:rsid w:val="002D65C7"/>
    <w:rsid w:val="002F7AA0"/>
    <w:rsid w:val="003358C0"/>
    <w:rsid w:val="00337A31"/>
    <w:rsid w:val="003B27B6"/>
    <w:rsid w:val="003B6EEE"/>
    <w:rsid w:val="003D442A"/>
    <w:rsid w:val="003D76B2"/>
    <w:rsid w:val="003E2EA5"/>
    <w:rsid w:val="003E7582"/>
    <w:rsid w:val="003F3C1F"/>
    <w:rsid w:val="003F3CCA"/>
    <w:rsid w:val="0042235A"/>
    <w:rsid w:val="00441B90"/>
    <w:rsid w:val="00463C08"/>
    <w:rsid w:val="00476133"/>
    <w:rsid w:val="00482C8C"/>
    <w:rsid w:val="004849D2"/>
    <w:rsid w:val="004D0D8B"/>
    <w:rsid w:val="004D3F05"/>
    <w:rsid w:val="004D6AC7"/>
    <w:rsid w:val="004F06CD"/>
    <w:rsid w:val="00504949"/>
    <w:rsid w:val="005054BA"/>
    <w:rsid w:val="005142F8"/>
    <w:rsid w:val="0052752F"/>
    <w:rsid w:val="00527B24"/>
    <w:rsid w:val="00537DD9"/>
    <w:rsid w:val="005428E7"/>
    <w:rsid w:val="005509EB"/>
    <w:rsid w:val="005622C0"/>
    <w:rsid w:val="005673A1"/>
    <w:rsid w:val="00572349"/>
    <w:rsid w:val="00586A63"/>
    <w:rsid w:val="00591D8C"/>
    <w:rsid w:val="00596E93"/>
    <w:rsid w:val="005A2FCB"/>
    <w:rsid w:val="005A7B3B"/>
    <w:rsid w:val="005D7D6F"/>
    <w:rsid w:val="005E1611"/>
    <w:rsid w:val="005F20E0"/>
    <w:rsid w:val="005F73EA"/>
    <w:rsid w:val="00617E45"/>
    <w:rsid w:val="006264D9"/>
    <w:rsid w:val="006B4292"/>
    <w:rsid w:val="006B472D"/>
    <w:rsid w:val="006C47B3"/>
    <w:rsid w:val="006D78B5"/>
    <w:rsid w:val="006F778B"/>
    <w:rsid w:val="00711483"/>
    <w:rsid w:val="007438B0"/>
    <w:rsid w:val="007606EE"/>
    <w:rsid w:val="007767A3"/>
    <w:rsid w:val="007802E1"/>
    <w:rsid w:val="00791590"/>
    <w:rsid w:val="007A1F81"/>
    <w:rsid w:val="007B177E"/>
    <w:rsid w:val="007B5875"/>
    <w:rsid w:val="007F1B99"/>
    <w:rsid w:val="0082126E"/>
    <w:rsid w:val="00837E7A"/>
    <w:rsid w:val="008825BC"/>
    <w:rsid w:val="008A4490"/>
    <w:rsid w:val="009003FD"/>
    <w:rsid w:val="00935F31"/>
    <w:rsid w:val="00940DDA"/>
    <w:rsid w:val="0094573E"/>
    <w:rsid w:val="00947F1D"/>
    <w:rsid w:val="00954073"/>
    <w:rsid w:val="0098046A"/>
    <w:rsid w:val="009A5F5C"/>
    <w:rsid w:val="009D5845"/>
    <w:rsid w:val="00A0175E"/>
    <w:rsid w:val="00A06667"/>
    <w:rsid w:val="00A26829"/>
    <w:rsid w:val="00A44DEA"/>
    <w:rsid w:val="00A54653"/>
    <w:rsid w:val="00A619CD"/>
    <w:rsid w:val="00A631A2"/>
    <w:rsid w:val="00A90302"/>
    <w:rsid w:val="00A92CF3"/>
    <w:rsid w:val="00AB5A2F"/>
    <w:rsid w:val="00AC4E57"/>
    <w:rsid w:val="00AF2C5E"/>
    <w:rsid w:val="00B24AC4"/>
    <w:rsid w:val="00B34EFB"/>
    <w:rsid w:val="00B46430"/>
    <w:rsid w:val="00B674FD"/>
    <w:rsid w:val="00B91C98"/>
    <w:rsid w:val="00BA0602"/>
    <w:rsid w:val="00BD4F0C"/>
    <w:rsid w:val="00BF5031"/>
    <w:rsid w:val="00C17674"/>
    <w:rsid w:val="00C33A9F"/>
    <w:rsid w:val="00C72ECB"/>
    <w:rsid w:val="00C81D33"/>
    <w:rsid w:val="00CD0D87"/>
    <w:rsid w:val="00CE6A6F"/>
    <w:rsid w:val="00CE7964"/>
    <w:rsid w:val="00CF3AEA"/>
    <w:rsid w:val="00D039C9"/>
    <w:rsid w:val="00D13FC2"/>
    <w:rsid w:val="00D3475E"/>
    <w:rsid w:val="00D37AB2"/>
    <w:rsid w:val="00D8445E"/>
    <w:rsid w:val="00DA6082"/>
    <w:rsid w:val="00DE284D"/>
    <w:rsid w:val="00DE78BE"/>
    <w:rsid w:val="00DF4813"/>
    <w:rsid w:val="00DF6A71"/>
    <w:rsid w:val="00E355C4"/>
    <w:rsid w:val="00E80676"/>
    <w:rsid w:val="00EB0120"/>
    <w:rsid w:val="00EE71E8"/>
    <w:rsid w:val="00F03E9B"/>
    <w:rsid w:val="00F07D96"/>
    <w:rsid w:val="00F227D5"/>
    <w:rsid w:val="00F31220"/>
    <w:rsid w:val="00F41CD0"/>
    <w:rsid w:val="00F44781"/>
    <w:rsid w:val="00F5746E"/>
    <w:rsid w:val="00F85F23"/>
    <w:rsid w:val="00FD2CB6"/>
    <w:rsid w:val="00FD3221"/>
    <w:rsid w:val="00FF089A"/>
    <w:rsid w:val="00FF094B"/>
    <w:rsid w:val="00FF206B"/>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61B7"/>
  <w15:chartTrackingRefBased/>
  <w15:docId w15:val="{13373920-BA53-CD41-AE13-23D544EE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0C"/>
    <w:rPr>
      <w:sz w:val="20"/>
      <w:szCs w:val="20"/>
    </w:rPr>
  </w:style>
  <w:style w:type="paragraph" w:styleId="Heading1">
    <w:name w:val="heading 1"/>
    <w:basedOn w:val="Normal"/>
    <w:next w:val="Normal"/>
    <w:link w:val="Heading1Char"/>
    <w:uiPriority w:val="9"/>
    <w:qFormat/>
    <w:rsid w:val="00BD4F0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D4F0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D4F0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D4F0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D4F0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D4F0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D4F0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D4F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D4F0C"/>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7FD6"/>
  </w:style>
  <w:style w:type="character" w:styleId="CommentReference">
    <w:name w:val="annotation reference"/>
    <w:basedOn w:val="DefaultParagraphFont"/>
    <w:uiPriority w:val="99"/>
    <w:semiHidden/>
    <w:unhideWhenUsed/>
    <w:rsid w:val="00017FD6"/>
    <w:rPr>
      <w:sz w:val="16"/>
      <w:szCs w:val="16"/>
    </w:rPr>
  </w:style>
  <w:style w:type="paragraph" w:styleId="CommentText">
    <w:name w:val="annotation text"/>
    <w:basedOn w:val="Normal"/>
    <w:link w:val="CommentTextChar"/>
    <w:uiPriority w:val="99"/>
    <w:semiHidden/>
    <w:unhideWhenUsed/>
    <w:rsid w:val="00017FD6"/>
  </w:style>
  <w:style w:type="character" w:customStyle="1" w:styleId="CommentTextChar">
    <w:name w:val="Comment Text Char"/>
    <w:basedOn w:val="DefaultParagraphFont"/>
    <w:link w:val="CommentText"/>
    <w:uiPriority w:val="99"/>
    <w:semiHidden/>
    <w:rsid w:val="00017FD6"/>
    <w:rPr>
      <w:sz w:val="20"/>
      <w:szCs w:val="20"/>
    </w:rPr>
  </w:style>
  <w:style w:type="paragraph" w:styleId="CommentSubject">
    <w:name w:val="annotation subject"/>
    <w:basedOn w:val="CommentText"/>
    <w:next w:val="CommentText"/>
    <w:link w:val="CommentSubjectChar"/>
    <w:uiPriority w:val="99"/>
    <w:semiHidden/>
    <w:unhideWhenUsed/>
    <w:rsid w:val="00017FD6"/>
    <w:rPr>
      <w:b/>
      <w:bCs/>
    </w:rPr>
  </w:style>
  <w:style w:type="character" w:customStyle="1" w:styleId="CommentSubjectChar">
    <w:name w:val="Comment Subject Char"/>
    <w:basedOn w:val="CommentTextChar"/>
    <w:link w:val="CommentSubject"/>
    <w:uiPriority w:val="99"/>
    <w:semiHidden/>
    <w:rsid w:val="00017FD6"/>
    <w:rPr>
      <w:b/>
      <w:bCs/>
      <w:sz w:val="20"/>
      <w:szCs w:val="20"/>
    </w:rPr>
  </w:style>
  <w:style w:type="paragraph" w:styleId="FootnoteText">
    <w:name w:val="footnote text"/>
    <w:basedOn w:val="Normal"/>
    <w:link w:val="FootnoteTextChar"/>
    <w:uiPriority w:val="99"/>
    <w:semiHidden/>
    <w:unhideWhenUsed/>
    <w:rsid w:val="00010B7C"/>
  </w:style>
  <w:style w:type="character" w:customStyle="1" w:styleId="FootnoteTextChar">
    <w:name w:val="Footnote Text Char"/>
    <w:basedOn w:val="DefaultParagraphFont"/>
    <w:link w:val="FootnoteText"/>
    <w:uiPriority w:val="99"/>
    <w:semiHidden/>
    <w:rsid w:val="00010B7C"/>
    <w:rPr>
      <w:sz w:val="20"/>
      <w:szCs w:val="20"/>
    </w:rPr>
  </w:style>
  <w:style w:type="character" w:styleId="FootnoteReference">
    <w:name w:val="footnote reference"/>
    <w:basedOn w:val="DefaultParagraphFont"/>
    <w:uiPriority w:val="99"/>
    <w:semiHidden/>
    <w:unhideWhenUsed/>
    <w:rsid w:val="00010B7C"/>
    <w:rPr>
      <w:vertAlign w:val="superscript"/>
    </w:rPr>
  </w:style>
  <w:style w:type="character" w:customStyle="1" w:styleId="Heading1Char">
    <w:name w:val="Heading 1 Char"/>
    <w:basedOn w:val="DefaultParagraphFont"/>
    <w:link w:val="Heading1"/>
    <w:uiPriority w:val="9"/>
    <w:rsid w:val="00BD4F0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BD4F0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D4F0C"/>
    <w:rPr>
      <w:caps/>
      <w:color w:val="1F3763" w:themeColor="accent1" w:themeShade="7F"/>
      <w:spacing w:val="15"/>
    </w:rPr>
  </w:style>
  <w:style w:type="character" w:customStyle="1" w:styleId="Heading4Char">
    <w:name w:val="Heading 4 Char"/>
    <w:basedOn w:val="DefaultParagraphFont"/>
    <w:link w:val="Heading4"/>
    <w:uiPriority w:val="9"/>
    <w:semiHidden/>
    <w:rsid w:val="00BD4F0C"/>
    <w:rPr>
      <w:caps/>
      <w:color w:val="2F5496" w:themeColor="accent1" w:themeShade="BF"/>
      <w:spacing w:val="10"/>
    </w:rPr>
  </w:style>
  <w:style w:type="character" w:customStyle="1" w:styleId="Heading5Char">
    <w:name w:val="Heading 5 Char"/>
    <w:basedOn w:val="DefaultParagraphFont"/>
    <w:link w:val="Heading5"/>
    <w:uiPriority w:val="9"/>
    <w:semiHidden/>
    <w:rsid w:val="00BD4F0C"/>
    <w:rPr>
      <w:caps/>
      <w:color w:val="2F5496" w:themeColor="accent1" w:themeShade="BF"/>
      <w:spacing w:val="10"/>
    </w:rPr>
  </w:style>
  <w:style w:type="character" w:customStyle="1" w:styleId="Heading6Char">
    <w:name w:val="Heading 6 Char"/>
    <w:basedOn w:val="DefaultParagraphFont"/>
    <w:link w:val="Heading6"/>
    <w:uiPriority w:val="9"/>
    <w:semiHidden/>
    <w:rsid w:val="00BD4F0C"/>
    <w:rPr>
      <w:caps/>
      <w:color w:val="2F5496" w:themeColor="accent1" w:themeShade="BF"/>
      <w:spacing w:val="10"/>
    </w:rPr>
  </w:style>
  <w:style w:type="character" w:customStyle="1" w:styleId="Heading7Char">
    <w:name w:val="Heading 7 Char"/>
    <w:basedOn w:val="DefaultParagraphFont"/>
    <w:link w:val="Heading7"/>
    <w:uiPriority w:val="9"/>
    <w:semiHidden/>
    <w:rsid w:val="00BD4F0C"/>
    <w:rPr>
      <w:caps/>
      <w:color w:val="2F5496" w:themeColor="accent1" w:themeShade="BF"/>
      <w:spacing w:val="10"/>
    </w:rPr>
  </w:style>
  <w:style w:type="character" w:customStyle="1" w:styleId="Heading8Char">
    <w:name w:val="Heading 8 Char"/>
    <w:basedOn w:val="DefaultParagraphFont"/>
    <w:link w:val="Heading8"/>
    <w:uiPriority w:val="9"/>
    <w:semiHidden/>
    <w:rsid w:val="00BD4F0C"/>
    <w:rPr>
      <w:caps/>
      <w:spacing w:val="10"/>
      <w:sz w:val="18"/>
      <w:szCs w:val="18"/>
    </w:rPr>
  </w:style>
  <w:style w:type="character" w:customStyle="1" w:styleId="Heading9Char">
    <w:name w:val="Heading 9 Char"/>
    <w:basedOn w:val="DefaultParagraphFont"/>
    <w:link w:val="Heading9"/>
    <w:uiPriority w:val="9"/>
    <w:semiHidden/>
    <w:rsid w:val="00BD4F0C"/>
    <w:rPr>
      <w:i/>
      <w:caps/>
      <w:spacing w:val="10"/>
      <w:sz w:val="18"/>
      <w:szCs w:val="18"/>
    </w:rPr>
  </w:style>
  <w:style w:type="paragraph" w:styleId="Caption">
    <w:name w:val="caption"/>
    <w:basedOn w:val="Normal"/>
    <w:next w:val="Normal"/>
    <w:uiPriority w:val="35"/>
    <w:semiHidden/>
    <w:unhideWhenUsed/>
    <w:qFormat/>
    <w:rsid w:val="00BD4F0C"/>
    <w:rPr>
      <w:b/>
      <w:bCs/>
      <w:color w:val="2F5496" w:themeColor="accent1" w:themeShade="BF"/>
      <w:sz w:val="16"/>
      <w:szCs w:val="16"/>
    </w:rPr>
  </w:style>
  <w:style w:type="paragraph" w:styleId="Title">
    <w:name w:val="Title"/>
    <w:basedOn w:val="Normal"/>
    <w:next w:val="Normal"/>
    <w:link w:val="TitleChar"/>
    <w:uiPriority w:val="10"/>
    <w:qFormat/>
    <w:rsid w:val="00BD4F0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BD4F0C"/>
    <w:rPr>
      <w:caps/>
      <w:color w:val="4472C4" w:themeColor="accent1"/>
      <w:spacing w:val="10"/>
      <w:kern w:val="28"/>
      <w:sz w:val="52"/>
      <w:szCs w:val="52"/>
    </w:rPr>
  </w:style>
  <w:style w:type="paragraph" w:styleId="Subtitle">
    <w:name w:val="Subtitle"/>
    <w:basedOn w:val="Normal"/>
    <w:next w:val="Normal"/>
    <w:link w:val="SubtitleChar"/>
    <w:uiPriority w:val="11"/>
    <w:qFormat/>
    <w:rsid w:val="00BD4F0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D4F0C"/>
    <w:rPr>
      <w:caps/>
      <w:color w:val="595959" w:themeColor="text1" w:themeTint="A6"/>
      <w:spacing w:val="10"/>
      <w:sz w:val="24"/>
      <w:szCs w:val="24"/>
    </w:rPr>
  </w:style>
  <w:style w:type="character" w:styleId="Strong">
    <w:name w:val="Strong"/>
    <w:uiPriority w:val="22"/>
    <w:qFormat/>
    <w:rsid w:val="00BD4F0C"/>
    <w:rPr>
      <w:b/>
      <w:bCs/>
    </w:rPr>
  </w:style>
  <w:style w:type="character" w:styleId="Emphasis">
    <w:name w:val="Emphasis"/>
    <w:uiPriority w:val="20"/>
    <w:qFormat/>
    <w:rsid w:val="00BD4F0C"/>
    <w:rPr>
      <w:caps/>
      <w:color w:val="1F3763" w:themeColor="accent1" w:themeShade="7F"/>
      <w:spacing w:val="5"/>
    </w:rPr>
  </w:style>
  <w:style w:type="paragraph" w:styleId="NoSpacing">
    <w:name w:val="No Spacing"/>
    <w:basedOn w:val="Normal"/>
    <w:link w:val="NoSpacingChar"/>
    <w:uiPriority w:val="1"/>
    <w:qFormat/>
    <w:rsid w:val="00BD4F0C"/>
    <w:pPr>
      <w:spacing w:before="0" w:after="0" w:line="240" w:lineRule="auto"/>
    </w:pPr>
  </w:style>
  <w:style w:type="paragraph" w:styleId="ListParagraph">
    <w:name w:val="List Paragraph"/>
    <w:basedOn w:val="Normal"/>
    <w:uiPriority w:val="34"/>
    <w:qFormat/>
    <w:rsid w:val="00BD4F0C"/>
    <w:pPr>
      <w:ind w:left="720"/>
      <w:contextualSpacing/>
    </w:pPr>
  </w:style>
  <w:style w:type="paragraph" w:styleId="Quote">
    <w:name w:val="Quote"/>
    <w:basedOn w:val="Normal"/>
    <w:next w:val="Normal"/>
    <w:link w:val="QuoteChar"/>
    <w:uiPriority w:val="29"/>
    <w:qFormat/>
    <w:rsid w:val="00BD4F0C"/>
    <w:rPr>
      <w:i/>
      <w:iCs/>
    </w:rPr>
  </w:style>
  <w:style w:type="character" w:customStyle="1" w:styleId="QuoteChar">
    <w:name w:val="Quote Char"/>
    <w:basedOn w:val="DefaultParagraphFont"/>
    <w:link w:val="Quote"/>
    <w:uiPriority w:val="29"/>
    <w:rsid w:val="00BD4F0C"/>
    <w:rPr>
      <w:i/>
      <w:iCs/>
      <w:sz w:val="20"/>
      <w:szCs w:val="20"/>
    </w:rPr>
  </w:style>
  <w:style w:type="paragraph" w:styleId="IntenseQuote">
    <w:name w:val="Intense Quote"/>
    <w:basedOn w:val="Normal"/>
    <w:next w:val="Normal"/>
    <w:link w:val="IntenseQuoteChar"/>
    <w:uiPriority w:val="30"/>
    <w:qFormat/>
    <w:rsid w:val="00BD4F0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BD4F0C"/>
    <w:rPr>
      <w:i/>
      <w:iCs/>
      <w:color w:val="4472C4" w:themeColor="accent1"/>
      <w:sz w:val="20"/>
      <w:szCs w:val="20"/>
    </w:rPr>
  </w:style>
  <w:style w:type="character" w:styleId="SubtleEmphasis">
    <w:name w:val="Subtle Emphasis"/>
    <w:uiPriority w:val="19"/>
    <w:qFormat/>
    <w:rsid w:val="00BD4F0C"/>
    <w:rPr>
      <w:i/>
      <w:iCs/>
      <w:color w:val="1F3763" w:themeColor="accent1" w:themeShade="7F"/>
    </w:rPr>
  </w:style>
  <w:style w:type="character" w:styleId="IntenseEmphasis">
    <w:name w:val="Intense Emphasis"/>
    <w:uiPriority w:val="21"/>
    <w:qFormat/>
    <w:rsid w:val="00BD4F0C"/>
    <w:rPr>
      <w:b/>
      <w:bCs/>
      <w:caps/>
      <w:color w:val="1F3763" w:themeColor="accent1" w:themeShade="7F"/>
      <w:spacing w:val="10"/>
    </w:rPr>
  </w:style>
  <w:style w:type="character" w:styleId="SubtleReference">
    <w:name w:val="Subtle Reference"/>
    <w:uiPriority w:val="31"/>
    <w:qFormat/>
    <w:rsid w:val="00BD4F0C"/>
    <w:rPr>
      <w:b/>
      <w:bCs/>
      <w:color w:val="4472C4" w:themeColor="accent1"/>
    </w:rPr>
  </w:style>
  <w:style w:type="character" w:styleId="IntenseReference">
    <w:name w:val="Intense Reference"/>
    <w:uiPriority w:val="32"/>
    <w:qFormat/>
    <w:rsid w:val="00BD4F0C"/>
    <w:rPr>
      <w:b/>
      <w:bCs/>
      <w:i/>
      <w:iCs/>
      <w:caps/>
      <w:color w:val="4472C4" w:themeColor="accent1"/>
    </w:rPr>
  </w:style>
  <w:style w:type="character" w:styleId="BookTitle">
    <w:name w:val="Book Title"/>
    <w:uiPriority w:val="33"/>
    <w:qFormat/>
    <w:rsid w:val="00BD4F0C"/>
    <w:rPr>
      <w:b/>
      <w:bCs/>
      <w:i/>
      <w:iCs/>
      <w:spacing w:val="9"/>
    </w:rPr>
  </w:style>
  <w:style w:type="paragraph" w:styleId="TOCHeading">
    <w:name w:val="TOC Heading"/>
    <w:basedOn w:val="Heading1"/>
    <w:next w:val="Normal"/>
    <w:uiPriority w:val="39"/>
    <w:semiHidden/>
    <w:unhideWhenUsed/>
    <w:qFormat/>
    <w:rsid w:val="00BD4F0C"/>
    <w:pPr>
      <w:outlineLvl w:val="9"/>
    </w:pPr>
  </w:style>
  <w:style w:type="character" w:customStyle="1" w:styleId="NoSpacingChar">
    <w:name w:val="No Spacing Char"/>
    <w:basedOn w:val="DefaultParagraphFont"/>
    <w:link w:val="NoSpacing"/>
    <w:uiPriority w:val="1"/>
    <w:rsid w:val="00BD4F0C"/>
    <w:rPr>
      <w:sz w:val="20"/>
      <w:szCs w:val="20"/>
    </w:rPr>
  </w:style>
  <w:style w:type="paragraph" w:styleId="Footer">
    <w:name w:val="footer"/>
    <w:basedOn w:val="Normal"/>
    <w:link w:val="FooterChar"/>
    <w:uiPriority w:val="99"/>
    <w:unhideWhenUsed/>
    <w:rsid w:val="001C6EA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EAE"/>
    <w:rPr>
      <w:sz w:val="20"/>
      <w:szCs w:val="20"/>
    </w:rPr>
  </w:style>
  <w:style w:type="character" w:styleId="PageNumber">
    <w:name w:val="page number"/>
    <w:basedOn w:val="DefaultParagraphFont"/>
    <w:uiPriority w:val="99"/>
    <w:semiHidden/>
    <w:unhideWhenUsed/>
    <w:rsid w:val="001C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2145">
      <w:bodyDiv w:val="1"/>
      <w:marLeft w:val="0"/>
      <w:marRight w:val="0"/>
      <w:marTop w:val="0"/>
      <w:marBottom w:val="0"/>
      <w:divBdr>
        <w:top w:val="none" w:sz="0" w:space="0" w:color="auto"/>
        <w:left w:val="none" w:sz="0" w:space="0" w:color="auto"/>
        <w:bottom w:val="none" w:sz="0" w:space="0" w:color="auto"/>
        <w:right w:val="none" w:sz="0" w:space="0" w:color="auto"/>
      </w:divBdr>
    </w:div>
    <w:div w:id="644167612">
      <w:bodyDiv w:val="1"/>
      <w:marLeft w:val="0"/>
      <w:marRight w:val="0"/>
      <w:marTop w:val="0"/>
      <w:marBottom w:val="0"/>
      <w:divBdr>
        <w:top w:val="none" w:sz="0" w:space="0" w:color="auto"/>
        <w:left w:val="none" w:sz="0" w:space="0" w:color="auto"/>
        <w:bottom w:val="none" w:sz="0" w:space="0" w:color="auto"/>
        <w:right w:val="none" w:sz="0" w:space="0" w:color="auto"/>
      </w:divBdr>
    </w:div>
    <w:div w:id="681519177">
      <w:bodyDiv w:val="1"/>
      <w:marLeft w:val="0"/>
      <w:marRight w:val="0"/>
      <w:marTop w:val="0"/>
      <w:marBottom w:val="0"/>
      <w:divBdr>
        <w:top w:val="none" w:sz="0" w:space="0" w:color="auto"/>
        <w:left w:val="none" w:sz="0" w:space="0" w:color="auto"/>
        <w:bottom w:val="none" w:sz="0" w:space="0" w:color="auto"/>
        <w:right w:val="none" w:sz="0" w:space="0" w:color="auto"/>
      </w:divBdr>
    </w:div>
    <w:div w:id="894046890">
      <w:bodyDiv w:val="1"/>
      <w:marLeft w:val="0"/>
      <w:marRight w:val="0"/>
      <w:marTop w:val="0"/>
      <w:marBottom w:val="0"/>
      <w:divBdr>
        <w:top w:val="none" w:sz="0" w:space="0" w:color="auto"/>
        <w:left w:val="none" w:sz="0" w:space="0" w:color="auto"/>
        <w:bottom w:val="none" w:sz="0" w:space="0" w:color="auto"/>
        <w:right w:val="none" w:sz="0" w:space="0" w:color="auto"/>
      </w:divBdr>
    </w:div>
    <w:div w:id="1115557774">
      <w:bodyDiv w:val="1"/>
      <w:marLeft w:val="0"/>
      <w:marRight w:val="0"/>
      <w:marTop w:val="0"/>
      <w:marBottom w:val="0"/>
      <w:divBdr>
        <w:top w:val="none" w:sz="0" w:space="0" w:color="auto"/>
        <w:left w:val="none" w:sz="0" w:space="0" w:color="auto"/>
        <w:bottom w:val="none" w:sz="0" w:space="0" w:color="auto"/>
        <w:right w:val="none" w:sz="0" w:space="0" w:color="auto"/>
      </w:divBdr>
    </w:div>
    <w:div w:id="1324352669">
      <w:bodyDiv w:val="1"/>
      <w:marLeft w:val="0"/>
      <w:marRight w:val="0"/>
      <w:marTop w:val="0"/>
      <w:marBottom w:val="0"/>
      <w:divBdr>
        <w:top w:val="none" w:sz="0" w:space="0" w:color="auto"/>
        <w:left w:val="none" w:sz="0" w:space="0" w:color="auto"/>
        <w:bottom w:val="none" w:sz="0" w:space="0" w:color="auto"/>
        <w:right w:val="none" w:sz="0" w:space="0" w:color="auto"/>
      </w:divBdr>
    </w:div>
    <w:div w:id="1542939922">
      <w:bodyDiv w:val="1"/>
      <w:marLeft w:val="0"/>
      <w:marRight w:val="0"/>
      <w:marTop w:val="0"/>
      <w:marBottom w:val="0"/>
      <w:divBdr>
        <w:top w:val="none" w:sz="0" w:space="0" w:color="auto"/>
        <w:left w:val="none" w:sz="0" w:space="0" w:color="auto"/>
        <w:bottom w:val="none" w:sz="0" w:space="0" w:color="auto"/>
        <w:right w:val="none" w:sz="0" w:space="0" w:color="auto"/>
      </w:divBdr>
    </w:div>
    <w:div w:id="1560287511">
      <w:bodyDiv w:val="1"/>
      <w:marLeft w:val="0"/>
      <w:marRight w:val="0"/>
      <w:marTop w:val="0"/>
      <w:marBottom w:val="0"/>
      <w:divBdr>
        <w:top w:val="none" w:sz="0" w:space="0" w:color="auto"/>
        <w:left w:val="none" w:sz="0" w:space="0" w:color="auto"/>
        <w:bottom w:val="none" w:sz="0" w:space="0" w:color="auto"/>
        <w:right w:val="none" w:sz="0" w:space="0" w:color="auto"/>
      </w:divBdr>
    </w:div>
    <w:div w:id="1561094415">
      <w:bodyDiv w:val="1"/>
      <w:marLeft w:val="0"/>
      <w:marRight w:val="0"/>
      <w:marTop w:val="0"/>
      <w:marBottom w:val="0"/>
      <w:divBdr>
        <w:top w:val="none" w:sz="0" w:space="0" w:color="auto"/>
        <w:left w:val="none" w:sz="0" w:space="0" w:color="auto"/>
        <w:bottom w:val="none" w:sz="0" w:space="0" w:color="auto"/>
        <w:right w:val="none" w:sz="0" w:space="0" w:color="auto"/>
      </w:divBdr>
    </w:div>
    <w:div w:id="1653488595">
      <w:bodyDiv w:val="1"/>
      <w:marLeft w:val="0"/>
      <w:marRight w:val="0"/>
      <w:marTop w:val="0"/>
      <w:marBottom w:val="0"/>
      <w:divBdr>
        <w:top w:val="none" w:sz="0" w:space="0" w:color="auto"/>
        <w:left w:val="none" w:sz="0" w:space="0" w:color="auto"/>
        <w:bottom w:val="none" w:sz="0" w:space="0" w:color="auto"/>
        <w:right w:val="none" w:sz="0" w:space="0" w:color="auto"/>
      </w:divBdr>
    </w:div>
    <w:div w:id="18047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Utilising the twin powers of law and finance in tackling ocean biodiversity loss caused by the commercial fishing industry.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189D1-C392-CE40-B4A9-980A140B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Let’s Dive Deeper: Exploring the Blue Audit</vt:lpstr>
    </vt:vector>
  </TitlesOfParts>
  <Manager/>
  <Company/>
  <LinksUpToDate>false</LinksUpToDate>
  <CharactersWithSpaces>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Dive Deeper: Exploring the Blue Audit</dc:title>
  <dc:subject>Executive Summary</dc:subject>
  <dc:creator>Zhengyao Yuan, Chrislyn Pereira, Leo SIlunde, Ninad Haibat</dc:creator>
  <cp:keywords/>
  <dc:description/>
  <cp:lastModifiedBy>Chrislyn Periera (student)</cp:lastModifiedBy>
  <cp:revision>27</cp:revision>
  <dcterms:created xsi:type="dcterms:W3CDTF">2022-06-07T11:05:00Z</dcterms:created>
  <dcterms:modified xsi:type="dcterms:W3CDTF">2022-06-07T11:47:00Z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id="nDqpITOJ"/&gt;&lt;style id="http://www.zotero.org/styles/oscola" hasBibliography="1" bibliographyStyleHasBeenSet="0"/&gt;&lt;prefs&gt;&lt;pref name="fieldType" value="Field"/&gt;&lt;pref name="automaticJournalAbbreviatio</vt:lpwstr>
  </property>
  <property fmtid="{D5CDD505-2E9C-101B-9397-08002B2CF9AE}" pid="3" name="ZOTERO_PREF_2">
    <vt:lpwstr>ns" value="true"/&gt;&lt;pref name="noteType" value="1"/&gt;&lt;/prefs&gt;&lt;/data&gt;</vt:lpwstr>
  </property>
</Properties>
</file>