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AC4FD" w14:textId="77777777" w:rsidR="00F66A46" w:rsidRDefault="00F66A46" w:rsidP="00F66A46">
      <w:pPr>
        <w:spacing w:line="276" w:lineRule="auto"/>
        <w:rPr>
          <w:rFonts w:ascii="Times New Roman" w:hAnsi="Times New Roman" w:cs="Times New Roman"/>
          <w:b/>
          <w:bCs/>
          <w:sz w:val="24"/>
          <w:szCs w:val="24"/>
          <w:lang w:val="en-GB"/>
        </w:rPr>
      </w:pPr>
    </w:p>
    <w:p w14:paraId="3E3A66D5" w14:textId="1D038864" w:rsidR="00F66A46" w:rsidRPr="00F66A46" w:rsidRDefault="00F66A46" w:rsidP="00F66A46">
      <w:pPr>
        <w:spacing w:line="276" w:lineRule="auto"/>
        <w:jc w:val="center"/>
        <w:rPr>
          <w:rFonts w:ascii="Times New Roman" w:hAnsi="Times New Roman" w:cs="Times New Roman"/>
          <w:b/>
          <w:bCs/>
          <w:sz w:val="28"/>
          <w:szCs w:val="28"/>
          <w:lang w:val="en-GB"/>
        </w:rPr>
      </w:pPr>
      <w:r w:rsidRPr="00F66A46">
        <w:rPr>
          <w:rFonts w:ascii="Times New Roman" w:hAnsi="Times New Roman" w:cs="Times New Roman"/>
          <w:b/>
          <w:bCs/>
          <w:sz w:val="28"/>
          <w:szCs w:val="28"/>
          <w:lang w:val="en-GB"/>
        </w:rPr>
        <w:t>Summary findings</w:t>
      </w:r>
      <w:r w:rsidR="004A057B">
        <w:rPr>
          <w:rFonts w:ascii="Times New Roman" w:hAnsi="Times New Roman" w:cs="Times New Roman"/>
          <w:b/>
          <w:bCs/>
          <w:sz w:val="28"/>
          <w:szCs w:val="28"/>
          <w:lang w:val="en-GB"/>
        </w:rPr>
        <w:t xml:space="preserve"> of literature review</w:t>
      </w:r>
    </w:p>
    <w:p w14:paraId="40FBDA1F" w14:textId="05FC61A3" w:rsidR="005A6F63" w:rsidRPr="00CE6D9C" w:rsidRDefault="005D15AF" w:rsidP="00F66A46">
      <w:pPr>
        <w:spacing w:line="276" w:lineRule="auto"/>
        <w:jc w:val="center"/>
        <w:rPr>
          <w:rFonts w:ascii="Times New Roman" w:hAnsi="Times New Roman" w:cs="Times New Roman"/>
          <w:b/>
          <w:bCs/>
          <w:sz w:val="24"/>
          <w:szCs w:val="24"/>
          <w:lang w:val="en-GB"/>
        </w:rPr>
      </w:pPr>
      <w:r w:rsidRPr="00CE6D9C">
        <w:rPr>
          <w:rFonts w:ascii="Times New Roman" w:hAnsi="Times New Roman" w:cs="Times New Roman"/>
          <w:b/>
          <w:bCs/>
          <w:sz w:val="24"/>
          <w:szCs w:val="24"/>
          <w:lang w:val="en-GB"/>
        </w:rPr>
        <w:t xml:space="preserve">The role of higher education institution employability practice in graduate labour market outcomes: weak evidence, labour market imperfections, moral </w:t>
      </w:r>
      <w:proofErr w:type="gramStart"/>
      <w:r w:rsidRPr="00CE6D9C">
        <w:rPr>
          <w:rFonts w:ascii="Times New Roman" w:hAnsi="Times New Roman" w:cs="Times New Roman"/>
          <w:b/>
          <w:bCs/>
          <w:sz w:val="24"/>
          <w:szCs w:val="24"/>
          <w:lang w:val="en-GB"/>
        </w:rPr>
        <w:t>panic</w:t>
      </w:r>
      <w:proofErr w:type="gramEnd"/>
      <w:r w:rsidRPr="00CE6D9C">
        <w:rPr>
          <w:rFonts w:ascii="Times New Roman" w:hAnsi="Times New Roman" w:cs="Times New Roman"/>
          <w:b/>
          <w:bCs/>
          <w:sz w:val="24"/>
          <w:szCs w:val="24"/>
          <w:lang w:val="en-GB"/>
        </w:rPr>
        <w:t xml:space="preserve"> and the neglected equity perspective</w:t>
      </w:r>
    </w:p>
    <w:p w14:paraId="18EB9DB2" w14:textId="77777777" w:rsidR="00836CF1" w:rsidRPr="00CE6D9C" w:rsidRDefault="00836CF1" w:rsidP="00836CF1">
      <w:pPr>
        <w:pStyle w:val="Heading1"/>
        <w:numPr>
          <w:ilvl w:val="0"/>
          <w:numId w:val="1"/>
        </w:numPr>
        <w:rPr>
          <w:rFonts w:ascii="Times New Roman" w:hAnsi="Times New Roman" w:cs="Times New Roman"/>
          <w:bCs w:val="0"/>
          <w:color w:val="auto"/>
          <w:sz w:val="24"/>
          <w:szCs w:val="24"/>
          <w:lang w:val="en-GB"/>
        </w:rPr>
      </w:pPr>
      <w:bookmarkStart w:id="0" w:name="_Toc99115923"/>
      <w:r w:rsidRPr="00CE6D9C">
        <w:rPr>
          <w:rFonts w:ascii="Times New Roman" w:hAnsi="Times New Roman" w:cs="Times New Roman"/>
          <w:bCs w:val="0"/>
          <w:color w:val="auto"/>
          <w:sz w:val="24"/>
          <w:szCs w:val="24"/>
          <w:lang w:val="en-GB"/>
        </w:rPr>
        <w:t>Introduction</w:t>
      </w:r>
      <w:bookmarkEnd w:id="0"/>
    </w:p>
    <w:p w14:paraId="220D859D" w14:textId="77777777" w:rsidR="00CA7DF2" w:rsidRPr="00CE6D9C" w:rsidRDefault="004A50B7" w:rsidP="004A3A51">
      <w:pPr>
        <w:jc w:val="both"/>
        <w:rPr>
          <w:rFonts w:ascii="Times New Roman" w:hAnsi="Times New Roman" w:cs="Times New Roman"/>
          <w:sz w:val="24"/>
          <w:szCs w:val="24"/>
          <w:lang w:val="en-GB"/>
        </w:rPr>
      </w:pPr>
      <w:r w:rsidRPr="00CE6D9C">
        <w:rPr>
          <w:rFonts w:ascii="Times New Roman" w:hAnsi="Times New Roman" w:cs="Times New Roman"/>
          <w:sz w:val="24"/>
          <w:szCs w:val="24"/>
          <w:lang w:val="en-GB"/>
        </w:rPr>
        <w:t xml:space="preserve">The global economic crises and the social problems associated with unemployment, and in particular with youth unemployment, have reinvigorated public debates around the contribution of higher education to employability. </w:t>
      </w:r>
    </w:p>
    <w:p w14:paraId="7BCBAA9A" w14:textId="77777777" w:rsidR="00CA7DF2" w:rsidRPr="00CE6D9C" w:rsidRDefault="004A50B7" w:rsidP="004A3A51">
      <w:pPr>
        <w:jc w:val="both"/>
        <w:rPr>
          <w:rFonts w:ascii="Times New Roman" w:hAnsi="Times New Roman" w:cs="Times New Roman"/>
          <w:sz w:val="24"/>
          <w:szCs w:val="24"/>
          <w:lang w:val="en-GB"/>
        </w:rPr>
      </w:pPr>
      <w:r w:rsidRPr="00CE6D9C">
        <w:rPr>
          <w:rFonts w:ascii="Times New Roman" w:hAnsi="Times New Roman" w:cs="Times New Roman"/>
          <w:sz w:val="24"/>
          <w:szCs w:val="24"/>
          <w:lang w:val="en-GB"/>
        </w:rPr>
        <w:t xml:space="preserve">Higher Education (HE) has expanded gradually since the Second World War (Lee &amp; Lee, 2016) and in 2017, one third of the EU-28 population aged 25 and over had completed tertiary education (Eurostat, 2018, p. 8). However, many graduates are not able to access the employment and earnings benefits historically associated with earning a degree (Hermannsson, 2016). For some graduates, time and money invested in education do not translate into the expected economic and social benefit. </w:t>
      </w:r>
    </w:p>
    <w:p w14:paraId="4F5CDC97" w14:textId="77777777" w:rsidR="00CA7DF2" w:rsidRPr="00CE6D9C" w:rsidRDefault="004A50B7" w:rsidP="004A3A51">
      <w:pPr>
        <w:jc w:val="both"/>
        <w:rPr>
          <w:rFonts w:ascii="Times New Roman" w:hAnsi="Times New Roman" w:cs="Times New Roman"/>
          <w:sz w:val="24"/>
          <w:szCs w:val="24"/>
          <w:lang w:val="en-GB"/>
        </w:rPr>
      </w:pPr>
      <w:r w:rsidRPr="00CE6D9C">
        <w:rPr>
          <w:rFonts w:ascii="Times New Roman" w:hAnsi="Times New Roman" w:cs="Times New Roman"/>
          <w:sz w:val="24"/>
          <w:szCs w:val="24"/>
          <w:lang w:val="en-GB"/>
        </w:rPr>
        <w:t xml:space="preserve">The issue of graduate labour market outcomes translates into increasing pressure for Higher Education Institutions (HEIs) to adapt curricula timeously to reflect changes in fields of knowledge and introduce elements of employability and Work-Based Learning (WBL) to foster skills and align them with market needs.  </w:t>
      </w:r>
    </w:p>
    <w:p w14:paraId="3887766E" w14:textId="77777777" w:rsidR="004A50B7" w:rsidRPr="00CE6D9C" w:rsidRDefault="004A50B7" w:rsidP="004A3A51">
      <w:pPr>
        <w:jc w:val="both"/>
        <w:rPr>
          <w:rFonts w:ascii="Times New Roman" w:hAnsi="Times New Roman" w:cs="Times New Roman"/>
          <w:sz w:val="24"/>
          <w:szCs w:val="24"/>
          <w:lang w:val="en-GB"/>
        </w:rPr>
      </w:pPr>
      <w:r w:rsidRPr="00CE6D9C">
        <w:rPr>
          <w:rFonts w:ascii="Times New Roman" w:hAnsi="Times New Roman" w:cs="Times New Roman"/>
          <w:sz w:val="24"/>
          <w:szCs w:val="24"/>
          <w:lang w:val="en-GB"/>
        </w:rPr>
        <w:t>Over the last decades, employability support units in higher education have flourished prompted by the pressure to enhance graduate employment skills, a measure which has also been highlighted in several EU documents. However, one significant obstacle for improving graduate attributes and employability outcomes is that academic and administrative staff working on programme and course development are not labour market experts and therefore may be unable to identify and utilise available information on skills demand.</w:t>
      </w:r>
    </w:p>
    <w:p w14:paraId="3FD7312E" w14:textId="77777777" w:rsidR="00836CF1" w:rsidRPr="00CE6D9C" w:rsidRDefault="005F30BB" w:rsidP="00836CF1">
      <w:pPr>
        <w:spacing w:line="276" w:lineRule="auto"/>
        <w:jc w:val="both"/>
        <w:rPr>
          <w:rFonts w:ascii="Times New Roman" w:hAnsi="Times New Roman" w:cs="Times New Roman"/>
          <w:sz w:val="24"/>
          <w:szCs w:val="24"/>
          <w:lang w:val="en-GB"/>
        </w:rPr>
      </w:pPr>
      <w:r w:rsidRPr="00CE6D9C">
        <w:rPr>
          <w:rFonts w:ascii="Times New Roman" w:hAnsi="Times New Roman" w:cs="Times New Roman"/>
          <w:sz w:val="24"/>
          <w:szCs w:val="24"/>
          <w:lang w:val="en-GB"/>
        </w:rPr>
        <w:t xml:space="preserve">Against this background, this paper sets out to identify where the research frontier sits on employability practice, intended as activities to improve employment outcomes of individual graduates and distribution of outcomes between privileged and disadvantaged groups of graduates. We examine three research questions: a) What are the key challenges for enhancing employability programmes and graduate outcomes? b) What is the stated or implied theory of change underpinning employability practice in HEIs? c) What methods are used to evaluate employability practice and how robust are they? </w:t>
      </w:r>
    </w:p>
    <w:p w14:paraId="3D8675AC" w14:textId="77777777" w:rsidR="00836CF1" w:rsidRPr="00CE6D9C" w:rsidRDefault="00836CF1" w:rsidP="00836CF1">
      <w:pPr>
        <w:spacing w:line="276" w:lineRule="auto"/>
        <w:jc w:val="both"/>
        <w:rPr>
          <w:rFonts w:ascii="Times New Roman" w:hAnsi="Times New Roman" w:cs="Times New Roman"/>
          <w:sz w:val="24"/>
          <w:szCs w:val="24"/>
          <w:lang w:val="en-GB"/>
        </w:rPr>
      </w:pPr>
    </w:p>
    <w:p w14:paraId="6A5D17A8" w14:textId="77777777" w:rsidR="00836CF1" w:rsidRPr="00CE6D9C" w:rsidRDefault="00836CF1" w:rsidP="00836CF1">
      <w:pPr>
        <w:pStyle w:val="ListParagraph"/>
        <w:numPr>
          <w:ilvl w:val="0"/>
          <w:numId w:val="1"/>
        </w:numPr>
        <w:spacing w:line="276" w:lineRule="auto"/>
        <w:jc w:val="both"/>
        <w:rPr>
          <w:rFonts w:ascii="Times New Roman" w:hAnsi="Times New Roman" w:cs="Times New Roman"/>
          <w:b/>
          <w:sz w:val="24"/>
          <w:szCs w:val="24"/>
          <w:lang w:val="en-GB"/>
        </w:rPr>
      </w:pPr>
      <w:r w:rsidRPr="00CE6D9C">
        <w:rPr>
          <w:rFonts w:ascii="Times New Roman" w:hAnsi="Times New Roman" w:cs="Times New Roman"/>
          <w:b/>
          <w:bCs/>
          <w:sz w:val="24"/>
          <w:szCs w:val="24"/>
          <w:lang w:val="en-GB"/>
        </w:rPr>
        <w:t>Youth employment and employability programs in the higher education system</w:t>
      </w:r>
    </w:p>
    <w:p w14:paraId="10616F83" w14:textId="77777777" w:rsidR="003E2444" w:rsidRPr="00CE6D9C" w:rsidRDefault="00836CF1" w:rsidP="005F30BB">
      <w:pPr>
        <w:spacing w:line="276" w:lineRule="auto"/>
        <w:jc w:val="both"/>
        <w:rPr>
          <w:rFonts w:ascii="Times New Roman" w:hAnsi="Times New Roman" w:cs="Times New Roman"/>
          <w:sz w:val="24"/>
          <w:szCs w:val="24"/>
          <w:lang w:val="en-GB"/>
        </w:rPr>
      </w:pPr>
      <w:r w:rsidRPr="00CE6D9C">
        <w:rPr>
          <w:rFonts w:ascii="Times New Roman" w:hAnsi="Times New Roman" w:cs="Times New Roman"/>
          <w:sz w:val="24"/>
          <w:szCs w:val="24"/>
          <w:lang w:val="en-GB"/>
        </w:rPr>
        <w:t>In the literature on labour market participation, young people are often considered as outsiders, as they are characterized by disadvantaged conditions</w:t>
      </w:r>
      <w:r w:rsidR="00CB4F16" w:rsidRPr="00CE6D9C">
        <w:rPr>
          <w:rFonts w:ascii="Times New Roman" w:hAnsi="Times New Roman" w:cs="Times New Roman"/>
          <w:sz w:val="24"/>
          <w:szCs w:val="24"/>
          <w:lang w:val="en-GB"/>
        </w:rPr>
        <w:t xml:space="preserve"> and less opportunities, as well as temporary and non-standard work arrangements</w:t>
      </w:r>
      <w:r w:rsidR="003B0096" w:rsidRPr="00CE6D9C">
        <w:rPr>
          <w:rFonts w:ascii="Times New Roman" w:hAnsi="Times New Roman" w:cs="Times New Roman"/>
          <w:sz w:val="24"/>
          <w:szCs w:val="24"/>
          <w:lang w:val="en-GB"/>
        </w:rPr>
        <w:t>, p</w:t>
      </w:r>
      <w:r w:rsidR="00CB4F16" w:rsidRPr="00CE6D9C">
        <w:rPr>
          <w:rFonts w:ascii="Times New Roman" w:hAnsi="Times New Roman" w:cs="Times New Roman"/>
          <w:sz w:val="24"/>
          <w:szCs w:val="24"/>
          <w:lang w:val="en-GB"/>
        </w:rPr>
        <w:t>articularly if compared to other groups like, for instance, middle-aged males</w:t>
      </w:r>
      <w:r w:rsidR="003B0096" w:rsidRPr="00CE6D9C">
        <w:rPr>
          <w:rFonts w:ascii="Times New Roman" w:hAnsi="Times New Roman" w:cs="Times New Roman"/>
          <w:sz w:val="24"/>
          <w:szCs w:val="24"/>
          <w:lang w:val="en-GB"/>
        </w:rPr>
        <w:t>,</w:t>
      </w:r>
      <w:r w:rsidR="00CB4F16" w:rsidRPr="00CE6D9C">
        <w:rPr>
          <w:rFonts w:ascii="Times New Roman" w:hAnsi="Times New Roman" w:cs="Times New Roman"/>
          <w:sz w:val="24"/>
          <w:szCs w:val="24"/>
          <w:lang w:val="en-GB"/>
        </w:rPr>
        <w:t xml:space="preserve"> </w:t>
      </w:r>
      <w:r w:rsidR="003B0096" w:rsidRPr="00CE6D9C">
        <w:rPr>
          <w:rFonts w:ascii="Times New Roman" w:hAnsi="Times New Roman" w:cs="Times New Roman"/>
          <w:sz w:val="24"/>
          <w:szCs w:val="24"/>
          <w:lang w:val="en-GB"/>
        </w:rPr>
        <w:t>that</w:t>
      </w:r>
      <w:r w:rsidR="00CB4F16" w:rsidRPr="00CE6D9C">
        <w:rPr>
          <w:rFonts w:ascii="Times New Roman" w:hAnsi="Times New Roman" w:cs="Times New Roman"/>
          <w:sz w:val="24"/>
          <w:szCs w:val="24"/>
          <w:lang w:val="en-GB"/>
        </w:rPr>
        <w:t xml:space="preserve"> </w:t>
      </w:r>
      <w:r w:rsidR="003B0096" w:rsidRPr="00CE6D9C">
        <w:rPr>
          <w:rFonts w:ascii="Times New Roman" w:hAnsi="Times New Roman" w:cs="Times New Roman"/>
          <w:sz w:val="24"/>
          <w:szCs w:val="24"/>
          <w:lang w:val="en-GB"/>
        </w:rPr>
        <w:t>typically h</w:t>
      </w:r>
      <w:r w:rsidR="00CB4F16" w:rsidRPr="00CE6D9C">
        <w:rPr>
          <w:rFonts w:ascii="Times New Roman" w:hAnsi="Times New Roman" w:cs="Times New Roman"/>
          <w:sz w:val="24"/>
          <w:szCs w:val="24"/>
          <w:lang w:val="en-GB"/>
        </w:rPr>
        <w:t>a</w:t>
      </w:r>
      <w:r w:rsidR="003B0096" w:rsidRPr="00CE6D9C">
        <w:rPr>
          <w:rFonts w:ascii="Times New Roman" w:hAnsi="Times New Roman" w:cs="Times New Roman"/>
          <w:sz w:val="24"/>
          <w:szCs w:val="24"/>
          <w:lang w:val="en-GB"/>
        </w:rPr>
        <w:t>ve</w:t>
      </w:r>
      <w:r w:rsidR="00CB4F16" w:rsidRPr="00CE6D9C">
        <w:rPr>
          <w:rFonts w:ascii="Times New Roman" w:hAnsi="Times New Roman" w:cs="Times New Roman"/>
          <w:sz w:val="24"/>
          <w:szCs w:val="24"/>
          <w:lang w:val="en-GB"/>
        </w:rPr>
        <w:t xml:space="preserve"> permanent working position</w:t>
      </w:r>
      <w:r w:rsidR="003B0096" w:rsidRPr="00CE6D9C">
        <w:rPr>
          <w:rFonts w:ascii="Times New Roman" w:hAnsi="Times New Roman" w:cs="Times New Roman"/>
          <w:sz w:val="24"/>
          <w:szCs w:val="24"/>
          <w:lang w:val="en-GB"/>
        </w:rPr>
        <w:t>s</w:t>
      </w:r>
      <w:r w:rsidR="00CB4F16" w:rsidRPr="00CE6D9C">
        <w:rPr>
          <w:rFonts w:ascii="Times New Roman" w:hAnsi="Times New Roman" w:cs="Times New Roman"/>
          <w:sz w:val="24"/>
          <w:szCs w:val="24"/>
          <w:lang w:val="en-GB"/>
        </w:rPr>
        <w:t xml:space="preserve"> (Lindbeck &amp; Snower, 2001; Emmenegger et al., 2012).</w:t>
      </w:r>
      <w:r w:rsidR="003E2444" w:rsidRPr="00CE6D9C">
        <w:rPr>
          <w:rFonts w:ascii="Times New Roman" w:hAnsi="Times New Roman" w:cs="Times New Roman"/>
          <w:sz w:val="24"/>
          <w:szCs w:val="24"/>
          <w:lang w:val="en-GB"/>
        </w:rPr>
        <w:t xml:space="preserve">  </w:t>
      </w:r>
    </w:p>
    <w:p w14:paraId="04FFA226" w14:textId="77777777" w:rsidR="00836CF1" w:rsidRPr="00CE6D9C" w:rsidRDefault="00CB4F16" w:rsidP="005F30BB">
      <w:pPr>
        <w:spacing w:line="276" w:lineRule="auto"/>
        <w:jc w:val="both"/>
        <w:rPr>
          <w:rFonts w:ascii="Times New Roman" w:hAnsi="Times New Roman" w:cs="Times New Roman"/>
          <w:sz w:val="24"/>
          <w:szCs w:val="24"/>
          <w:lang w:val="en-GB"/>
        </w:rPr>
      </w:pPr>
      <w:r w:rsidRPr="00CE6D9C">
        <w:rPr>
          <w:rFonts w:ascii="Times New Roman" w:hAnsi="Times New Roman" w:cs="Times New Roman"/>
          <w:sz w:val="24"/>
          <w:szCs w:val="24"/>
          <w:lang w:val="en-GB"/>
        </w:rPr>
        <w:lastRenderedPageBreak/>
        <w:t>This is somehow paradoxical, as y</w:t>
      </w:r>
      <w:r w:rsidR="00836CF1" w:rsidRPr="00CE6D9C">
        <w:rPr>
          <w:rFonts w:ascii="Times New Roman" w:hAnsi="Times New Roman" w:cs="Times New Roman"/>
          <w:sz w:val="24"/>
          <w:szCs w:val="24"/>
          <w:lang w:val="en-GB"/>
        </w:rPr>
        <w:t>ounger generations are on average better educated than older cohorts</w:t>
      </w:r>
      <w:r w:rsidRPr="00CE6D9C">
        <w:rPr>
          <w:rFonts w:ascii="Times New Roman" w:hAnsi="Times New Roman" w:cs="Times New Roman"/>
          <w:sz w:val="24"/>
          <w:szCs w:val="24"/>
          <w:lang w:val="en-GB"/>
        </w:rPr>
        <w:t>. However</w:t>
      </w:r>
      <w:r w:rsidR="00836CF1" w:rsidRPr="00CE6D9C">
        <w:rPr>
          <w:rFonts w:ascii="Times New Roman" w:hAnsi="Times New Roman" w:cs="Times New Roman"/>
          <w:sz w:val="24"/>
          <w:szCs w:val="24"/>
          <w:lang w:val="en-GB"/>
        </w:rPr>
        <w:t>, when caught in the school-to-work transition phase, they often lack the job experience requested by employers. Therefore, stable employments in permanent and well-paid jobs are quite hard to reach for young labour market entrants.</w:t>
      </w:r>
      <w:r w:rsidR="00F7270D" w:rsidRPr="00CE6D9C">
        <w:rPr>
          <w:rFonts w:ascii="Times New Roman" w:hAnsi="Times New Roman" w:cs="Times New Roman"/>
          <w:sz w:val="24"/>
          <w:szCs w:val="24"/>
          <w:lang w:val="en-GB"/>
        </w:rPr>
        <w:t xml:space="preserve"> </w:t>
      </w:r>
    </w:p>
    <w:p w14:paraId="5DFC5010" w14:textId="77777777" w:rsidR="00F7270D" w:rsidRPr="00CE6D9C" w:rsidRDefault="00F7270D" w:rsidP="005F30BB">
      <w:pPr>
        <w:spacing w:line="276" w:lineRule="auto"/>
        <w:jc w:val="both"/>
        <w:rPr>
          <w:rFonts w:ascii="Times New Roman" w:hAnsi="Times New Roman" w:cs="Times New Roman"/>
          <w:sz w:val="24"/>
          <w:szCs w:val="24"/>
          <w:lang w:val="en-GB"/>
        </w:rPr>
      </w:pPr>
      <w:r w:rsidRPr="00CE6D9C">
        <w:rPr>
          <w:rFonts w:ascii="Times New Roman" w:hAnsi="Times New Roman" w:cs="Times New Roman"/>
          <w:sz w:val="24"/>
          <w:szCs w:val="24"/>
          <w:lang w:val="en-GB"/>
        </w:rPr>
        <w:t xml:space="preserve">In this context, the debate on policy making often shifted to the role of educational institutions and programmes in preparing young people for labour market entrance, addressing the necessity of both increasing qualifications and job-related experience. In this sense, higher education institutions are assumed to upgrade their role from </w:t>
      </w:r>
      <w:r w:rsidR="003B0096" w:rsidRPr="00CE6D9C">
        <w:rPr>
          <w:rFonts w:ascii="Times New Roman" w:hAnsi="Times New Roman" w:cs="Times New Roman"/>
          <w:sz w:val="24"/>
          <w:szCs w:val="24"/>
          <w:lang w:val="en-GB"/>
        </w:rPr>
        <w:t xml:space="preserve">merely </w:t>
      </w:r>
      <w:r w:rsidRPr="00CE6D9C">
        <w:rPr>
          <w:rFonts w:ascii="Times New Roman" w:hAnsi="Times New Roman" w:cs="Times New Roman"/>
          <w:sz w:val="24"/>
          <w:szCs w:val="24"/>
          <w:lang w:val="en-GB"/>
        </w:rPr>
        <w:t>being providers of knowledge that increases the human capital endowment of their students, to become providers of work-ready skills, as well as train and prepare graduates to have a successful school-to-work transition experience</w:t>
      </w:r>
    </w:p>
    <w:p w14:paraId="339861DC" w14:textId="77777777" w:rsidR="00C85660" w:rsidRPr="00CE6D9C" w:rsidRDefault="00C85660" w:rsidP="00C85660">
      <w:pPr>
        <w:spacing w:line="276" w:lineRule="auto"/>
        <w:jc w:val="both"/>
        <w:rPr>
          <w:rFonts w:ascii="Times New Roman" w:hAnsi="Times New Roman" w:cs="Times New Roman"/>
          <w:sz w:val="24"/>
          <w:szCs w:val="24"/>
          <w:lang w:val="en-GB"/>
        </w:rPr>
      </w:pPr>
      <w:r w:rsidRPr="00CE6D9C">
        <w:rPr>
          <w:rFonts w:ascii="Times New Roman" w:hAnsi="Times New Roman" w:cs="Times New Roman"/>
          <w:sz w:val="24"/>
          <w:szCs w:val="24"/>
          <w:lang w:val="en-GB"/>
        </w:rPr>
        <w:t>Indeed, c</w:t>
      </w:r>
      <w:r w:rsidR="003E2444" w:rsidRPr="00CE6D9C">
        <w:rPr>
          <w:rFonts w:ascii="Times New Roman" w:hAnsi="Times New Roman" w:cs="Times New Roman"/>
          <w:sz w:val="24"/>
          <w:szCs w:val="24"/>
          <w:lang w:val="en-GB"/>
        </w:rPr>
        <w:t xml:space="preserve">reating coherent pathways that lead from school to more stable employment </w:t>
      </w:r>
      <w:r w:rsidRPr="00CE6D9C">
        <w:rPr>
          <w:rFonts w:ascii="Times New Roman" w:hAnsi="Times New Roman" w:cs="Times New Roman"/>
          <w:sz w:val="24"/>
          <w:szCs w:val="24"/>
          <w:lang w:val="en-GB"/>
        </w:rPr>
        <w:t>is assumed to</w:t>
      </w:r>
      <w:r w:rsidR="003E2444" w:rsidRPr="00CE6D9C">
        <w:rPr>
          <w:rFonts w:ascii="Times New Roman" w:hAnsi="Times New Roman" w:cs="Times New Roman"/>
          <w:sz w:val="24"/>
          <w:szCs w:val="24"/>
          <w:lang w:val="en-GB"/>
        </w:rPr>
        <w:t xml:space="preserve"> provide lasting benefits, helping students to acquire working experience that will help them enter the desired career field</w:t>
      </w:r>
      <w:r w:rsidRPr="00CE6D9C">
        <w:rPr>
          <w:rFonts w:ascii="Times New Roman" w:hAnsi="Times New Roman" w:cs="Times New Roman"/>
          <w:sz w:val="24"/>
          <w:szCs w:val="24"/>
          <w:lang w:val="en-GB"/>
        </w:rPr>
        <w:t xml:space="preserve">, and this is particularly so in a knowledge and learning economy (Lundvall, 2016) that obliges workers to become more flexible and adaptable to technological and production shifts. To this extent, work-based learning (WBL) might represent a suitable strategy to prepare graduates for a more learning-intensive work and a way to retrain efficiently the workforce.  </w:t>
      </w:r>
    </w:p>
    <w:p w14:paraId="77EF0BE9" w14:textId="77777777" w:rsidR="00A542D0" w:rsidRPr="00CE6D9C" w:rsidRDefault="00C85660" w:rsidP="00C85660">
      <w:pPr>
        <w:spacing w:line="276" w:lineRule="auto"/>
        <w:jc w:val="both"/>
        <w:rPr>
          <w:rFonts w:ascii="Times New Roman" w:hAnsi="Times New Roman" w:cs="Times New Roman"/>
          <w:sz w:val="24"/>
          <w:szCs w:val="24"/>
          <w:lang w:val="en-GB"/>
        </w:rPr>
      </w:pPr>
      <w:r w:rsidRPr="00CE6D9C">
        <w:rPr>
          <w:rFonts w:ascii="Times New Roman" w:hAnsi="Times New Roman" w:cs="Times New Roman"/>
          <w:sz w:val="24"/>
          <w:szCs w:val="24"/>
          <w:lang w:val="en-GB"/>
        </w:rPr>
        <w:t>Various forms of policy initiatives have been therefore promoted by EU and OECD countries to foster WBL as a crucial component of the skills agenda. From the corpus analysed, this is illustrated through courses combining class and work-based learning (with various tools and modes) by HEIs and faculties, as a way to adapt and improve the curricula offered to students.</w:t>
      </w:r>
    </w:p>
    <w:p w14:paraId="28A8E56E" w14:textId="77777777" w:rsidR="00A542D0" w:rsidRPr="00CE6D9C" w:rsidRDefault="00A542D0" w:rsidP="00C85660">
      <w:pPr>
        <w:spacing w:line="276" w:lineRule="auto"/>
        <w:jc w:val="both"/>
        <w:rPr>
          <w:rFonts w:ascii="Times New Roman" w:hAnsi="Times New Roman" w:cs="Times New Roman"/>
          <w:sz w:val="24"/>
          <w:szCs w:val="24"/>
          <w:lang w:val="en-GB"/>
        </w:rPr>
      </w:pPr>
    </w:p>
    <w:p w14:paraId="72766322" w14:textId="77777777" w:rsidR="00A542D0" w:rsidRPr="00CE6D9C" w:rsidRDefault="00A542D0" w:rsidP="00A542D0">
      <w:pPr>
        <w:pStyle w:val="ListParagraph"/>
        <w:numPr>
          <w:ilvl w:val="0"/>
          <w:numId w:val="1"/>
        </w:numPr>
        <w:spacing w:line="276" w:lineRule="auto"/>
        <w:jc w:val="both"/>
        <w:rPr>
          <w:rFonts w:ascii="Times New Roman" w:hAnsi="Times New Roman" w:cs="Times New Roman"/>
          <w:b/>
          <w:sz w:val="24"/>
          <w:szCs w:val="24"/>
          <w:lang w:val="en-GB"/>
        </w:rPr>
      </w:pPr>
      <w:r w:rsidRPr="00CE6D9C">
        <w:rPr>
          <w:rFonts w:ascii="Times New Roman" w:hAnsi="Times New Roman" w:cs="Times New Roman"/>
          <w:b/>
          <w:bCs/>
          <w:sz w:val="24"/>
          <w:szCs w:val="24"/>
          <w:lang w:val="en-GB"/>
        </w:rPr>
        <w:t>Systematic literature review: Methods and descriptive findings</w:t>
      </w:r>
    </w:p>
    <w:p w14:paraId="42C5F5B4" w14:textId="77777777" w:rsidR="00A542D0" w:rsidRPr="00CE6D9C" w:rsidRDefault="00A542D0" w:rsidP="003D7B6A">
      <w:pPr>
        <w:spacing w:line="276" w:lineRule="auto"/>
        <w:jc w:val="both"/>
        <w:rPr>
          <w:rFonts w:ascii="Times New Roman" w:hAnsi="Times New Roman" w:cs="Times New Roman"/>
          <w:sz w:val="24"/>
          <w:szCs w:val="24"/>
          <w:lang w:val="en-GB"/>
        </w:rPr>
      </w:pPr>
      <w:r w:rsidRPr="00CE6D9C">
        <w:rPr>
          <w:rFonts w:ascii="Times New Roman" w:hAnsi="Times New Roman" w:cs="Times New Roman"/>
          <w:sz w:val="24"/>
          <w:szCs w:val="24"/>
          <w:lang w:val="en-GB"/>
        </w:rPr>
        <w:t>The purpose of the literature review is to systematize available evidence on the design of different employability programmes in higher education sector, as well as their interactions with the educational and local economic context.</w:t>
      </w:r>
    </w:p>
    <w:p w14:paraId="3F6FD907" w14:textId="77777777" w:rsidR="00A542D0" w:rsidRPr="00CE6D9C" w:rsidRDefault="00A542D0" w:rsidP="003E2444">
      <w:pPr>
        <w:spacing w:line="276" w:lineRule="auto"/>
        <w:jc w:val="both"/>
        <w:rPr>
          <w:rStyle w:val="jlqj4b"/>
          <w:rFonts w:ascii="Times New Roman" w:hAnsi="Times New Roman" w:cs="Times New Roman"/>
          <w:sz w:val="24"/>
          <w:szCs w:val="24"/>
          <w:lang w:val="en"/>
        </w:rPr>
      </w:pPr>
      <w:r w:rsidRPr="00CE6D9C">
        <w:rPr>
          <w:rFonts w:ascii="Times New Roman" w:hAnsi="Times New Roman" w:cs="Times New Roman"/>
          <w:sz w:val="24"/>
          <w:szCs w:val="24"/>
          <w:lang w:val="en-GB"/>
        </w:rPr>
        <w:t xml:space="preserve">The review selected 155 scientific papers from SCOPUS and JCR </w:t>
      </w:r>
      <w:r w:rsidRPr="00CE6D9C">
        <w:rPr>
          <w:rStyle w:val="jlqj4b"/>
          <w:rFonts w:ascii="Times New Roman" w:hAnsi="Times New Roman" w:cs="Times New Roman"/>
          <w:sz w:val="24"/>
          <w:szCs w:val="24"/>
          <w:lang w:val="en"/>
        </w:rPr>
        <w:t xml:space="preserve">using the search terms </w:t>
      </w:r>
      <w:r w:rsidRPr="00CE6D9C">
        <w:rPr>
          <w:rFonts w:ascii="Times New Roman" w:hAnsi="Times New Roman" w:cs="Times New Roman"/>
          <w:sz w:val="24"/>
          <w:szCs w:val="24"/>
          <w:lang w:val="en-GB"/>
        </w:rPr>
        <w:t xml:space="preserve">based on six combinations of keywords previously agreed by the project consortium and consulted with stakeholders. We proceeded to review 87 of these following a screening process. </w:t>
      </w:r>
      <w:r w:rsidRPr="00CE6D9C">
        <w:rPr>
          <w:rStyle w:val="jlqj4b"/>
          <w:rFonts w:ascii="Times New Roman" w:hAnsi="Times New Roman" w:cs="Times New Roman"/>
          <w:sz w:val="24"/>
          <w:szCs w:val="24"/>
          <w:lang w:val="en"/>
        </w:rPr>
        <w:t>The literature for the review was initially conducted in two ways: i) a search in Scopus;</w:t>
      </w:r>
      <w:r w:rsidRPr="00CE6D9C">
        <w:rPr>
          <w:rStyle w:val="viiyi"/>
          <w:rFonts w:ascii="Times New Roman" w:hAnsi="Times New Roman" w:cs="Times New Roman"/>
          <w:sz w:val="24"/>
          <w:szCs w:val="24"/>
          <w:lang w:val="en"/>
        </w:rPr>
        <w:t xml:space="preserve"> </w:t>
      </w:r>
      <w:r w:rsidRPr="00CE6D9C">
        <w:rPr>
          <w:rStyle w:val="jlqj4b"/>
          <w:rFonts w:ascii="Times New Roman" w:hAnsi="Times New Roman" w:cs="Times New Roman"/>
          <w:sz w:val="24"/>
          <w:szCs w:val="24"/>
          <w:lang w:val="en"/>
        </w:rPr>
        <w:t>and ii) literature recommendations solicited from a project advisory board made up of expert practitioners and researchers. Some of the references cited by the authors of these studies were also reviewed.</w:t>
      </w:r>
      <w:r w:rsidRPr="00CE6D9C">
        <w:rPr>
          <w:rStyle w:val="viiyi"/>
          <w:rFonts w:ascii="Times New Roman" w:hAnsi="Times New Roman" w:cs="Times New Roman"/>
          <w:sz w:val="24"/>
          <w:szCs w:val="24"/>
          <w:lang w:val="en"/>
        </w:rPr>
        <w:t xml:space="preserve"> </w:t>
      </w:r>
      <w:r w:rsidRPr="00CE6D9C">
        <w:rPr>
          <w:rStyle w:val="jlqj4b"/>
          <w:rFonts w:ascii="Times New Roman" w:hAnsi="Times New Roman" w:cs="Times New Roman"/>
          <w:sz w:val="24"/>
          <w:szCs w:val="24"/>
          <w:lang w:val="en"/>
        </w:rPr>
        <w:t>This approach to the sources of the literature, combined with the selection criteria and the use of quality control</w:t>
      </w:r>
      <w:r w:rsidR="00CA7DF2" w:rsidRPr="00CE6D9C">
        <w:rPr>
          <w:rStyle w:val="jlqj4b"/>
          <w:rFonts w:ascii="Times New Roman" w:hAnsi="Times New Roman" w:cs="Times New Roman"/>
          <w:sz w:val="24"/>
          <w:szCs w:val="24"/>
          <w:lang w:val="en"/>
        </w:rPr>
        <w:t>,</w:t>
      </w:r>
      <w:r w:rsidRPr="00CE6D9C">
        <w:rPr>
          <w:rStyle w:val="jlqj4b"/>
          <w:rFonts w:ascii="Times New Roman" w:hAnsi="Times New Roman" w:cs="Times New Roman"/>
          <w:sz w:val="24"/>
          <w:szCs w:val="24"/>
          <w:lang w:val="en"/>
        </w:rPr>
        <w:t xml:space="preserve"> resulted in a total of 87 academic articles, studies, reports, and peer-reviewed books.</w:t>
      </w:r>
    </w:p>
    <w:p w14:paraId="40E5A4D4" w14:textId="50216454" w:rsidR="00A542D0" w:rsidRPr="00CE6D9C" w:rsidRDefault="00A542D0" w:rsidP="003E2444">
      <w:pPr>
        <w:spacing w:line="276" w:lineRule="auto"/>
        <w:jc w:val="both"/>
        <w:rPr>
          <w:rFonts w:ascii="Times New Roman" w:hAnsi="Times New Roman" w:cs="Times New Roman"/>
          <w:sz w:val="24"/>
          <w:szCs w:val="24"/>
          <w:lang w:val="en-GB"/>
        </w:rPr>
      </w:pPr>
      <w:r w:rsidRPr="00CE6D9C">
        <w:rPr>
          <w:rStyle w:val="jlqj4b"/>
          <w:rFonts w:ascii="Times New Roman" w:hAnsi="Times New Roman" w:cs="Times New Roman"/>
          <w:sz w:val="24"/>
          <w:szCs w:val="24"/>
          <w:lang w:val="en"/>
        </w:rPr>
        <w:t xml:space="preserve">The data </w:t>
      </w:r>
      <w:r w:rsidR="00CA7DF2" w:rsidRPr="00CE6D9C">
        <w:rPr>
          <w:rStyle w:val="jlqj4b"/>
          <w:rFonts w:ascii="Times New Roman" w:hAnsi="Times New Roman" w:cs="Times New Roman"/>
          <w:sz w:val="24"/>
          <w:szCs w:val="24"/>
          <w:lang w:val="en"/>
        </w:rPr>
        <w:t>gathered</w:t>
      </w:r>
      <w:r w:rsidRPr="00CE6D9C">
        <w:rPr>
          <w:rStyle w:val="jlqj4b"/>
          <w:rFonts w:ascii="Times New Roman" w:hAnsi="Times New Roman" w:cs="Times New Roman"/>
          <w:sz w:val="24"/>
          <w:szCs w:val="24"/>
          <w:lang w:val="en"/>
        </w:rPr>
        <w:t xml:space="preserve"> was organized in an extraction form which enabled us to systematize the evidence and contextual information about the corpus. Additionally, we proceeded to rank the quality of the studies surveyed using criteria devised by </w:t>
      </w:r>
      <w:proofErr w:type="spellStart"/>
      <w:r w:rsidRPr="00CE6D9C">
        <w:rPr>
          <w:rStyle w:val="jlqj4b"/>
          <w:rFonts w:ascii="Times New Roman" w:hAnsi="Times New Roman" w:cs="Times New Roman"/>
          <w:sz w:val="24"/>
          <w:szCs w:val="24"/>
          <w:lang w:val="en"/>
        </w:rPr>
        <w:t>Gorard</w:t>
      </w:r>
      <w:proofErr w:type="spellEnd"/>
      <w:r w:rsidRPr="00CE6D9C">
        <w:rPr>
          <w:rStyle w:val="jlqj4b"/>
          <w:rFonts w:ascii="Times New Roman" w:hAnsi="Times New Roman" w:cs="Times New Roman"/>
          <w:sz w:val="24"/>
          <w:szCs w:val="24"/>
          <w:lang w:val="en"/>
        </w:rPr>
        <w:t xml:space="preserve"> et al.</w:t>
      </w:r>
      <w:r w:rsidR="000A5154" w:rsidRPr="00CE6D9C">
        <w:rPr>
          <w:rStyle w:val="jlqj4b"/>
          <w:rFonts w:ascii="Times New Roman" w:hAnsi="Times New Roman" w:cs="Times New Roman"/>
          <w:sz w:val="24"/>
          <w:szCs w:val="24"/>
          <w:lang w:val="en"/>
        </w:rPr>
        <w:t xml:space="preserve"> (2019).</w:t>
      </w:r>
      <w:r w:rsidRPr="00CE6D9C">
        <w:rPr>
          <w:rStyle w:val="jlqj4b"/>
          <w:rFonts w:ascii="Times New Roman" w:hAnsi="Times New Roman" w:cs="Times New Roman"/>
          <w:sz w:val="24"/>
          <w:szCs w:val="24"/>
          <w:lang w:val="en"/>
        </w:rPr>
        <w:t xml:space="preserve"> </w:t>
      </w:r>
      <w:r w:rsidRPr="00CE6D9C">
        <w:rPr>
          <w:rFonts w:ascii="Times New Roman" w:hAnsi="Times New Roman" w:cs="Times New Roman"/>
          <w:sz w:val="24"/>
          <w:szCs w:val="24"/>
          <w:lang w:val="en-GB"/>
        </w:rPr>
        <w:t>We find that the corpus is dominated by case</w:t>
      </w:r>
      <w:r w:rsidR="001F2F45" w:rsidRPr="00CE6D9C">
        <w:rPr>
          <w:rFonts w:ascii="Times New Roman" w:hAnsi="Times New Roman" w:cs="Times New Roman"/>
          <w:sz w:val="24"/>
          <w:szCs w:val="24"/>
          <w:lang w:val="en-GB"/>
        </w:rPr>
        <w:t xml:space="preserve"> studies of higher education institutions in the US and the UK with few exceptions, mainly from East-Asia and Australia.</w:t>
      </w:r>
    </w:p>
    <w:p w14:paraId="44F13733" w14:textId="77777777" w:rsidR="003D7B6A" w:rsidRPr="00CE6D9C" w:rsidRDefault="003D7B6A" w:rsidP="003E2444">
      <w:pPr>
        <w:spacing w:line="276" w:lineRule="auto"/>
        <w:jc w:val="both"/>
        <w:rPr>
          <w:rFonts w:ascii="Times New Roman" w:hAnsi="Times New Roman" w:cs="Times New Roman"/>
          <w:sz w:val="24"/>
          <w:szCs w:val="24"/>
          <w:lang w:val="en-GB"/>
        </w:rPr>
      </w:pPr>
    </w:p>
    <w:p w14:paraId="74DF85BA" w14:textId="77777777" w:rsidR="003D7B6A" w:rsidRPr="00CE6D9C" w:rsidRDefault="003D7B6A" w:rsidP="003D7B6A">
      <w:pPr>
        <w:pStyle w:val="ListParagraph"/>
        <w:numPr>
          <w:ilvl w:val="0"/>
          <w:numId w:val="1"/>
        </w:numPr>
        <w:spacing w:line="276" w:lineRule="auto"/>
        <w:jc w:val="both"/>
        <w:rPr>
          <w:rFonts w:ascii="Times New Roman" w:hAnsi="Times New Roman" w:cs="Times New Roman"/>
          <w:b/>
          <w:sz w:val="24"/>
          <w:szCs w:val="24"/>
          <w:lang w:val="en-GB"/>
        </w:rPr>
      </w:pPr>
      <w:r w:rsidRPr="00CE6D9C">
        <w:rPr>
          <w:rFonts w:ascii="Times New Roman" w:hAnsi="Times New Roman" w:cs="Times New Roman"/>
          <w:b/>
          <w:bCs/>
          <w:sz w:val="24"/>
          <w:szCs w:val="24"/>
          <w:lang w:val="en-GB"/>
        </w:rPr>
        <w:t>Key themes in peer-reviewed academic research on employability</w:t>
      </w:r>
    </w:p>
    <w:p w14:paraId="3E1A277B" w14:textId="77777777" w:rsidR="003D7B6A" w:rsidRPr="00CE6D9C" w:rsidRDefault="003D7B6A" w:rsidP="003D7B6A">
      <w:pPr>
        <w:pStyle w:val="ListParagraph"/>
        <w:numPr>
          <w:ilvl w:val="1"/>
          <w:numId w:val="1"/>
        </w:numPr>
        <w:spacing w:line="276" w:lineRule="auto"/>
        <w:jc w:val="both"/>
        <w:rPr>
          <w:rFonts w:ascii="Times New Roman" w:hAnsi="Times New Roman" w:cs="Times New Roman"/>
          <w:b/>
          <w:sz w:val="24"/>
          <w:szCs w:val="24"/>
          <w:lang w:val="en-GB"/>
        </w:rPr>
      </w:pPr>
      <w:r w:rsidRPr="00CE6D9C">
        <w:rPr>
          <w:rFonts w:ascii="Times New Roman" w:hAnsi="Times New Roman" w:cs="Times New Roman"/>
          <w:b/>
          <w:bCs/>
          <w:sz w:val="24"/>
          <w:szCs w:val="24"/>
          <w:lang w:val="en-GB"/>
        </w:rPr>
        <w:lastRenderedPageBreak/>
        <w:t>Graduates labour market outcomes</w:t>
      </w:r>
    </w:p>
    <w:p w14:paraId="0C697DB7" w14:textId="77777777" w:rsidR="00CA7DF2" w:rsidRPr="00CE6D9C" w:rsidRDefault="003D7B6A" w:rsidP="005F30BB">
      <w:pPr>
        <w:spacing w:line="276" w:lineRule="auto"/>
        <w:jc w:val="both"/>
        <w:rPr>
          <w:rFonts w:ascii="Times New Roman" w:hAnsi="Times New Roman" w:cs="Times New Roman"/>
          <w:sz w:val="24"/>
          <w:szCs w:val="24"/>
          <w:lang w:val="en-GB"/>
        </w:rPr>
      </w:pPr>
      <w:r w:rsidRPr="00CE6D9C">
        <w:rPr>
          <w:rFonts w:ascii="Times New Roman" w:hAnsi="Times New Roman" w:cs="Times New Roman"/>
          <w:sz w:val="24"/>
          <w:szCs w:val="24"/>
          <w:lang w:val="en-GB"/>
        </w:rPr>
        <w:t>HEI Employability programmes are deemed to provide faster transition to employment for graduates. However, most of the studies in the corpus do not assess empirically graduate labour market outcomes</w:t>
      </w:r>
      <w:r w:rsidR="00CA7DF2" w:rsidRPr="00CE6D9C">
        <w:rPr>
          <w:rFonts w:ascii="Times New Roman" w:hAnsi="Times New Roman" w:cs="Times New Roman"/>
          <w:sz w:val="24"/>
          <w:szCs w:val="24"/>
          <w:lang w:val="en-GB"/>
        </w:rPr>
        <w:t>. R</w:t>
      </w:r>
      <w:r w:rsidRPr="00CE6D9C">
        <w:rPr>
          <w:rFonts w:ascii="Times New Roman" w:hAnsi="Times New Roman" w:cs="Times New Roman"/>
          <w:sz w:val="24"/>
          <w:szCs w:val="24"/>
          <w:lang w:val="en-GB"/>
        </w:rPr>
        <w:t>ather</w:t>
      </w:r>
      <w:r w:rsidR="00CA7DF2" w:rsidRPr="00CE6D9C">
        <w:rPr>
          <w:rFonts w:ascii="Times New Roman" w:hAnsi="Times New Roman" w:cs="Times New Roman"/>
          <w:sz w:val="24"/>
          <w:szCs w:val="24"/>
          <w:lang w:val="en-GB"/>
        </w:rPr>
        <w:t>, they</w:t>
      </w:r>
      <w:r w:rsidRPr="00CE6D9C">
        <w:rPr>
          <w:rFonts w:ascii="Times New Roman" w:hAnsi="Times New Roman" w:cs="Times New Roman"/>
          <w:sz w:val="24"/>
          <w:szCs w:val="24"/>
          <w:lang w:val="en-GB"/>
        </w:rPr>
        <w:t xml:space="preserve"> focus on the characteristics of WBL training, looking at possible benefits for the students in terms of future opportunities </w:t>
      </w:r>
      <w:r w:rsidR="00CA7DF2" w:rsidRPr="00CE6D9C">
        <w:rPr>
          <w:rFonts w:ascii="Times New Roman" w:hAnsi="Times New Roman" w:cs="Times New Roman"/>
          <w:sz w:val="24"/>
          <w:szCs w:val="24"/>
          <w:lang w:val="en-GB"/>
        </w:rPr>
        <w:t>i</w:t>
      </w:r>
      <w:r w:rsidRPr="00CE6D9C">
        <w:rPr>
          <w:rFonts w:ascii="Times New Roman" w:hAnsi="Times New Roman" w:cs="Times New Roman"/>
          <w:sz w:val="24"/>
          <w:szCs w:val="24"/>
          <w:lang w:val="en-GB"/>
        </w:rPr>
        <w:t xml:space="preserve">n the </w:t>
      </w:r>
      <w:r w:rsidR="00CA7DF2" w:rsidRPr="00CE6D9C">
        <w:rPr>
          <w:rFonts w:ascii="Times New Roman" w:hAnsi="Times New Roman" w:cs="Times New Roman"/>
          <w:sz w:val="24"/>
          <w:szCs w:val="24"/>
          <w:lang w:val="en-GB"/>
        </w:rPr>
        <w:t>job</w:t>
      </w:r>
      <w:r w:rsidRPr="00CE6D9C">
        <w:rPr>
          <w:rFonts w:ascii="Times New Roman" w:hAnsi="Times New Roman" w:cs="Times New Roman"/>
          <w:sz w:val="24"/>
          <w:szCs w:val="24"/>
          <w:lang w:val="en-GB"/>
        </w:rPr>
        <w:t xml:space="preserve"> market. </w:t>
      </w:r>
    </w:p>
    <w:p w14:paraId="46089BC3" w14:textId="77777777" w:rsidR="004D69C6" w:rsidRPr="00CE6D9C" w:rsidRDefault="003D7B6A" w:rsidP="005F30BB">
      <w:pPr>
        <w:spacing w:line="276" w:lineRule="auto"/>
        <w:jc w:val="both"/>
        <w:rPr>
          <w:rFonts w:ascii="Times New Roman" w:hAnsi="Times New Roman" w:cs="Times New Roman"/>
          <w:sz w:val="24"/>
          <w:szCs w:val="24"/>
          <w:lang w:val="en-GB"/>
        </w:rPr>
      </w:pPr>
      <w:r w:rsidRPr="00CE6D9C">
        <w:rPr>
          <w:rFonts w:ascii="Times New Roman" w:hAnsi="Times New Roman" w:cs="Times New Roman"/>
          <w:sz w:val="24"/>
          <w:szCs w:val="24"/>
          <w:lang w:val="en-GB"/>
        </w:rPr>
        <w:t>The alleged chief advantage on the student</w:t>
      </w:r>
      <w:r w:rsidR="00CA7DF2" w:rsidRPr="00CE6D9C">
        <w:rPr>
          <w:rFonts w:ascii="Times New Roman" w:hAnsi="Times New Roman" w:cs="Times New Roman"/>
          <w:sz w:val="24"/>
          <w:szCs w:val="24"/>
          <w:lang w:val="en-GB"/>
        </w:rPr>
        <w:t>s-side</w:t>
      </w:r>
      <w:r w:rsidRPr="00CE6D9C">
        <w:rPr>
          <w:rFonts w:ascii="Times New Roman" w:hAnsi="Times New Roman" w:cs="Times New Roman"/>
          <w:sz w:val="24"/>
          <w:szCs w:val="24"/>
          <w:lang w:val="en-GB"/>
        </w:rPr>
        <w:t xml:space="preserve"> refers to the development of generic employability skills to the notion of a “work ready” graduate, with discipline</w:t>
      </w:r>
      <w:r w:rsidR="00CA7DF2" w:rsidRPr="00CE6D9C">
        <w:rPr>
          <w:rFonts w:ascii="Times New Roman" w:hAnsi="Times New Roman" w:cs="Times New Roman"/>
          <w:sz w:val="24"/>
          <w:szCs w:val="24"/>
          <w:lang w:val="en-GB"/>
        </w:rPr>
        <w:t>-</w:t>
      </w:r>
      <w:r w:rsidRPr="00CE6D9C">
        <w:rPr>
          <w:rFonts w:ascii="Times New Roman" w:hAnsi="Times New Roman" w:cs="Times New Roman"/>
          <w:sz w:val="24"/>
          <w:szCs w:val="24"/>
          <w:lang w:val="en-GB"/>
        </w:rPr>
        <w:t>specific knowledge and industry</w:t>
      </w:r>
      <w:r w:rsidR="00CA7DF2" w:rsidRPr="00CE6D9C">
        <w:rPr>
          <w:rFonts w:ascii="Times New Roman" w:hAnsi="Times New Roman" w:cs="Times New Roman"/>
          <w:sz w:val="24"/>
          <w:szCs w:val="24"/>
          <w:lang w:val="en-GB"/>
        </w:rPr>
        <w:t>-</w:t>
      </w:r>
      <w:r w:rsidRPr="00CE6D9C">
        <w:rPr>
          <w:rFonts w:ascii="Times New Roman" w:hAnsi="Times New Roman" w:cs="Times New Roman"/>
          <w:sz w:val="24"/>
          <w:szCs w:val="24"/>
          <w:lang w:val="en-GB"/>
        </w:rPr>
        <w:t>specific skills developed through experience in the workplace (</w:t>
      </w:r>
      <w:proofErr w:type="spellStart"/>
      <w:r w:rsidRPr="00CE6D9C">
        <w:rPr>
          <w:rFonts w:ascii="Times New Roman" w:hAnsi="Times New Roman" w:cs="Times New Roman"/>
          <w:sz w:val="24"/>
          <w:szCs w:val="24"/>
          <w:lang w:val="en-GB"/>
        </w:rPr>
        <w:t>Pegg</w:t>
      </w:r>
      <w:proofErr w:type="spellEnd"/>
      <w:r w:rsidRPr="00CE6D9C">
        <w:rPr>
          <w:rFonts w:ascii="Times New Roman" w:hAnsi="Times New Roman" w:cs="Times New Roman"/>
          <w:sz w:val="24"/>
          <w:szCs w:val="24"/>
          <w:lang w:val="en-GB"/>
        </w:rPr>
        <w:t xml:space="preserve"> &amp; Caddell, 2016). This “work ready” element implies a reduction in uncertainty </w:t>
      </w:r>
      <w:r w:rsidR="004D69C6" w:rsidRPr="00CE6D9C">
        <w:rPr>
          <w:rFonts w:ascii="Times New Roman" w:hAnsi="Times New Roman" w:cs="Times New Roman"/>
          <w:sz w:val="24"/>
          <w:szCs w:val="24"/>
          <w:lang w:val="en-GB"/>
        </w:rPr>
        <w:t>in terms of</w:t>
      </w:r>
      <w:r w:rsidRPr="00CE6D9C">
        <w:rPr>
          <w:rFonts w:ascii="Times New Roman" w:hAnsi="Times New Roman" w:cs="Times New Roman"/>
          <w:sz w:val="24"/>
          <w:szCs w:val="24"/>
          <w:lang w:val="en-GB"/>
        </w:rPr>
        <w:t xml:space="preserve"> future working perspectives,</w:t>
      </w:r>
      <w:r w:rsidR="004D69C6" w:rsidRPr="00CE6D9C">
        <w:rPr>
          <w:rFonts w:ascii="Times New Roman" w:hAnsi="Times New Roman" w:cs="Times New Roman"/>
          <w:sz w:val="24"/>
          <w:szCs w:val="24"/>
          <w:lang w:val="en-GB"/>
        </w:rPr>
        <w:t xml:space="preserve"> especially if compared</w:t>
      </w:r>
      <w:r w:rsidRPr="00CE6D9C">
        <w:rPr>
          <w:rFonts w:ascii="Times New Roman" w:hAnsi="Times New Roman" w:cs="Times New Roman"/>
          <w:sz w:val="24"/>
          <w:szCs w:val="24"/>
          <w:lang w:val="en-GB"/>
        </w:rPr>
        <w:t xml:space="preserve"> with more general training programmes (degree studies) that do not provide equal possibilities to find a job in the short term. </w:t>
      </w:r>
    </w:p>
    <w:p w14:paraId="534C7037" w14:textId="77777777" w:rsidR="003E2444" w:rsidRPr="00CE6D9C" w:rsidRDefault="003D7B6A" w:rsidP="005F30BB">
      <w:pPr>
        <w:spacing w:line="276" w:lineRule="auto"/>
        <w:jc w:val="both"/>
        <w:rPr>
          <w:rFonts w:ascii="Times New Roman" w:hAnsi="Times New Roman" w:cs="Times New Roman"/>
          <w:sz w:val="24"/>
          <w:szCs w:val="24"/>
          <w:lang w:val="en-GB"/>
        </w:rPr>
      </w:pPr>
      <w:r w:rsidRPr="00CE6D9C">
        <w:rPr>
          <w:rFonts w:ascii="Times New Roman" w:hAnsi="Times New Roman" w:cs="Times New Roman"/>
          <w:sz w:val="24"/>
          <w:szCs w:val="24"/>
          <w:lang w:val="en-GB"/>
        </w:rPr>
        <w:t>This aspect could make employability training more attractive for a part of the population that has a lower risk propensity and who sees this applied training trajectory as more appropriate with respect to their starting position.</w:t>
      </w:r>
    </w:p>
    <w:p w14:paraId="3679C8CB" w14:textId="77777777" w:rsidR="003D7B6A" w:rsidRPr="00CE6D9C" w:rsidRDefault="003D7B6A" w:rsidP="003D7B6A">
      <w:pPr>
        <w:pStyle w:val="Heading2"/>
        <w:numPr>
          <w:ilvl w:val="1"/>
          <w:numId w:val="1"/>
        </w:numPr>
        <w:jc w:val="both"/>
        <w:rPr>
          <w:rFonts w:ascii="Times New Roman" w:hAnsi="Times New Roman" w:cs="Times New Roman"/>
          <w:b/>
          <w:bCs/>
          <w:color w:val="auto"/>
          <w:sz w:val="24"/>
          <w:szCs w:val="24"/>
          <w:lang w:val="en-GB"/>
        </w:rPr>
      </w:pPr>
      <w:r w:rsidRPr="00CE6D9C">
        <w:rPr>
          <w:rFonts w:ascii="Times New Roman" w:hAnsi="Times New Roman" w:cs="Times New Roman"/>
          <w:b/>
          <w:bCs/>
          <w:color w:val="auto"/>
          <w:sz w:val="24"/>
          <w:szCs w:val="24"/>
          <w:lang w:val="en-GB"/>
        </w:rPr>
        <w:t xml:space="preserve">Firms, </w:t>
      </w:r>
      <w:proofErr w:type="gramStart"/>
      <w:r w:rsidRPr="00CE6D9C">
        <w:rPr>
          <w:rFonts w:ascii="Times New Roman" w:hAnsi="Times New Roman" w:cs="Times New Roman"/>
          <w:b/>
          <w:bCs/>
          <w:color w:val="auto"/>
          <w:sz w:val="24"/>
          <w:szCs w:val="24"/>
          <w:lang w:val="en-GB"/>
        </w:rPr>
        <w:t>context</w:t>
      </w:r>
      <w:proofErr w:type="gramEnd"/>
      <w:r w:rsidRPr="00CE6D9C">
        <w:rPr>
          <w:rFonts w:ascii="Times New Roman" w:hAnsi="Times New Roman" w:cs="Times New Roman"/>
          <w:b/>
          <w:bCs/>
          <w:color w:val="auto"/>
          <w:sz w:val="24"/>
          <w:szCs w:val="24"/>
          <w:lang w:val="en-GB"/>
        </w:rPr>
        <w:t xml:space="preserve"> and labour market imperfections</w:t>
      </w:r>
    </w:p>
    <w:p w14:paraId="7918F347" w14:textId="77777777" w:rsidR="004D69C6" w:rsidRPr="00CE6D9C" w:rsidRDefault="003D7B6A" w:rsidP="003D7B6A">
      <w:pPr>
        <w:spacing w:line="276" w:lineRule="auto"/>
        <w:jc w:val="both"/>
        <w:rPr>
          <w:rStyle w:val="viiyi"/>
          <w:rFonts w:ascii="Times New Roman" w:hAnsi="Times New Roman" w:cs="Times New Roman"/>
          <w:sz w:val="24"/>
          <w:szCs w:val="24"/>
          <w:lang w:val="en"/>
        </w:rPr>
      </w:pPr>
      <w:r w:rsidRPr="00CE6D9C">
        <w:rPr>
          <w:rStyle w:val="jlqj4b"/>
          <w:rFonts w:ascii="Times New Roman" w:hAnsi="Times New Roman" w:cs="Times New Roman"/>
          <w:sz w:val="24"/>
          <w:szCs w:val="24"/>
          <w:lang w:val="en"/>
        </w:rPr>
        <w:t>From a business point of view, firm participation in employability programs depends largely on its cost-benefit assessment.</w:t>
      </w:r>
      <w:r w:rsidRPr="00CE6D9C">
        <w:rPr>
          <w:rStyle w:val="viiyi"/>
          <w:rFonts w:ascii="Times New Roman" w:hAnsi="Times New Roman" w:cs="Times New Roman"/>
          <w:sz w:val="24"/>
          <w:szCs w:val="24"/>
          <w:lang w:val="en"/>
        </w:rPr>
        <w:t xml:space="preserve"> </w:t>
      </w:r>
      <w:r w:rsidRPr="00CE6D9C">
        <w:rPr>
          <w:rStyle w:val="jlqj4b"/>
          <w:rFonts w:ascii="Times New Roman" w:hAnsi="Times New Roman" w:cs="Times New Roman"/>
          <w:sz w:val="24"/>
          <w:szCs w:val="24"/>
          <w:lang w:val="en"/>
        </w:rPr>
        <w:t>This aspect is related to the intrinsic conditions of the company (</w:t>
      </w:r>
      <w:proofErr w:type="gramStart"/>
      <w:r w:rsidR="004D69C6" w:rsidRPr="00CE6D9C">
        <w:rPr>
          <w:rStyle w:val="jlqj4b"/>
          <w:rFonts w:ascii="Times New Roman" w:hAnsi="Times New Roman" w:cs="Times New Roman"/>
          <w:sz w:val="24"/>
          <w:szCs w:val="24"/>
          <w:lang w:val="en"/>
        </w:rPr>
        <w:t>i.e.</w:t>
      </w:r>
      <w:proofErr w:type="gramEnd"/>
      <w:r w:rsidR="004D69C6" w:rsidRPr="00CE6D9C">
        <w:rPr>
          <w:rStyle w:val="jlqj4b"/>
          <w:rFonts w:ascii="Times New Roman" w:hAnsi="Times New Roman" w:cs="Times New Roman"/>
          <w:sz w:val="24"/>
          <w:szCs w:val="24"/>
          <w:lang w:val="en"/>
        </w:rPr>
        <w:t xml:space="preserve"> </w:t>
      </w:r>
      <w:r w:rsidRPr="00CE6D9C">
        <w:rPr>
          <w:rStyle w:val="jlqj4b"/>
          <w:rFonts w:ascii="Times New Roman" w:hAnsi="Times New Roman" w:cs="Times New Roman"/>
          <w:sz w:val="24"/>
          <w:szCs w:val="24"/>
          <w:lang w:val="en"/>
        </w:rPr>
        <w:t>size, productive sector, type of production or local environment) and generally represents an important barrier in terms of the expansion of an employability program.</w:t>
      </w:r>
      <w:r w:rsidRPr="00CE6D9C">
        <w:rPr>
          <w:rStyle w:val="viiyi"/>
          <w:rFonts w:ascii="Times New Roman" w:hAnsi="Times New Roman" w:cs="Times New Roman"/>
          <w:sz w:val="24"/>
          <w:szCs w:val="24"/>
          <w:lang w:val="en"/>
        </w:rPr>
        <w:t xml:space="preserve"> </w:t>
      </w:r>
    </w:p>
    <w:p w14:paraId="4D39DB56" w14:textId="77777777" w:rsidR="003D7B6A" w:rsidRPr="00CE6D9C" w:rsidRDefault="003D7B6A" w:rsidP="003D7B6A">
      <w:pPr>
        <w:spacing w:line="276" w:lineRule="auto"/>
        <w:jc w:val="both"/>
        <w:rPr>
          <w:rStyle w:val="jlqj4b"/>
          <w:rFonts w:ascii="Times New Roman" w:hAnsi="Times New Roman" w:cs="Times New Roman"/>
          <w:sz w:val="24"/>
          <w:szCs w:val="24"/>
          <w:lang w:val="en"/>
        </w:rPr>
      </w:pPr>
      <w:r w:rsidRPr="00CE6D9C">
        <w:rPr>
          <w:rStyle w:val="jlqj4b"/>
          <w:rFonts w:ascii="Times New Roman" w:hAnsi="Times New Roman" w:cs="Times New Roman"/>
          <w:sz w:val="24"/>
          <w:szCs w:val="24"/>
          <w:lang w:val="en"/>
        </w:rPr>
        <w:t xml:space="preserve">One of the dilemmas of work-based training is that all companies can benefit from better-educated graduates, but this does not mean that each of the companies has sufficient financial incentives and human resources to decide to train students themselves. The size of the firm largely </w:t>
      </w:r>
      <w:proofErr w:type="gramStart"/>
      <w:r w:rsidRPr="00CE6D9C">
        <w:rPr>
          <w:rStyle w:val="jlqj4b"/>
          <w:rFonts w:ascii="Times New Roman" w:hAnsi="Times New Roman" w:cs="Times New Roman"/>
          <w:sz w:val="24"/>
          <w:szCs w:val="24"/>
          <w:lang w:val="en"/>
        </w:rPr>
        <w:t>determine</w:t>
      </w:r>
      <w:proofErr w:type="gramEnd"/>
      <w:r w:rsidRPr="00CE6D9C">
        <w:rPr>
          <w:rStyle w:val="jlqj4b"/>
          <w:rFonts w:ascii="Times New Roman" w:hAnsi="Times New Roman" w:cs="Times New Roman"/>
          <w:sz w:val="24"/>
          <w:szCs w:val="24"/>
          <w:lang w:val="en"/>
        </w:rPr>
        <w:t xml:space="preserve"> the cost and availability of trainees. This is one of the main reasons why firms that are involved in employability programs are medium-large firms. In this sense</w:t>
      </w:r>
      <w:r w:rsidR="004D69C6" w:rsidRPr="00CE6D9C">
        <w:rPr>
          <w:rStyle w:val="jlqj4b"/>
          <w:rFonts w:ascii="Times New Roman" w:hAnsi="Times New Roman" w:cs="Times New Roman"/>
          <w:sz w:val="24"/>
          <w:szCs w:val="24"/>
          <w:lang w:val="en"/>
        </w:rPr>
        <w:t>,</w:t>
      </w:r>
      <w:r w:rsidRPr="00CE6D9C">
        <w:rPr>
          <w:rStyle w:val="jlqj4b"/>
          <w:rFonts w:ascii="Times New Roman" w:hAnsi="Times New Roman" w:cs="Times New Roman"/>
          <w:sz w:val="24"/>
          <w:szCs w:val="24"/>
          <w:lang w:val="en"/>
        </w:rPr>
        <w:t xml:space="preserve"> the incentives set from government</w:t>
      </w:r>
      <w:r w:rsidR="004D69C6" w:rsidRPr="00CE6D9C">
        <w:rPr>
          <w:rStyle w:val="jlqj4b"/>
          <w:rFonts w:ascii="Times New Roman" w:hAnsi="Times New Roman" w:cs="Times New Roman"/>
          <w:sz w:val="24"/>
          <w:szCs w:val="24"/>
          <w:lang w:val="en"/>
        </w:rPr>
        <w:t>s</w:t>
      </w:r>
      <w:r w:rsidRPr="00CE6D9C">
        <w:rPr>
          <w:rStyle w:val="jlqj4b"/>
          <w:rFonts w:ascii="Times New Roman" w:hAnsi="Times New Roman" w:cs="Times New Roman"/>
          <w:sz w:val="24"/>
          <w:szCs w:val="24"/>
          <w:lang w:val="en"/>
        </w:rPr>
        <w:t xml:space="preserve"> and local institutions can help to incentivize firm to have higher education students. In contrast with TVET sector</w:t>
      </w:r>
      <w:r w:rsidR="004D69C6" w:rsidRPr="00CE6D9C">
        <w:rPr>
          <w:rStyle w:val="jlqj4b"/>
          <w:rFonts w:ascii="Times New Roman" w:hAnsi="Times New Roman" w:cs="Times New Roman"/>
          <w:sz w:val="24"/>
          <w:szCs w:val="24"/>
          <w:lang w:val="en"/>
        </w:rPr>
        <w:t>,</w:t>
      </w:r>
      <w:r w:rsidRPr="00CE6D9C">
        <w:rPr>
          <w:rStyle w:val="jlqj4b"/>
          <w:rFonts w:ascii="Times New Roman" w:hAnsi="Times New Roman" w:cs="Times New Roman"/>
          <w:sz w:val="24"/>
          <w:szCs w:val="24"/>
          <w:lang w:val="en"/>
        </w:rPr>
        <w:t xml:space="preserve"> where there are schemes that share the training cost between government and firms, HEI</w:t>
      </w:r>
      <w:r w:rsidR="0027678D" w:rsidRPr="00CE6D9C">
        <w:rPr>
          <w:rStyle w:val="jlqj4b"/>
          <w:rFonts w:ascii="Times New Roman" w:hAnsi="Times New Roman" w:cs="Times New Roman"/>
          <w:sz w:val="24"/>
          <w:szCs w:val="24"/>
          <w:lang w:val="en"/>
        </w:rPr>
        <w:t>s</w:t>
      </w:r>
      <w:r w:rsidRPr="00CE6D9C">
        <w:rPr>
          <w:rStyle w:val="jlqj4b"/>
          <w:rFonts w:ascii="Times New Roman" w:hAnsi="Times New Roman" w:cs="Times New Roman"/>
          <w:sz w:val="24"/>
          <w:szCs w:val="24"/>
          <w:lang w:val="en"/>
        </w:rPr>
        <w:t xml:space="preserve"> do not have neither the resources neither the scale of operation to set such a scheme independently. </w:t>
      </w:r>
    </w:p>
    <w:p w14:paraId="3FA0457D" w14:textId="77777777" w:rsidR="003D7B6A" w:rsidRPr="00CE6D9C" w:rsidRDefault="003D7B6A" w:rsidP="003D7B6A">
      <w:pPr>
        <w:pStyle w:val="Heading2"/>
        <w:numPr>
          <w:ilvl w:val="1"/>
          <w:numId w:val="1"/>
        </w:numPr>
        <w:jc w:val="both"/>
        <w:rPr>
          <w:rFonts w:ascii="Times New Roman" w:hAnsi="Times New Roman" w:cs="Times New Roman"/>
          <w:b/>
          <w:bCs/>
          <w:color w:val="auto"/>
          <w:sz w:val="24"/>
          <w:szCs w:val="24"/>
          <w:lang w:val="en-GB"/>
        </w:rPr>
      </w:pPr>
      <w:r w:rsidRPr="00CE6D9C">
        <w:rPr>
          <w:rFonts w:ascii="Times New Roman" w:hAnsi="Times New Roman" w:cs="Times New Roman"/>
          <w:b/>
          <w:bCs/>
          <w:color w:val="auto"/>
          <w:sz w:val="24"/>
          <w:szCs w:val="24"/>
          <w:lang w:val="en-GB"/>
        </w:rPr>
        <w:t>HEI and characteristics of the programmes</w:t>
      </w:r>
    </w:p>
    <w:p w14:paraId="02969EAF" w14:textId="77777777" w:rsidR="004D69C6" w:rsidRPr="00CE6D9C" w:rsidRDefault="003D7B6A" w:rsidP="003D7B6A">
      <w:pPr>
        <w:spacing w:line="276" w:lineRule="auto"/>
        <w:jc w:val="both"/>
        <w:rPr>
          <w:rFonts w:ascii="Times New Roman" w:hAnsi="Times New Roman" w:cs="Times New Roman"/>
          <w:sz w:val="24"/>
          <w:szCs w:val="24"/>
          <w:lang w:val="en-GB"/>
        </w:rPr>
      </w:pPr>
      <w:r w:rsidRPr="00CE6D9C">
        <w:rPr>
          <w:rFonts w:ascii="Times New Roman" w:hAnsi="Times New Roman" w:cs="Times New Roman"/>
          <w:sz w:val="24"/>
          <w:szCs w:val="24"/>
          <w:lang w:val="en-GB"/>
        </w:rPr>
        <w:t>Usually, the practice of work-based learning includes a non-systematic and wide range of activities, going from brief visits to worksites, or job-shadowing to observe the process of work, to school-based enterprise, work-placements</w:t>
      </w:r>
      <w:r w:rsidR="004D69C6" w:rsidRPr="00CE6D9C">
        <w:rPr>
          <w:rFonts w:ascii="Times New Roman" w:hAnsi="Times New Roman" w:cs="Times New Roman"/>
          <w:sz w:val="24"/>
          <w:szCs w:val="24"/>
          <w:lang w:val="en-GB"/>
        </w:rPr>
        <w:t xml:space="preserve">, </w:t>
      </w:r>
      <w:r w:rsidRPr="00CE6D9C">
        <w:rPr>
          <w:rFonts w:ascii="Times New Roman" w:hAnsi="Times New Roman" w:cs="Times New Roman"/>
          <w:sz w:val="24"/>
          <w:szCs w:val="24"/>
          <w:lang w:val="en-GB"/>
        </w:rPr>
        <w:t>internships,</w:t>
      </w:r>
      <w:r w:rsidR="004D69C6" w:rsidRPr="00CE6D9C">
        <w:rPr>
          <w:rFonts w:ascii="Times New Roman" w:hAnsi="Times New Roman" w:cs="Times New Roman"/>
          <w:sz w:val="24"/>
          <w:szCs w:val="24"/>
          <w:lang w:val="en-GB"/>
        </w:rPr>
        <w:t xml:space="preserve"> and</w:t>
      </w:r>
      <w:r w:rsidRPr="00CE6D9C">
        <w:rPr>
          <w:rFonts w:ascii="Times New Roman" w:hAnsi="Times New Roman" w:cs="Times New Roman"/>
          <w:sz w:val="24"/>
          <w:szCs w:val="24"/>
          <w:lang w:val="en-GB"/>
        </w:rPr>
        <w:t xml:space="preserve"> apprenticeships (Stern, 1999). </w:t>
      </w:r>
    </w:p>
    <w:p w14:paraId="675263FB" w14:textId="77777777" w:rsidR="003D7B6A" w:rsidRPr="00CE6D9C" w:rsidRDefault="0027678D" w:rsidP="003D7B6A">
      <w:pPr>
        <w:spacing w:line="276" w:lineRule="auto"/>
        <w:jc w:val="both"/>
        <w:rPr>
          <w:rFonts w:ascii="Times New Roman" w:hAnsi="Times New Roman" w:cs="Times New Roman"/>
          <w:sz w:val="24"/>
          <w:szCs w:val="24"/>
          <w:lang w:val="en-GB"/>
        </w:rPr>
      </w:pPr>
      <w:r w:rsidRPr="00CE6D9C">
        <w:rPr>
          <w:rFonts w:ascii="Times New Roman" w:hAnsi="Times New Roman" w:cs="Times New Roman"/>
          <w:sz w:val="24"/>
          <w:szCs w:val="24"/>
          <w:lang w:val="en-GB"/>
        </w:rPr>
        <w:t xml:space="preserve">HEIs </w:t>
      </w:r>
      <w:r w:rsidR="003D7B6A" w:rsidRPr="00CE6D9C">
        <w:rPr>
          <w:rFonts w:ascii="Times New Roman" w:hAnsi="Times New Roman" w:cs="Times New Roman"/>
          <w:sz w:val="24"/>
          <w:szCs w:val="24"/>
          <w:lang w:val="en-GB"/>
        </w:rPr>
        <w:t>are essentially the initiator</w:t>
      </w:r>
      <w:r w:rsidR="004D69C6" w:rsidRPr="00CE6D9C">
        <w:rPr>
          <w:rFonts w:ascii="Times New Roman" w:hAnsi="Times New Roman" w:cs="Times New Roman"/>
          <w:sz w:val="24"/>
          <w:szCs w:val="24"/>
          <w:lang w:val="en-GB"/>
        </w:rPr>
        <w:t>s</w:t>
      </w:r>
      <w:r w:rsidR="003D7B6A" w:rsidRPr="00CE6D9C">
        <w:rPr>
          <w:rFonts w:ascii="Times New Roman" w:hAnsi="Times New Roman" w:cs="Times New Roman"/>
          <w:sz w:val="24"/>
          <w:szCs w:val="24"/>
          <w:lang w:val="en-GB"/>
        </w:rPr>
        <w:t xml:space="preserve"> and the key </w:t>
      </w:r>
      <w:r w:rsidR="004D69C6" w:rsidRPr="00CE6D9C">
        <w:rPr>
          <w:rFonts w:ascii="Times New Roman" w:hAnsi="Times New Roman" w:cs="Times New Roman"/>
          <w:sz w:val="24"/>
          <w:szCs w:val="24"/>
          <w:lang w:val="en-GB"/>
        </w:rPr>
        <w:t>players</w:t>
      </w:r>
      <w:r w:rsidR="003D7B6A" w:rsidRPr="00CE6D9C">
        <w:rPr>
          <w:rFonts w:ascii="Times New Roman" w:hAnsi="Times New Roman" w:cs="Times New Roman"/>
          <w:sz w:val="24"/>
          <w:szCs w:val="24"/>
          <w:lang w:val="en-GB"/>
        </w:rPr>
        <w:t xml:space="preserve"> in setting and governing employability programmes. The involvement and ties with local environment and economy varies largely by type and historical mission of higher education institutions.</w:t>
      </w:r>
    </w:p>
    <w:p w14:paraId="5ED28E2B" w14:textId="77777777" w:rsidR="004D69C6" w:rsidRPr="00CE6D9C" w:rsidRDefault="004D69C6" w:rsidP="003D7B6A">
      <w:pPr>
        <w:spacing w:line="276" w:lineRule="auto"/>
        <w:jc w:val="both"/>
        <w:rPr>
          <w:rFonts w:ascii="Times New Roman" w:hAnsi="Times New Roman" w:cs="Times New Roman"/>
          <w:sz w:val="24"/>
          <w:szCs w:val="24"/>
          <w:lang w:val="en-GB"/>
        </w:rPr>
      </w:pPr>
      <w:r w:rsidRPr="00CE6D9C">
        <w:rPr>
          <w:rFonts w:ascii="Times New Roman" w:hAnsi="Times New Roman" w:cs="Times New Roman"/>
          <w:sz w:val="24"/>
          <w:szCs w:val="24"/>
          <w:lang w:val="en-GB"/>
        </w:rPr>
        <w:t>In order to create and maintain good WBL experiences for their students</w:t>
      </w:r>
      <w:r w:rsidR="0027678D" w:rsidRPr="00CE6D9C">
        <w:rPr>
          <w:rFonts w:ascii="Times New Roman" w:hAnsi="Times New Roman" w:cs="Times New Roman"/>
          <w:sz w:val="24"/>
          <w:szCs w:val="24"/>
          <w:lang w:val="en-GB"/>
        </w:rPr>
        <w:t xml:space="preserve">, </w:t>
      </w:r>
      <w:r w:rsidRPr="00CE6D9C">
        <w:rPr>
          <w:rFonts w:ascii="Times New Roman" w:hAnsi="Times New Roman" w:cs="Times New Roman"/>
          <w:sz w:val="24"/>
          <w:szCs w:val="24"/>
          <w:lang w:val="en-GB"/>
        </w:rPr>
        <w:t>there is a need for HEIs to take a systemic strategic approach, based on long term relationships with employers</w:t>
      </w:r>
    </w:p>
    <w:p w14:paraId="4EA4ED60" w14:textId="77777777" w:rsidR="003D7B6A" w:rsidRPr="00CE6D9C" w:rsidRDefault="003D7B6A" w:rsidP="003D7B6A">
      <w:pPr>
        <w:spacing w:line="276" w:lineRule="auto"/>
        <w:jc w:val="both"/>
        <w:rPr>
          <w:rFonts w:ascii="Times New Roman" w:hAnsi="Times New Roman" w:cs="Times New Roman"/>
          <w:b/>
          <w:bCs/>
          <w:sz w:val="24"/>
          <w:szCs w:val="24"/>
          <w:lang w:val="en-GB"/>
        </w:rPr>
      </w:pPr>
    </w:p>
    <w:p w14:paraId="283348FA" w14:textId="77777777" w:rsidR="003D7B6A" w:rsidRPr="00CE6D9C" w:rsidRDefault="003D7B6A" w:rsidP="003D7B6A">
      <w:pPr>
        <w:pStyle w:val="ListParagraph"/>
        <w:numPr>
          <w:ilvl w:val="0"/>
          <w:numId w:val="1"/>
        </w:numPr>
        <w:spacing w:line="276" w:lineRule="auto"/>
        <w:jc w:val="both"/>
        <w:rPr>
          <w:rFonts w:ascii="Times New Roman" w:hAnsi="Times New Roman" w:cs="Times New Roman"/>
          <w:b/>
          <w:sz w:val="24"/>
          <w:szCs w:val="24"/>
          <w:lang w:val="en-GB"/>
        </w:rPr>
      </w:pPr>
      <w:r w:rsidRPr="00CE6D9C">
        <w:rPr>
          <w:rFonts w:ascii="Times New Roman" w:hAnsi="Times New Roman" w:cs="Times New Roman"/>
          <w:b/>
          <w:sz w:val="24"/>
          <w:szCs w:val="24"/>
          <w:lang w:val="en-GB"/>
        </w:rPr>
        <w:t>Discussion and conclusions</w:t>
      </w:r>
    </w:p>
    <w:p w14:paraId="52837523" w14:textId="77777777" w:rsidR="003D7B6A" w:rsidRPr="00CE6D9C" w:rsidRDefault="003D7B6A" w:rsidP="003D7B6A">
      <w:pPr>
        <w:spacing w:line="276" w:lineRule="auto"/>
        <w:jc w:val="both"/>
        <w:rPr>
          <w:rFonts w:ascii="Times New Roman" w:hAnsi="Times New Roman" w:cs="Times New Roman"/>
          <w:sz w:val="24"/>
          <w:szCs w:val="24"/>
          <w:lang w:val="en-GB"/>
        </w:rPr>
      </w:pPr>
      <w:r w:rsidRPr="00CE6D9C">
        <w:rPr>
          <w:rFonts w:ascii="Times New Roman" w:hAnsi="Times New Roman" w:cs="Times New Roman"/>
          <w:sz w:val="24"/>
          <w:szCs w:val="24"/>
          <w:lang w:val="en-GB"/>
        </w:rPr>
        <w:lastRenderedPageBreak/>
        <w:t>Main findings:</w:t>
      </w:r>
    </w:p>
    <w:p w14:paraId="1831A326" w14:textId="6A53A294" w:rsidR="003D7B6A" w:rsidRPr="00CE6D9C" w:rsidRDefault="003D7B6A" w:rsidP="003D7B6A">
      <w:pPr>
        <w:pStyle w:val="ListParagraph"/>
        <w:numPr>
          <w:ilvl w:val="0"/>
          <w:numId w:val="7"/>
        </w:numPr>
        <w:jc w:val="both"/>
        <w:rPr>
          <w:rFonts w:ascii="Times New Roman" w:hAnsi="Times New Roman" w:cs="Times New Roman"/>
          <w:sz w:val="24"/>
          <w:szCs w:val="24"/>
          <w:lang w:val="en-GB"/>
        </w:rPr>
      </w:pPr>
      <w:r w:rsidRPr="00CE6D9C">
        <w:rPr>
          <w:rFonts w:ascii="Times New Roman" w:hAnsi="Times New Roman" w:cs="Times New Roman"/>
          <w:sz w:val="24"/>
          <w:szCs w:val="24"/>
          <w:lang w:val="en-GB"/>
        </w:rPr>
        <w:t xml:space="preserve">HEIs are not all the same. There are wide differences in WBL activities by type of </w:t>
      </w:r>
      <w:r w:rsidR="000A5154" w:rsidRPr="00CE6D9C">
        <w:rPr>
          <w:rFonts w:ascii="Times New Roman" w:hAnsi="Times New Roman" w:cs="Times New Roman"/>
          <w:sz w:val="24"/>
          <w:szCs w:val="24"/>
          <w:lang w:val="en-GB"/>
        </w:rPr>
        <w:t>u</w:t>
      </w:r>
      <w:r w:rsidRPr="00CE6D9C">
        <w:rPr>
          <w:rFonts w:ascii="Times New Roman" w:hAnsi="Times New Roman" w:cs="Times New Roman"/>
          <w:sz w:val="24"/>
          <w:szCs w:val="24"/>
          <w:lang w:val="en-GB"/>
        </w:rPr>
        <w:t>niversity and the degree subject</w:t>
      </w:r>
    </w:p>
    <w:p w14:paraId="434C9DB4" w14:textId="77777777" w:rsidR="003D7B6A" w:rsidRPr="00CE6D9C" w:rsidRDefault="003D7B6A" w:rsidP="003D7B6A">
      <w:pPr>
        <w:pStyle w:val="ListParagraph"/>
        <w:numPr>
          <w:ilvl w:val="0"/>
          <w:numId w:val="7"/>
        </w:numPr>
        <w:jc w:val="both"/>
        <w:rPr>
          <w:rFonts w:ascii="Times New Roman" w:hAnsi="Times New Roman" w:cs="Times New Roman"/>
          <w:sz w:val="24"/>
          <w:szCs w:val="24"/>
          <w:lang w:val="en-GB"/>
        </w:rPr>
      </w:pPr>
      <w:r w:rsidRPr="00CE6D9C">
        <w:rPr>
          <w:rFonts w:ascii="Times New Roman" w:hAnsi="Times New Roman" w:cs="Times New Roman"/>
          <w:sz w:val="24"/>
          <w:szCs w:val="24"/>
          <w:lang w:val="en-GB"/>
        </w:rPr>
        <w:t xml:space="preserve">Most WBL initiatives are HEI-led, and driven by local economic context, literature points to the need for a strategic top-down approach within universities  </w:t>
      </w:r>
    </w:p>
    <w:p w14:paraId="6D4AE55E" w14:textId="77777777" w:rsidR="003D7B6A" w:rsidRPr="00CE6D9C" w:rsidRDefault="003D7B6A" w:rsidP="003D7B6A">
      <w:pPr>
        <w:pStyle w:val="ListParagraph"/>
        <w:numPr>
          <w:ilvl w:val="0"/>
          <w:numId w:val="7"/>
        </w:numPr>
        <w:jc w:val="both"/>
        <w:rPr>
          <w:rFonts w:ascii="Times New Roman" w:hAnsi="Times New Roman" w:cs="Times New Roman"/>
          <w:sz w:val="24"/>
          <w:szCs w:val="24"/>
          <w:lang w:val="en-GB"/>
        </w:rPr>
      </w:pPr>
      <w:r w:rsidRPr="00CE6D9C">
        <w:rPr>
          <w:rFonts w:ascii="Times New Roman" w:hAnsi="Times New Roman" w:cs="Times New Roman"/>
          <w:sz w:val="24"/>
          <w:szCs w:val="24"/>
          <w:lang w:val="en-GB"/>
        </w:rPr>
        <w:t>Students are not all the same. There is much evidence that WBL needs to be well designed to assist those from a lower Sociological background overcome often unseen barriers</w:t>
      </w:r>
    </w:p>
    <w:p w14:paraId="6D4E4553" w14:textId="77777777" w:rsidR="003D7B6A" w:rsidRPr="00CE6D9C" w:rsidRDefault="003D7B6A" w:rsidP="003D7B6A">
      <w:pPr>
        <w:pStyle w:val="ListParagraph"/>
        <w:numPr>
          <w:ilvl w:val="0"/>
          <w:numId w:val="7"/>
        </w:numPr>
        <w:jc w:val="both"/>
        <w:rPr>
          <w:rFonts w:ascii="Times New Roman" w:hAnsi="Times New Roman" w:cs="Times New Roman"/>
          <w:sz w:val="24"/>
          <w:szCs w:val="24"/>
          <w:lang w:val="en-GB"/>
        </w:rPr>
      </w:pPr>
      <w:r w:rsidRPr="00CE6D9C">
        <w:rPr>
          <w:rFonts w:ascii="Times New Roman" w:hAnsi="Times New Roman" w:cs="Times New Roman"/>
          <w:sz w:val="24"/>
          <w:szCs w:val="24"/>
          <w:lang w:val="en-GB"/>
        </w:rPr>
        <w:t>There is need for much broader empirical research on WBL interventions to highlight where improvements can be made to assist all students have equal opportunities for appropriate employment</w:t>
      </w:r>
    </w:p>
    <w:p w14:paraId="6EC67CDB" w14:textId="77777777" w:rsidR="005F30BB" w:rsidRPr="00CE6D9C" w:rsidRDefault="005F30BB" w:rsidP="005F30BB">
      <w:pPr>
        <w:spacing w:line="276" w:lineRule="auto"/>
        <w:jc w:val="both"/>
        <w:rPr>
          <w:rFonts w:ascii="Times New Roman" w:hAnsi="Times New Roman" w:cs="Times New Roman"/>
          <w:lang w:val="en-GB"/>
        </w:rPr>
      </w:pPr>
    </w:p>
    <w:sdt>
      <w:sdtPr>
        <w:rPr>
          <w:rFonts w:ascii="Times New Roman" w:eastAsiaTheme="minorHAnsi" w:hAnsi="Times New Roman" w:cs="Times New Roman"/>
          <w:b w:val="0"/>
          <w:bCs w:val="0"/>
          <w:color w:val="auto"/>
          <w:sz w:val="22"/>
          <w:szCs w:val="22"/>
          <w:lang w:val="es-ES" w:eastAsia="en-US"/>
        </w:rPr>
        <w:id w:val="-64412640"/>
        <w:docPartObj>
          <w:docPartGallery w:val="Bibliographies"/>
          <w:docPartUnique/>
        </w:docPartObj>
      </w:sdtPr>
      <w:sdtEndPr/>
      <w:sdtContent>
        <w:p w14:paraId="4FB0D990" w14:textId="77777777" w:rsidR="005F30BB" w:rsidRPr="00CE6D9C" w:rsidRDefault="005F30BB" w:rsidP="003D7B6A">
          <w:pPr>
            <w:pStyle w:val="Heading1"/>
            <w:jc w:val="both"/>
            <w:rPr>
              <w:rFonts w:ascii="Times New Roman" w:hAnsi="Times New Roman" w:cs="Times New Roman"/>
              <w:lang w:val="en-US"/>
            </w:rPr>
          </w:pPr>
          <w:r w:rsidRPr="00CE6D9C">
            <w:rPr>
              <w:rFonts w:ascii="Times New Roman" w:hAnsi="Times New Roman" w:cs="Times New Roman"/>
              <w:lang w:val="en-US"/>
            </w:rPr>
            <w:t>References</w:t>
          </w:r>
        </w:p>
        <w:sdt>
          <w:sdtPr>
            <w:rPr>
              <w:rFonts w:ascii="Times New Roman" w:hAnsi="Times New Roman" w:cs="Times New Roman"/>
            </w:rPr>
            <w:id w:val="111145805"/>
            <w:bibliography/>
          </w:sdtPr>
          <w:sdtEndPr/>
          <w:sdtContent>
            <w:p w14:paraId="0BE59863" w14:textId="77777777" w:rsidR="000A5154" w:rsidRPr="00CE6D9C" w:rsidRDefault="000A5154" w:rsidP="000A5154">
              <w:pPr>
                <w:pStyle w:val="Bibliography"/>
                <w:ind w:left="720" w:hanging="720"/>
                <w:jc w:val="both"/>
                <w:rPr>
                  <w:rFonts w:ascii="Times New Roman" w:hAnsi="Times New Roman" w:cs="Times New Roman"/>
                  <w:noProof/>
                  <w:lang w:val="en-US"/>
                </w:rPr>
              </w:pPr>
              <w:r w:rsidRPr="00CE6D9C">
                <w:rPr>
                  <w:rFonts w:ascii="Times New Roman" w:hAnsi="Times New Roman" w:cs="Times New Roman"/>
                  <w:noProof/>
                  <w:lang w:val="en-US"/>
                </w:rPr>
                <w:t>Emmenegger, P., Häusermann, S., Palier, B., Seeleib-Kaiser, M. (2012) The Age of Dualization. The Changing Face of Inequality in Deindustrializing Societies. Oxford University Press</w:t>
              </w:r>
            </w:p>
            <w:p w14:paraId="0213BA7A" w14:textId="77777777" w:rsidR="000A5154" w:rsidRPr="00BD1DAE" w:rsidRDefault="000A5154" w:rsidP="000A5154">
              <w:pPr>
                <w:pStyle w:val="Bibliography"/>
                <w:ind w:left="720" w:hanging="720"/>
                <w:jc w:val="both"/>
                <w:rPr>
                  <w:rFonts w:ascii="Times New Roman" w:hAnsi="Times New Roman" w:cs="Times New Roman"/>
                  <w:noProof/>
                  <w:lang w:val="en-US"/>
                </w:rPr>
              </w:pPr>
              <w:r w:rsidRPr="00BD1DAE">
                <w:rPr>
                  <w:rFonts w:ascii="Times New Roman" w:hAnsi="Times New Roman" w:cs="Times New Roman"/>
                  <w:noProof/>
                  <w:lang w:val="en-US"/>
                </w:rPr>
                <w:t xml:space="preserve">Eurostat (2018). The EU in the world: education and training. Retrieved from the World Wide Web: </w:t>
              </w:r>
              <w:hyperlink r:id="rId11" w:history="1">
                <w:r w:rsidRPr="00BD1DAE">
                  <w:rPr>
                    <w:rFonts w:ascii="Times New Roman" w:hAnsi="Times New Roman" w:cs="Times New Roman"/>
                    <w:noProof/>
                    <w:lang w:val="en-US"/>
                  </w:rPr>
                  <w:t>https://ec.europa.eu/eurostat/statistics-explained/pdfscache/20434.pdf</w:t>
                </w:r>
              </w:hyperlink>
              <w:r w:rsidRPr="00BD1DAE">
                <w:rPr>
                  <w:rFonts w:ascii="Times New Roman" w:hAnsi="Times New Roman" w:cs="Times New Roman"/>
                  <w:noProof/>
                  <w:lang w:val="en-US"/>
                </w:rPr>
                <w:t xml:space="preserve"> </w:t>
              </w:r>
            </w:p>
            <w:p w14:paraId="561EA0B1" w14:textId="6DCE1417" w:rsidR="000A5154" w:rsidRPr="00CE6D9C" w:rsidRDefault="000A5154" w:rsidP="000A5154">
              <w:pPr>
                <w:pStyle w:val="Bibliography"/>
                <w:ind w:left="720" w:hanging="720"/>
                <w:jc w:val="both"/>
                <w:rPr>
                  <w:rFonts w:ascii="Times New Roman" w:hAnsi="Times New Roman" w:cs="Times New Roman"/>
                  <w:noProof/>
                  <w:lang w:val="en-US"/>
                </w:rPr>
              </w:pPr>
              <w:r w:rsidRPr="00CE6D9C">
                <w:rPr>
                  <w:rFonts w:ascii="Times New Roman" w:hAnsi="Times New Roman" w:cs="Times New Roman"/>
                  <w:noProof/>
                  <w:lang w:val="en-US"/>
                </w:rPr>
                <w:t>Gorard, S., Griffin, N., See, B.-H., &amp; Siddiqui, N. (2019). How can we get educators to use research evidence. A review of the best ways to get evidence into use from many areas of public policy (www.lulu.com).</w:t>
              </w:r>
            </w:p>
            <w:p w14:paraId="4E975AD4" w14:textId="1DF15F1C" w:rsidR="003E2444" w:rsidRPr="00CE6D9C" w:rsidRDefault="005F30BB" w:rsidP="000A5154">
              <w:pPr>
                <w:pStyle w:val="Bibliography"/>
                <w:ind w:left="720" w:hanging="720"/>
                <w:jc w:val="both"/>
                <w:rPr>
                  <w:rFonts w:ascii="Times New Roman" w:hAnsi="Times New Roman" w:cs="Times New Roman"/>
                  <w:noProof/>
                  <w:sz w:val="24"/>
                  <w:szCs w:val="24"/>
                  <w:lang w:val="en-US"/>
                </w:rPr>
              </w:pPr>
              <w:r w:rsidRPr="00CE6D9C">
                <w:rPr>
                  <w:rFonts w:ascii="Times New Roman" w:hAnsi="Times New Roman" w:cs="Times New Roman"/>
                </w:rPr>
                <w:fldChar w:fldCharType="begin"/>
              </w:r>
              <w:r w:rsidRPr="00CE6D9C">
                <w:rPr>
                  <w:rFonts w:ascii="Times New Roman" w:hAnsi="Times New Roman" w:cs="Times New Roman"/>
                  <w:lang w:val="en-GB"/>
                </w:rPr>
                <w:instrText>BIBLIOGRAPHY</w:instrText>
              </w:r>
              <w:r w:rsidRPr="00CE6D9C">
                <w:rPr>
                  <w:rFonts w:ascii="Times New Roman" w:hAnsi="Times New Roman" w:cs="Times New Roman"/>
                </w:rPr>
                <w:fldChar w:fldCharType="separate"/>
              </w:r>
              <w:r w:rsidR="003E2444" w:rsidRPr="00CE6D9C">
                <w:rPr>
                  <w:rFonts w:ascii="Times New Roman" w:hAnsi="Times New Roman" w:cs="Times New Roman"/>
                  <w:noProof/>
                  <w:lang w:val="en-US"/>
                </w:rPr>
                <w:t xml:space="preserve">Hermannsson, K. (2016). Economic Impact of Education: Evidence and Relevance. In D. Wyse, L. Hayward, &amp; J. Pandya, </w:t>
              </w:r>
              <w:r w:rsidR="003E2444" w:rsidRPr="00CE6D9C">
                <w:rPr>
                  <w:rFonts w:ascii="Times New Roman" w:hAnsi="Times New Roman" w:cs="Times New Roman"/>
                  <w:i/>
                  <w:iCs/>
                  <w:noProof/>
                  <w:lang w:val="en-US"/>
                </w:rPr>
                <w:t>The SAGE Handbook of Curriculum, Pedagogy and Assessment.</w:t>
              </w:r>
              <w:r w:rsidR="003E2444" w:rsidRPr="00CE6D9C">
                <w:rPr>
                  <w:rFonts w:ascii="Times New Roman" w:hAnsi="Times New Roman" w:cs="Times New Roman"/>
                  <w:noProof/>
                  <w:lang w:val="en-US"/>
                </w:rPr>
                <w:t xml:space="preserve"> London: Sage Publications Ltd.</w:t>
              </w:r>
            </w:p>
            <w:p w14:paraId="3FC115D1" w14:textId="77777777" w:rsidR="000A5154" w:rsidRPr="00CE6D9C" w:rsidRDefault="000A5154" w:rsidP="000A5154">
              <w:pPr>
                <w:pStyle w:val="Bibliography"/>
                <w:ind w:left="720" w:hanging="720"/>
                <w:jc w:val="both"/>
                <w:rPr>
                  <w:rFonts w:ascii="Times New Roman" w:hAnsi="Times New Roman" w:cs="Times New Roman"/>
                  <w:noProof/>
                  <w:lang w:val="en-US"/>
                </w:rPr>
              </w:pPr>
              <w:r w:rsidRPr="00BD1DAE">
                <w:rPr>
                  <w:rFonts w:ascii="Times New Roman" w:hAnsi="Times New Roman" w:cs="Times New Roman"/>
                  <w:noProof/>
                  <w:lang w:val="en-US"/>
                </w:rPr>
                <w:t xml:space="preserve">Lee, J. W., &amp; Lee, H. (2016). Human capital in the long run. Journal of Development Economics, 122, 147-169. </w:t>
              </w:r>
            </w:p>
            <w:p w14:paraId="1F8457FA" w14:textId="4E7EF1E7" w:rsidR="003E2444" w:rsidRPr="00CE6D9C" w:rsidRDefault="003E2444" w:rsidP="003D7B6A">
              <w:pPr>
                <w:pStyle w:val="Bibliography"/>
                <w:ind w:left="720" w:hanging="720"/>
                <w:jc w:val="both"/>
                <w:rPr>
                  <w:rFonts w:ascii="Times New Roman" w:hAnsi="Times New Roman" w:cs="Times New Roman"/>
                  <w:noProof/>
                  <w:lang w:val="en-US"/>
                </w:rPr>
              </w:pPr>
              <w:r w:rsidRPr="00CE6D9C">
                <w:rPr>
                  <w:rFonts w:ascii="Times New Roman" w:hAnsi="Times New Roman" w:cs="Times New Roman"/>
                  <w:noProof/>
                  <w:lang w:val="en-US"/>
                </w:rPr>
                <w:t xml:space="preserve">Lindbeck, A., &amp; Snower, D. J. (2001). Insiders versus Outsiders. </w:t>
              </w:r>
              <w:r w:rsidRPr="00CE6D9C">
                <w:rPr>
                  <w:rFonts w:ascii="Times New Roman" w:hAnsi="Times New Roman" w:cs="Times New Roman"/>
                  <w:i/>
                  <w:iCs/>
                  <w:noProof/>
                  <w:lang w:val="en-US"/>
                </w:rPr>
                <w:t>Journal of Economic Perspectives, 15</w:t>
              </w:r>
              <w:r w:rsidRPr="00CE6D9C">
                <w:rPr>
                  <w:rFonts w:ascii="Times New Roman" w:hAnsi="Times New Roman" w:cs="Times New Roman"/>
                  <w:noProof/>
                  <w:lang w:val="en-US"/>
                </w:rPr>
                <w:t>(1), 165–188.</w:t>
              </w:r>
            </w:p>
            <w:p w14:paraId="64425CFD" w14:textId="77777777" w:rsidR="00BD1DAE" w:rsidRPr="00CE6D9C" w:rsidRDefault="00273872" w:rsidP="00BD1DAE">
              <w:pPr>
                <w:pStyle w:val="Bibliography"/>
                <w:ind w:left="720" w:hanging="720"/>
                <w:jc w:val="both"/>
                <w:rPr>
                  <w:rFonts w:ascii="Times New Roman" w:hAnsi="Times New Roman" w:cs="Times New Roman"/>
                  <w:noProof/>
                  <w:lang w:val="en-US"/>
                </w:rPr>
              </w:pPr>
              <w:hyperlink r:id="rId12" w:tooltip="Ann Pegg" w:history="1">
                <w:r w:rsidR="00BD1DAE" w:rsidRPr="00CE6D9C">
                  <w:rPr>
                    <w:rFonts w:ascii="Times New Roman" w:hAnsi="Times New Roman" w:cs="Times New Roman"/>
                    <w:noProof/>
                    <w:lang w:val="en-US"/>
                  </w:rPr>
                  <w:t>Pegg, A.</w:t>
                </w:r>
              </w:hyperlink>
              <w:r w:rsidR="00BD1DAE" w:rsidRPr="00CE6D9C">
                <w:rPr>
                  <w:rFonts w:ascii="Times New Roman" w:hAnsi="Times New Roman" w:cs="Times New Roman"/>
                  <w:noProof/>
                  <w:lang w:val="en-US"/>
                </w:rPr>
                <w:t xml:space="preserve"> and </w:t>
              </w:r>
              <w:hyperlink r:id="rId13" w:tooltip="Martha Caddell" w:history="1">
                <w:r w:rsidR="00BD1DAE" w:rsidRPr="00CE6D9C">
                  <w:rPr>
                    <w:rFonts w:ascii="Times New Roman" w:hAnsi="Times New Roman" w:cs="Times New Roman"/>
                    <w:noProof/>
                    <w:lang w:val="en-US"/>
                  </w:rPr>
                  <w:t>Caddell, M.</w:t>
                </w:r>
              </w:hyperlink>
              <w:r w:rsidR="00BD1DAE" w:rsidRPr="00CE6D9C">
                <w:rPr>
                  <w:rFonts w:ascii="Times New Roman" w:hAnsi="Times New Roman" w:cs="Times New Roman"/>
                  <w:noProof/>
                  <w:lang w:val="en-US"/>
                </w:rPr>
                <w:t xml:space="preserve"> (2016), "Workplaces and policy spaces: insights from third sector internships Scotland", </w:t>
              </w:r>
              <w:hyperlink r:id="rId14" w:history="1">
                <w:r w:rsidR="00BD1DAE" w:rsidRPr="00CE6D9C">
                  <w:rPr>
                    <w:rFonts w:ascii="Times New Roman" w:hAnsi="Times New Roman" w:cs="Times New Roman"/>
                    <w:noProof/>
                    <w:lang w:val="en-US"/>
                  </w:rPr>
                  <w:t>Higher Education, Skills and Work-Based Learning</w:t>
                </w:r>
              </w:hyperlink>
              <w:r w:rsidR="00BD1DAE" w:rsidRPr="00CE6D9C">
                <w:rPr>
                  <w:rFonts w:ascii="Times New Roman" w:hAnsi="Times New Roman" w:cs="Times New Roman"/>
                  <w:noProof/>
                  <w:lang w:val="en-US"/>
                </w:rPr>
                <w:t xml:space="preserve">, Vol. 6 No. 2, pp. 162-177. </w:t>
              </w:r>
              <w:hyperlink r:id="rId15" w:tooltip="DOI: https://doi.org/10.1108/HESWBL-07-2015-0039" w:history="1">
                <w:r w:rsidR="00BD1DAE" w:rsidRPr="00CE6D9C">
                  <w:rPr>
                    <w:rFonts w:ascii="Times New Roman" w:hAnsi="Times New Roman" w:cs="Times New Roman"/>
                    <w:noProof/>
                    <w:lang w:val="en-US"/>
                  </w:rPr>
                  <w:t>https://doi.org/10.1108/HESWBL-07-2015-0039</w:t>
                </w:r>
              </w:hyperlink>
              <w:r w:rsidR="00BD1DAE" w:rsidRPr="00CE6D9C">
                <w:rPr>
                  <w:rFonts w:ascii="Times New Roman" w:hAnsi="Times New Roman" w:cs="Times New Roman"/>
                  <w:noProof/>
                  <w:lang w:val="en-US"/>
                </w:rPr>
                <w:t xml:space="preserve"> </w:t>
              </w:r>
            </w:p>
            <w:p w14:paraId="2AA2E590" w14:textId="77777777" w:rsidR="00BD1DAE" w:rsidRPr="00BD1DAE" w:rsidRDefault="00BD1DAE" w:rsidP="00BD1DAE">
              <w:pPr>
                <w:rPr>
                  <w:rFonts w:ascii="Times New Roman" w:hAnsi="Times New Roman" w:cs="Times New Roman"/>
                  <w:lang w:val="en-GB"/>
                </w:rPr>
              </w:pPr>
            </w:p>
            <w:p w14:paraId="72A249BD" w14:textId="77777777" w:rsidR="00BD1DAE" w:rsidRPr="00CE6D9C" w:rsidRDefault="00BD1DAE" w:rsidP="00BD1DAE">
              <w:pPr>
                <w:rPr>
                  <w:rFonts w:ascii="Times New Roman" w:hAnsi="Times New Roman" w:cs="Times New Roman"/>
                  <w:lang w:val="en-GB"/>
                </w:rPr>
              </w:pPr>
            </w:p>
            <w:p w14:paraId="6C1AC790" w14:textId="77777777" w:rsidR="00BD1DAE" w:rsidRPr="00CE6D9C" w:rsidRDefault="00BD1DAE" w:rsidP="00BD1DAE">
              <w:pPr>
                <w:rPr>
                  <w:rFonts w:ascii="Times New Roman" w:hAnsi="Times New Roman" w:cs="Times New Roman"/>
                  <w:lang w:val="en-GB"/>
                </w:rPr>
              </w:pPr>
            </w:p>
            <w:p w14:paraId="7712FBEA" w14:textId="77777777" w:rsidR="00BD1DAE" w:rsidRPr="00CE6D9C" w:rsidRDefault="00BD1DAE" w:rsidP="00BD1DAE">
              <w:pPr>
                <w:rPr>
                  <w:rFonts w:ascii="Times New Roman" w:hAnsi="Times New Roman" w:cs="Times New Roman"/>
                  <w:lang w:val="en-GB"/>
                </w:rPr>
              </w:pPr>
            </w:p>
            <w:p w14:paraId="332FC6F2" w14:textId="77777777" w:rsidR="005F30BB" w:rsidRDefault="005F30BB" w:rsidP="003D7B6A">
              <w:pPr>
                <w:jc w:val="both"/>
              </w:pPr>
              <w:r w:rsidRPr="00CE6D9C">
                <w:rPr>
                  <w:rFonts w:ascii="Times New Roman" w:hAnsi="Times New Roman" w:cs="Times New Roman"/>
                  <w:b/>
                  <w:bCs/>
                  <w:noProof/>
                </w:rPr>
                <w:fldChar w:fldCharType="end"/>
              </w:r>
            </w:p>
          </w:sdtContent>
        </w:sdt>
      </w:sdtContent>
    </w:sdt>
    <w:p w14:paraId="4AF00370" w14:textId="77777777" w:rsidR="005F30BB" w:rsidRPr="005F30BB" w:rsidRDefault="005F30BB" w:rsidP="005F30BB">
      <w:pPr>
        <w:spacing w:line="276" w:lineRule="auto"/>
        <w:jc w:val="both"/>
        <w:rPr>
          <w:lang w:val="it-IT"/>
        </w:rPr>
      </w:pPr>
    </w:p>
    <w:p w14:paraId="74C0AB23" w14:textId="77777777" w:rsidR="004A3A51" w:rsidRPr="005F30BB" w:rsidRDefault="004A3A51" w:rsidP="005F30BB">
      <w:pPr>
        <w:jc w:val="both"/>
        <w:rPr>
          <w:sz w:val="24"/>
          <w:szCs w:val="24"/>
          <w:lang w:val="it-IT"/>
        </w:rPr>
      </w:pPr>
    </w:p>
    <w:sectPr w:rsidR="004A3A51" w:rsidRPr="005F30BB" w:rsidSect="00DF6FD1">
      <w:footerReference w:type="even" r:id="rId16"/>
      <w:footerReference w:type="default" r:id="rId17"/>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F7786" w14:textId="77777777" w:rsidR="00273872" w:rsidRDefault="00273872" w:rsidP="004A3A51">
      <w:pPr>
        <w:spacing w:after="0" w:line="240" w:lineRule="auto"/>
      </w:pPr>
      <w:r>
        <w:separator/>
      </w:r>
    </w:p>
  </w:endnote>
  <w:endnote w:type="continuationSeparator" w:id="0">
    <w:p w14:paraId="77E296B5" w14:textId="77777777" w:rsidR="00273872" w:rsidRDefault="00273872" w:rsidP="004A3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39098835"/>
      <w:docPartObj>
        <w:docPartGallery w:val="Page Numbers (Bottom of Page)"/>
        <w:docPartUnique/>
      </w:docPartObj>
    </w:sdtPr>
    <w:sdtEndPr>
      <w:rPr>
        <w:rStyle w:val="PageNumber"/>
      </w:rPr>
    </w:sdtEndPr>
    <w:sdtContent>
      <w:p w14:paraId="06A139D0" w14:textId="77777777" w:rsidR="004A3A51" w:rsidRDefault="004A3A51" w:rsidP="00446C5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338CD8" w14:textId="77777777" w:rsidR="004A3A51" w:rsidRDefault="004A3A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1446044"/>
      <w:docPartObj>
        <w:docPartGallery w:val="Page Numbers (Bottom of Page)"/>
        <w:docPartUnique/>
      </w:docPartObj>
    </w:sdtPr>
    <w:sdtEndPr>
      <w:rPr>
        <w:rStyle w:val="PageNumber"/>
        <w:rFonts w:ascii="Times New Roman" w:hAnsi="Times New Roman" w:cs="Times New Roman"/>
      </w:rPr>
    </w:sdtEndPr>
    <w:sdtContent>
      <w:p w14:paraId="5FAD755F" w14:textId="77777777" w:rsidR="004A3A51" w:rsidRDefault="004A3A51" w:rsidP="00446C5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C7C9C13" w14:textId="77777777" w:rsidR="004A3A51" w:rsidRDefault="004A3A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A19A7" w14:textId="77777777" w:rsidR="00273872" w:rsidRDefault="00273872" w:rsidP="004A3A51">
      <w:pPr>
        <w:spacing w:after="0" w:line="240" w:lineRule="auto"/>
      </w:pPr>
      <w:r>
        <w:separator/>
      </w:r>
    </w:p>
  </w:footnote>
  <w:footnote w:type="continuationSeparator" w:id="0">
    <w:p w14:paraId="5C57F7DB" w14:textId="77777777" w:rsidR="00273872" w:rsidRDefault="00273872" w:rsidP="004A3A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95B5B"/>
    <w:multiLevelType w:val="hybridMultilevel"/>
    <w:tmpl w:val="E22E84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8B2FD7"/>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A7A84"/>
    <w:multiLevelType w:val="hybridMultilevel"/>
    <w:tmpl w:val="8482DE6A"/>
    <w:lvl w:ilvl="0" w:tplc="B1861958">
      <w:start w:val="1"/>
      <w:numFmt w:val="decimal"/>
      <w:lvlText w:val="%1."/>
      <w:lvlJc w:val="left"/>
      <w:pPr>
        <w:ind w:left="720" w:hanging="360"/>
      </w:pPr>
      <w:rPr>
        <w:rFonts w:ascii="Times New Roman" w:hAnsi="Times New Roman" w:cs="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46539C"/>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C141147"/>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C181445"/>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8231AD7"/>
    <w:multiLevelType w:val="hybridMultilevel"/>
    <w:tmpl w:val="45CE6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DF120E9"/>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66826168">
    <w:abstractNumId w:val="5"/>
  </w:num>
  <w:num w:numId="2" w16cid:durableId="347215217">
    <w:abstractNumId w:val="6"/>
  </w:num>
  <w:num w:numId="3" w16cid:durableId="1111317259">
    <w:abstractNumId w:val="4"/>
  </w:num>
  <w:num w:numId="4" w16cid:durableId="642394087">
    <w:abstractNumId w:val="3"/>
  </w:num>
  <w:num w:numId="5" w16cid:durableId="1775902773">
    <w:abstractNumId w:val="7"/>
  </w:num>
  <w:num w:numId="6" w16cid:durableId="1882210599">
    <w:abstractNumId w:val="1"/>
  </w:num>
  <w:num w:numId="7" w16cid:durableId="2118980703">
    <w:abstractNumId w:val="0"/>
  </w:num>
  <w:num w:numId="8" w16cid:durableId="18901466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5AF"/>
    <w:rsid w:val="000A5154"/>
    <w:rsid w:val="001233AE"/>
    <w:rsid w:val="001F2F45"/>
    <w:rsid w:val="00201551"/>
    <w:rsid w:val="00273872"/>
    <w:rsid w:val="0027678D"/>
    <w:rsid w:val="003B0096"/>
    <w:rsid w:val="003D7B6A"/>
    <w:rsid w:val="003E2444"/>
    <w:rsid w:val="003F250C"/>
    <w:rsid w:val="00446C52"/>
    <w:rsid w:val="004A057B"/>
    <w:rsid w:val="004A3A51"/>
    <w:rsid w:val="004A50B7"/>
    <w:rsid w:val="004D69C6"/>
    <w:rsid w:val="005A6F63"/>
    <w:rsid w:val="005D15AF"/>
    <w:rsid w:val="005F30BB"/>
    <w:rsid w:val="00682B3B"/>
    <w:rsid w:val="007B4B81"/>
    <w:rsid w:val="00836CF1"/>
    <w:rsid w:val="00A542D0"/>
    <w:rsid w:val="00BD1DAE"/>
    <w:rsid w:val="00C85660"/>
    <w:rsid w:val="00CA7DF2"/>
    <w:rsid w:val="00CB4F16"/>
    <w:rsid w:val="00CE6D9C"/>
    <w:rsid w:val="00D725F2"/>
    <w:rsid w:val="00DF6FD1"/>
    <w:rsid w:val="00E253DB"/>
    <w:rsid w:val="00F03C13"/>
    <w:rsid w:val="00F66A46"/>
    <w:rsid w:val="00F7270D"/>
    <w:rsid w:val="00FF7B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6156C"/>
  <w15:chartTrackingRefBased/>
  <w15:docId w15:val="{6A373125-7990-104E-8663-8DECC21A1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5AF"/>
    <w:pPr>
      <w:spacing w:after="160" w:line="259" w:lineRule="auto"/>
    </w:pPr>
    <w:rPr>
      <w:sz w:val="22"/>
      <w:szCs w:val="22"/>
      <w:lang w:val="es-ES"/>
    </w:rPr>
  </w:style>
  <w:style w:type="paragraph" w:styleId="Heading1">
    <w:name w:val="heading 1"/>
    <w:basedOn w:val="Normal"/>
    <w:next w:val="Normal"/>
    <w:link w:val="Heading1Char"/>
    <w:uiPriority w:val="9"/>
    <w:qFormat/>
    <w:rsid w:val="005F30BB"/>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val="it-IT" w:eastAsia="it-IT"/>
    </w:rPr>
  </w:style>
  <w:style w:type="paragraph" w:styleId="Heading2">
    <w:name w:val="heading 2"/>
    <w:basedOn w:val="Normal"/>
    <w:next w:val="Normal"/>
    <w:link w:val="Heading2Char"/>
    <w:uiPriority w:val="9"/>
    <w:unhideWhenUsed/>
    <w:qFormat/>
    <w:rsid w:val="003D7B6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1DA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A3A51"/>
    <w:pPr>
      <w:tabs>
        <w:tab w:val="center" w:pos="4819"/>
        <w:tab w:val="right" w:pos="9638"/>
      </w:tabs>
      <w:spacing w:after="0" w:line="240" w:lineRule="auto"/>
    </w:pPr>
  </w:style>
  <w:style w:type="character" w:customStyle="1" w:styleId="FooterChar">
    <w:name w:val="Footer Char"/>
    <w:basedOn w:val="DefaultParagraphFont"/>
    <w:link w:val="Footer"/>
    <w:uiPriority w:val="99"/>
    <w:rsid w:val="004A3A51"/>
    <w:rPr>
      <w:sz w:val="22"/>
      <w:szCs w:val="22"/>
      <w:lang w:val="es-ES"/>
    </w:rPr>
  </w:style>
  <w:style w:type="character" w:styleId="PageNumber">
    <w:name w:val="page number"/>
    <w:basedOn w:val="DefaultParagraphFont"/>
    <w:uiPriority w:val="99"/>
    <w:semiHidden/>
    <w:unhideWhenUsed/>
    <w:rsid w:val="004A3A51"/>
  </w:style>
  <w:style w:type="paragraph" w:styleId="Header">
    <w:name w:val="header"/>
    <w:basedOn w:val="Normal"/>
    <w:link w:val="HeaderChar"/>
    <w:uiPriority w:val="99"/>
    <w:unhideWhenUsed/>
    <w:rsid w:val="004A3A51"/>
    <w:pPr>
      <w:tabs>
        <w:tab w:val="center" w:pos="4819"/>
        <w:tab w:val="right" w:pos="9638"/>
      </w:tabs>
      <w:spacing w:after="0" w:line="240" w:lineRule="auto"/>
    </w:pPr>
  </w:style>
  <w:style w:type="character" w:customStyle="1" w:styleId="HeaderChar">
    <w:name w:val="Header Char"/>
    <w:basedOn w:val="DefaultParagraphFont"/>
    <w:link w:val="Header"/>
    <w:uiPriority w:val="99"/>
    <w:rsid w:val="004A3A51"/>
    <w:rPr>
      <w:sz w:val="22"/>
      <w:szCs w:val="22"/>
      <w:lang w:val="es-ES"/>
    </w:rPr>
  </w:style>
  <w:style w:type="character" w:customStyle="1" w:styleId="Heading1Char">
    <w:name w:val="Heading 1 Char"/>
    <w:basedOn w:val="DefaultParagraphFont"/>
    <w:link w:val="Heading1"/>
    <w:uiPriority w:val="9"/>
    <w:rsid w:val="005F30BB"/>
    <w:rPr>
      <w:rFonts w:asciiTheme="majorHAnsi" w:eastAsiaTheme="majorEastAsia" w:hAnsiTheme="majorHAnsi" w:cstheme="majorBidi"/>
      <w:b/>
      <w:bCs/>
      <w:color w:val="2F5496" w:themeColor="accent1" w:themeShade="BF"/>
      <w:sz w:val="28"/>
      <w:szCs w:val="28"/>
      <w:lang w:eastAsia="it-IT"/>
    </w:rPr>
  </w:style>
  <w:style w:type="paragraph" w:styleId="Bibliography">
    <w:name w:val="Bibliography"/>
    <w:basedOn w:val="Normal"/>
    <w:next w:val="Normal"/>
    <w:uiPriority w:val="37"/>
    <w:unhideWhenUsed/>
    <w:rsid w:val="005F30BB"/>
  </w:style>
  <w:style w:type="paragraph" w:styleId="ListParagraph">
    <w:name w:val="List Paragraph"/>
    <w:basedOn w:val="Normal"/>
    <w:uiPriority w:val="34"/>
    <w:qFormat/>
    <w:rsid w:val="00836CF1"/>
    <w:pPr>
      <w:ind w:left="720"/>
      <w:contextualSpacing/>
    </w:pPr>
  </w:style>
  <w:style w:type="character" w:styleId="CommentReference">
    <w:name w:val="annotation reference"/>
    <w:basedOn w:val="DefaultParagraphFont"/>
    <w:uiPriority w:val="99"/>
    <w:semiHidden/>
    <w:unhideWhenUsed/>
    <w:rsid w:val="00A542D0"/>
    <w:rPr>
      <w:sz w:val="16"/>
      <w:szCs w:val="16"/>
    </w:rPr>
  </w:style>
  <w:style w:type="paragraph" w:styleId="CommentText">
    <w:name w:val="annotation text"/>
    <w:basedOn w:val="Normal"/>
    <w:link w:val="CommentTextChar"/>
    <w:uiPriority w:val="99"/>
    <w:semiHidden/>
    <w:unhideWhenUsed/>
    <w:rsid w:val="00A542D0"/>
    <w:pPr>
      <w:spacing w:line="240" w:lineRule="auto"/>
    </w:pPr>
    <w:rPr>
      <w:sz w:val="20"/>
      <w:szCs w:val="20"/>
      <w:lang w:val="de-DE"/>
    </w:rPr>
  </w:style>
  <w:style w:type="character" w:customStyle="1" w:styleId="CommentTextChar">
    <w:name w:val="Comment Text Char"/>
    <w:basedOn w:val="DefaultParagraphFont"/>
    <w:link w:val="CommentText"/>
    <w:uiPriority w:val="99"/>
    <w:semiHidden/>
    <w:rsid w:val="00A542D0"/>
    <w:rPr>
      <w:sz w:val="20"/>
      <w:szCs w:val="20"/>
      <w:lang w:val="de-DE"/>
    </w:rPr>
  </w:style>
  <w:style w:type="character" w:customStyle="1" w:styleId="viiyi">
    <w:name w:val="viiyi"/>
    <w:basedOn w:val="DefaultParagraphFont"/>
    <w:rsid w:val="00A542D0"/>
  </w:style>
  <w:style w:type="character" w:customStyle="1" w:styleId="jlqj4b">
    <w:name w:val="jlqj4b"/>
    <w:basedOn w:val="DefaultParagraphFont"/>
    <w:rsid w:val="00A542D0"/>
  </w:style>
  <w:style w:type="paragraph" w:styleId="BalloonText">
    <w:name w:val="Balloon Text"/>
    <w:basedOn w:val="Normal"/>
    <w:link w:val="BalloonTextChar"/>
    <w:uiPriority w:val="99"/>
    <w:semiHidden/>
    <w:unhideWhenUsed/>
    <w:rsid w:val="00A542D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542D0"/>
    <w:rPr>
      <w:rFonts w:ascii="Times New Roman" w:hAnsi="Times New Roman" w:cs="Times New Roman"/>
      <w:sz w:val="18"/>
      <w:szCs w:val="18"/>
      <w:lang w:val="es-ES"/>
    </w:rPr>
  </w:style>
  <w:style w:type="character" w:customStyle="1" w:styleId="Heading2Char">
    <w:name w:val="Heading 2 Char"/>
    <w:basedOn w:val="DefaultParagraphFont"/>
    <w:link w:val="Heading2"/>
    <w:uiPriority w:val="9"/>
    <w:rsid w:val="003D7B6A"/>
    <w:rPr>
      <w:rFonts w:asciiTheme="majorHAnsi" w:eastAsiaTheme="majorEastAsia" w:hAnsiTheme="majorHAnsi" w:cstheme="majorBidi"/>
      <w:color w:val="2F5496" w:themeColor="accent1" w:themeShade="BF"/>
      <w:sz w:val="26"/>
      <w:szCs w:val="26"/>
      <w:lang w:val="es-ES"/>
    </w:rPr>
  </w:style>
  <w:style w:type="character" w:customStyle="1" w:styleId="Heading3Char">
    <w:name w:val="Heading 3 Char"/>
    <w:basedOn w:val="DefaultParagraphFont"/>
    <w:link w:val="Heading3"/>
    <w:uiPriority w:val="9"/>
    <w:rsid w:val="00BD1DAE"/>
    <w:rPr>
      <w:rFonts w:asciiTheme="majorHAnsi" w:eastAsiaTheme="majorEastAsia" w:hAnsiTheme="majorHAnsi" w:cstheme="majorBidi"/>
      <w:color w:val="1F3763" w:themeColor="accent1" w:themeShade="7F"/>
      <w:lang w:val="es-ES"/>
    </w:rPr>
  </w:style>
  <w:style w:type="character" w:styleId="Hyperlink">
    <w:name w:val="Hyperlink"/>
    <w:basedOn w:val="DefaultParagraphFont"/>
    <w:uiPriority w:val="99"/>
    <w:unhideWhenUsed/>
    <w:rsid w:val="00BD1DAE"/>
    <w:rPr>
      <w:color w:val="0563C1" w:themeColor="hyperlink"/>
      <w:u w:val="single"/>
    </w:rPr>
  </w:style>
  <w:style w:type="character" w:styleId="UnresolvedMention">
    <w:name w:val="Unresolved Mention"/>
    <w:basedOn w:val="DefaultParagraphFont"/>
    <w:uiPriority w:val="99"/>
    <w:semiHidden/>
    <w:unhideWhenUsed/>
    <w:rsid w:val="00BD1DAE"/>
    <w:rPr>
      <w:color w:val="605E5C"/>
      <w:shd w:val="clear" w:color="auto" w:fill="E1DFDD"/>
    </w:rPr>
  </w:style>
  <w:style w:type="paragraph" w:styleId="NormalWeb">
    <w:name w:val="Normal (Web)"/>
    <w:basedOn w:val="Normal"/>
    <w:uiPriority w:val="99"/>
    <w:semiHidden/>
    <w:unhideWhenUsed/>
    <w:rsid w:val="00BD1DAE"/>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0017">
      <w:bodyDiv w:val="1"/>
      <w:marLeft w:val="0"/>
      <w:marRight w:val="0"/>
      <w:marTop w:val="0"/>
      <w:marBottom w:val="0"/>
      <w:divBdr>
        <w:top w:val="none" w:sz="0" w:space="0" w:color="auto"/>
        <w:left w:val="none" w:sz="0" w:space="0" w:color="auto"/>
        <w:bottom w:val="none" w:sz="0" w:space="0" w:color="auto"/>
        <w:right w:val="none" w:sz="0" w:space="0" w:color="auto"/>
      </w:divBdr>
    </w:div>
    <w:div w:id="363485775">
      <w:bodyDiv w:val="1"/>
      <w:marLeft w:val="0"/>
      <w:marRight w:val="0"/>
      <w:marTop w:val="0"/>
      <w:marBottom w:val="0"/>
      <w:divBdr>
        <w:top w:val="none" w:sz="0" w:space="0" w:color="auto"/>
        <w:left w:val="none" w:sz="0" w:space="0" w:color="auto"/>
        <w:bottom w:val="none" w:sz="0" w:space="0" w:color="auto"/>
        <w:right w:val="none" w:sz="0" w:space="0" w:color="auto"/>
      </w:divBdr>
    </w:div>
    <w:div w:id="808326598">
      <w:bodyDiv w:val="1"/>
      <w:marLeft w:val="0"/>
      <w:marRight w:val="0"/>
      <w:marTop w:val="0"/>
      <w:marBottom w:val="0"/>
      <w:divBdr>
        <w:top w:val="none" w:sz="0" w:space="0" w:color="auto"/>
        <w:left w:val="none" w:sz="0" w:space="0" w:color="auto"/>
        <w:bottom w:val="none" w:sz="0" w:space="0" w:color="auto"/>
        <w:right w:val="none" w:sz="0" w:space="0" w:color="auto"/>
      </w:divBdr>
    </w:div>
    <w:div w:id="876435767">
      <w:bodyDiv w:val="1"/>
      <w:marLeft w:val="0"/>
      <w:marRight w:val="0"/>
      <w:marTop w:val="0"/>
      <w:marBottom w:val="0"/>
      <w:divBdr>
        <w:top w:val="none" w:sz="0" w:space="0" w:color="auto"/>
        <w:left w:val="none" w:sz="0" w:space="0" w:color="auto"/>
        <w:bottom w:val="none" w:sz="0" w:space="0" w:color="auto"/>
        <w:right w:val="none" w:sz="0" w:space="0" w:color="auto"/>
      </w:divBdr>
    </w:div>
    <w:div w:id="1303274024">
      <w:bodyDiv w:val="1"/>
      <w:marLeft w:val="0"/>
      <w:marRight w:val="0"/>
      <w:marTop w:val="0"/>
      <w:marBottom w:val="0"/>
      <w:divBdr>
        <w:top w:val="none" w:sz="0" w:space="0" w:color="auto"/>
        <w:left w:val="none" w:sz="0" w:space="0" w:color="auto"/>
        <w:bottom w:val="none" w:sz="0" w:space="0" w:color="auto"/>
        <w:right w:val="none" w:sz="0" w:space="0" w:color="auto"/>
      </w:divBdr>
    </w:div>
    <w:div w:id="1365135454">
      <w:bodyDiv w:val="1"/>
      <w:marLeft w:val="0"/>
      <w:marRight w:val="0"/>
      <w:marTop w:val="0"/>
      <w:marBottom w:val="0"/>
      <w:divBdr>
        <w:top w:val="none" w:sz="0" w:space="0" w:color="auto"/>
        <w:left w:val="none" w:sz="0" w:space="0" w:color="auto"/>
        <w:bottom w:val="none" w:sz="0" w:space="0" w:color="auto"/>
        <w:right w:val="none" w:sz="0" w:space="0" w:color="auto"/>
      </w:divBdr>
    </w:div>
    <w:div w:id="158761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erald.com/insight/search?q=Martha%20Caddel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merald.com/insight/search?q=Ann%20Peg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eurostat/statistics-explained/pdfscache/20434.pdf" TargetMode="External"/><Relationship Id="rId5" Type="http://schemas.openxmlformats.org/officeDocument/2006/relationships/numbering" Target="numbering.xml"/><Relationship Id="rId15" Type="http://schemas.openxmlformats.org/officeDocument/2006/relationships/hyperlink" Target="https://doi.org/10.1108/HESWBL-07-2015-0039"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merald.com/insight/publication/issn/2042-3896"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pVersion xmlns="136e957d-1c57-4495-b34e-623ac9045f77" xsi:nil="true"/>
    <NotebookType xmlns="136e957d-1c57-4495-b34e-623ac9045f77" xsi:nil="true"/>
    <TeamsChannelId xmlns="136e957d-1c57-4495-b34e-623ac9045f77" xsi:nil="true"/>
    <CultureName xmlns="136e957d-1c57-4495-b34e-623ac9045f77" xsi:nil="true"/>
    <FolderType xmlns="136e957d-1c57-4495-b34e-623ac9045f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A83941A0029C343B32EE2E1BA3856D4" ma:contentTypeVersion="16" ma:contentTypeDescription="Creare un nuovo documento." ma:contentTypeScope="" ma:versionID="aec850c81d5a3d2465839ef7989408f3">
  <xsd:schema xmlns:xsd="http://www.w3.org/2001/XMLSchema" xmlns:xs="http://www.w3.org/2001/XMLSchema" xmlns:p="http://schemas.microsoft.com/office/2006/metadata/properties" xmlns:ns2="136e957d-1c57-4495-b34e-623ac9045f77" xmlns:ns3="7ef26fbd-b7f6-40c5-babb-cfe0363c2294" targetNamespace="http://schemas.microsoft.com/office/2006/metadata/properties" ma:root="true" ma:fieldsID="0df40bbd2a4e32f60957507c6b8cfcce" ns2:_="" ns3:_="">
    <xsd:import namespace="136e957d-1c57-4495-b34e-623ac9045f77"/>
    <xsd:import namespace="7ef26fbd-b7f6-40c5-babb-cfe0363c22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otebookType" minOccurs="0"/>
                <xsd:element ref="ns2:FolderType" minOccurs="0"/>
                <xsd:element ref="ns2:CultureName" minOccurs="0"/>
                <xsd:element ref="ns2:AppVersion" minOccurs="0"/>
                <xsd:element ref="ns2:TeamsChannelId"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6e957d-1c57-4495-b34e-623ac9045f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f26fbd-b7f6-40c5-babb-cfe0363c2294" elementFormDefault="qualified">
    <xsd:import namespace="http://schemas.microsoft.com/office/2006/documentManagement/types"/>
    <xsd:import namespace="http://schemas.microsoft.com/office/infopath/2007/PartnerControls"/>
    <xsd:element name="SharedWithUsers" ma:index="2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Her16</b:Tag>
    <b:SourceType>BookSection</b:SourceType>
    <b:Guid>{A16F8288-0CF3-BF4F-981F-DFA0B9EC8FB5}</b:Guid>
    <b:LCID>en-US</b:LCID>
    <b:Title>Economic Impact of Education: Evidence and Relevance.</b:Title>
    <b:Year>2016</b:Year>
    <b:BookTitle>The SAGE Handbook of Curriculum, Pedagogy and Assessment</b:BookTitle>
    <b:City>London</b:City>
    <b:Publisher>Sage Publications Ltd.</b:Publisher>
    <b:Author>
      <b:Author>
        <b:NameList>
          <b:Person>
            <b:Last>Hermannsson</b:Last>
            <b:First>Kristinn</b:First>
          </b:Person>
        </b:NameList>
      </b:Author>
      <b:BookAuthor>
        <b:NameList>
          <b:Person>
            <b:Last>Wyse</b:Last>
            <b:First>Dominic</b:First>
          </b:Person>
          <b:Person>
            <b:Last>Hayward</b:Last>
            <b:First>Louise</b:First>
          </b:Person>
          <b:Person>
            <b:Last>Pandya</b:Last>
            <b:First>Jessica</b:First>
          </b:Person>
        </b:NameList>
      </b:BookAuthor>
    </b:Author>
    <b:RefOrder>1</b:RefOrder>
  </b:Source>
  <b:Source>
    <b:Tag>Lin01</b:Tag>
    <b:SourceType>JournalArticle</b:SourceType>
    <b:Guid>{60A1CFF5-439B-A648-80C3-6AEE8E325429}</b:Guid>
    <b:LCID>en-US</b:LCID>
    <b:Title>Insiders versus Outsiders</b:Title>
    <b:JournalName>Journal of Economic Perspectives</b:JournalName>
    <b:Year>2001</b:Year>
    <b:Pages>165–188</b:Pages>
    <b:Author>
      <b:Author>
        <b:NameList>
          <b:Person>
            <b:Last>Lindbeck</b:Last>
            <b:First>Assar</b:First>
          </b:Person>
          <b:Person>
            <b:Last>Snower</b:Last>
            <b:First>Dennis</b:First>
            <b:Middle>J.</b:Middle>
          </b:Person>
        </b:NameList>
      </b:Author>
    </b:Author>
    <b:Volume>15</b:Volume>
    <b:Issue>1</b:Issue>
    <b:RefOrder>2</b:RefOrder>
  </b:Source>
</b:Sources>
</file>

<file path=customXml/itemProps1.xml><?xml version="1.0" encoding="utf-8"?>
<ds:datastoreItem xmlns:ds="http://schemas.openxmlformats.org/officeDocument/2006/customXml" ds:itemID="{89CAF7CA-69CB-400E-B789-BC5EB94F003D}">
  <ds:schemaRefs>
    <ds:schemaRef ds:uri="http://schemas.microsoft.com/office/2006/metadata/properties"/>
    <ds:schemaRef ds:uri="http://schemas.microsoft.com/office/infopath/2007/PartnerControls"/>
    <ds:schemaRef ds:uri="136e957d-1c57-4495-b34e-623ac9045f77"/>
  </ds:schemaRefs>
</ds:datastoreItem>
</file>

<file path=customXml/itemProps2.xml><?xml version="1.0" encoding="utf-8"?>
<ds:datastoreItem xmlns:ds="http://schemas.openxmlformats.org/officeDocument/2006/customXml" ds:itemID="{7AF98CB1-C470-45B1-B720-090DB021F52D}">
  <ds:schemaRefs>
    <ds:schemaRef ds:uri="http://schemas.microsoft.com/sharepoint/v3/contenttype/forms"/>
  </ds:schemaRefs>
</ds:datastoreItem>
</file>

<file path=customXml/itemProps3.xml><?xml version="1.0" encoding="utf-8"?>
<ds:datastoreItem xmlns:ds="http://schemas.openxmlformats.org/officeDocument/2006/customXml" ds:itemID="{7B6A67B0-86AE-42B8-9F02-65BC3922E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6e957d-1c57-4495-b34e-623ac9045f77"/>
    <ds:schemaRef ds:uri="7ef26fbd-b7f6-40c5-babb-cfe0363c22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E6636B-1F42-544B-B09B-7CEB1B8A6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1765</Words>
  <Characters>10062</Characters>
  <Application>Microsoft Office Word</Application>
  <DocSecurity>0</DocSecurity>
  <Lines>83</Lines>
  <Paragraphs>23</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Fusaro</dc:creator>
  <cp:keywords/>
  <dc:description/>
  <cp:lastModifiedBy>Deirdre Kelly</cp:lastModifiedBy>
  <cp:revision>6</cp:revision>
  <dcterms:created xsi:type="dcterms:W3CDTF">2022-06-07T15:34:00Z</dcterms:created>
  <dcterms:modified xsi:type="dcterms:W3CDTF">2022-06-11T14:55:00Z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0x010100FA83941A0029C343B32EE2E1BA3856D4</vt:lpwstr>
  </property>
</Properties>
</file>