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D64631" w14:textId="0B9B380E" w:rsidR="006050C4" w:rsidRDefault="00F00460" w:rsidP="00BD6755">
      <w:pPr>
        <w:pStyle w:val="Heading1"/>
        <w:jc w:val="center"/>
      </w:pPr>
      <w:r>
        <w:t>Safety Induction Certificate</w:t>
      </w:r>
    </w:p>
    <w:p w14:paraId="55AB7AEE" w14:textId="77777777" w:rsidR="00BD6755" w:rsidRDefault="00760A51" w:rsidP="00760A51">
      <w:pPr>
        <w:spacing w:beforeLines="60" w:before="144" w:afterLines="60" w:after="144"/>
        <w:contextualSpacing/>
      </w:pPr>
      <w:r>
        <w:t xml:space="preserve">The new starter and their supervisor should complete this form together. </w:t>
      </w:r>
    </w:p>
    <w:p w14:paraId="724F5E95" w14:textId="3A971C8F" w:rsidR="00F00460" w:rsidRDefault="00760A51" w:rsidP="00760A51">
      <w:pPr>
        <w:spacing w:beforeLines="60" w:before="144" w:afterLines="60" w:after="144"/>
        <w:contextualSpacing/>
      </w:pPr>
      <w:r>
        <w:t>The supervisor should initial each of the boxes</w:t>
      </w:r>
      <w:r w:rsidR="00BD6755">
        <w:t xml:space="preserve"> covered </w:t>
      </w:r>
      <w:r>
        <w:t>or indicate not applicable where appropriate.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164"/>
        <w:gridCol w:w="9321"/>
      </w:tblGrid>
      <w:tr w:rsidR="00BD6755" w14:paraId="04743CAA" w14:textId="77777777" w:rsidTr="00BD6755">
        <w:tc>
          <w:tcPr>
            <w:tcW w:w="10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14:paraId="1EAB91F0" w14:textId="4ADAB5A5" w:rsidR="00BD6755" w:rsidRDefault="00BD6755" w:rsidP="004924B1">
            <w:r>
              <w:t>Supervisor</w:t>
            </w:r>
          </w:p>
          <w:p w14:paraId="3A7F97DA" w14:textId="11FFD56E" w:rsidR="00760A51" w:rsidRDefault="00760A51" w:rsidP="004924B1">
            <w:r>
              <w:t>Initial or N/A</w:t>
            </w:r>
          </w:p>
        </w:tc>
        <w:tc>
          <w:tcPr>
            <w:tcW w:w="940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000000" w:themeFill="text1"/>
          </w:tcPr>
          <w:p w14:paraId="4BF155C5" w14:textId="0F31400B" w:rsidR="00760A51" w:rsidRDefault="00760A51" w:rsidP="00760A51">
            <w:pPr>
              <w:spacing w:beforeLines="60" w:before="144" w:afterLines="60" w:after="144"/>
              <w:contextualSpacing/>
            </w:pPr>
          </w:p>
        </w:tc>
      </w:tr>
      <w:tr w:rsidR="00760A51" w14:paraId="0F941392" w14:textId="77777777" w:rsidTr="00BD6755">
        <w:tc>
          <w:tcPr>
            <w:tcW w:w="10485" w:type="dxa"/>
            <w:gridSpan w:val="2"/>
            <w:tcBorders>
              <w:top w:val="single" w:sz="4" w:space="0" w:color="FFFFFF" w:themeColor="background1"/>
            </w:tcBorders>
          </w:tcPr>
          <w:p w14:paraId="14B0A298" w14:textId="73E5ADDD" w:rsidR="00760A51" w:rsidRPr="00BD6755" w:rsidRDefault="00760A51" w:rsidP="00BD6755">
            <w:pPr>
              <w:pStyle w:val="Heading2"/>
            </w:pPr>
            <w:r>
              <w:t>School Safety Induction</w:t>
            </w:r>
            <w:r w:rsidR="00BD6755">
              <w:t xml:space="preserve"> </w:t>
            </w:r>
          </w:p>
          <w:p w14:paraId="347F37FF" w14:textId="4057413D" w:rsidR="00760A51" w:rsidRDefault="00760A51" w:rsidP="00BD6755">
            <w:pPr>
              <w:spacing w:before="0" w:after="0"/>
            </w:pPr>
            <w:r>
              <w:t>This section is covered in the</w:t>
            </w:r>
            <w:r>
              <w:t xml:space="preserve"> School</w:t>
            </w:r>
            <w:r>
              <w:t xml:space="preserve"> introduction to safety course but you should go through this to make sure the points are understood and discussed in the context of the </w:t>
            </w:r>
            <w:r>
              <w:t>working environment.</w:t>
            </w:r>
          </w:p>
        </w:tc>
      </w:tr>
      <w:tr w:rsidR="00760A51" w14:paraId="5E8E6847" w14:textId="77777777" w:rsidTr="00BD6755">
        <w:tc>
          <w:tcPr>
            <w:tcW w:w="1077" w:type="dxa"/>
          </w:tcPr>
          <w:p w14:paraId="07E66F98" w14:textId="407D8D5E" w:rsidR="00760A51" w:rsidRDefault="00760A51" w:rsidP="00BD6755"/>
        </w:tc>
        <w:tc>
          <w:tcPr>
            <w:tcW w:w="9408" w:type="dxa"/>
          </w:tcPr>
          <w:p w14:paraId="2E53C3E1" w14:textId="48D54351" w:rsidR="00760A51" w:rsidRDefault="00760A51" w:rsidP="00BD6755">
            <w:r>
              <w:t xml:space="preserve">Explanation of personal responsibility for safe working practices </w:t>
            </w:r>
          </w:p>
        </w:tc>
      </w:tr>
      <w:tr w:rsidR="00760A51" w14:paraId="0573A5AF" w14:textId="77777777" w:rsidTr="00BD6755">
        <w:tc>
          <w:tcPr>
            <w:tcW w:w="1077" w:type="dxa"/>
          </w:tcPr>
          <w:p w14:paraId="184347F5" w14:textId="2BA531AE" w:rsidR="00760A51" w:rsidRDefault="00760A51" w:rsidP="00BD6755"/>
        </w:tc>
        <w:tc>
          <w:tcPr>
            <w:tcW w:w="9408" w:type="dxa"/>
          </w:tcPr>
          <w:p w14:paraId="682C4583" w14:textId="38845564" w:rsidR="00760A51" w:rsidRDefault="00760A51" w:rsidP="00BD6755">
            <w:r>
              <w:t xml:space="preserve">School Safety page as and information source </w:t>
            </w:r>
          </w:p>
        </w:tc>
      </w:tr>
      <w:tr w:rsidR="00760A51" w14:paraId="75447E14" w14:textId="77777777" w:rsidTr="00BD6755">
        <w:tc>
          <w:tcPr>
            <w:tcW w:w="1077" w:type="dxa"/>
          </w:tcPr>
          <w:p w14:paraId="40A7DE0D" w14:textId="7B6FB494" w:rsidR="00760A51" w:rsidRDefault="00760A51" w:rsidP="00BD6755"/>
        </w:tc>
        <w:tc>
          <w:tcPr>
            <w:tcW w:w="9408" w:type="dxa"/>
          </w:tcPr>
          <w:p w14:paraId="02FE6A66" w14:textId="47CCA46F" w:rsidR="00760A51" w:rsidRDefault="00760A51" w:rsidP="00BD6755">
            <w:r>
              <w:t>Other information sources: SEPS, HSE, Home office</w:t>
            </w:r>
          </w:p>
        </w:tc>
      </w:tr>
      <w:tr w:rsidR="00760A51" w14:paraId="568D5408" w14:textId="77777777" w:rsidTr="00BD6755">
        <w:tc>
          <w:tcPr>
            <w:tcW w:w="1077" w:type="dxa"/>
          </w:tcPr>
          <w:p w14:paraId="461AADFD" w14:textId="076F7FD7" w:rsidR="00760A51" w:rsidRDefault="00760A51" w:rsidP="00BD6755"/>
        </w:tc>
        <w:tc>
          <w:tcPr>
            <w:tcW w:w="9408" w:type="dxa"/>
          </w:tcPr>
          <w:p w14:paraId="0891A5AB" w14:textId="10CD1EA1" w:rsidR="00760A51" w:rsidRDefault="00760A51" w:rsidP="00BD6755">
            <w:r>
              <w:t xml:space="preserve">Building security and personal safety </w:t>
            </w:r>
          </w:p>
        </w:tc>
      </w:tr>
      <w:tr w:rsidR="00760A51" w14:paraId="112DE6F2" w14:textId="77777777" w:rsidTr="00BD6755">
        <w:tc>
          <w:tcPr>
            <w:tcW w:w="1077" w:type="dxa"/>
          </w:tcPr>
          <w:p w14:paraId="7FFD3058" w14:textId="5B880823" w:rsidR="00760A51" w:rsidRDefault="00760A51" w:rsidP="00BD6755"/>
        </w:tc>
        <w:tc>
          <w:tcPr>
            <w:tcW w:w="9408" w:type="dxa"/>
          </w:tcPr>
          <w:p w14:paraId="2F34A1BF" w14:textId="281CB3F9" w:rsidR="00760A51" w:rsidRDefault="00760A51" w:rsidP="00BD6755">
            <w:r>
              <w:t>Working hours and lone working</w:t>
            </w:r>
          </w:p>
        </w:tc>
      </w:tr>
      <w:tr w:rsidR="00760A51" w14:paraId="0552C1B1" w14:textId="77777777" w:rsidTr="00BD6755">
        <w:tc>
          <w:tcPr>
            <w:tcW w:w="1077" w:type="dxa"/>
          </w:tcPr>
          <w:p w14:paraId="1C12F21B" w14:textId="0CAD06ED" w:rsidR="00760A51" w:rsidRDefault="00760A51" w:rsidP="00BD6755"/>
        </w:tc>
        <w:tc>
          <w:tcPr>
            <w:tcW w:w="9408" w:type="dxa"/>
          </w:tcPr>
          <w:p w14:paraId="1DDEBF04" w14:textId="703114BF" w:rsidR="00760A51" w:rsidRDefault="00760A51" w:rsidP="00BD6755">
            <w:r>
              <w:t>Reporting of accidents and dangerous occurrences</w:t>
            </w:r>
          </w:p>
        </w:tc>
      </w:tr>
      <w:tr w:rsidR="00760A51" w14:paraId="22E359EE" w14:textId="77777777" w:rsidTr="00BD6755">
        <w:tc>
          <w:tcPr>
            <w:tcW w:w="1077" w:type="dxa"/>
          </w:tcPr>
          <w:p w14:paraId="40BACC53" w14:textId="77777777" w:rsidR="00760A51" w:rsidRDefault="00760A51" w:rsidP="00BD6755"/>
        </w:tc>
        <w:tc>
          <w:tcPr>
            <w:tcW w:w="9408" w:type="dxa"/>
          </w:tcPr>
          <w:p w14:paraId="593D61F2" w14:textId="7DAD9360" w:rsidR="00760A51" w:rsidRDefault="00760A51" w:rsidP="00BD6755">
            <w:r>
              <w:t>Compressed gas and cylinder hazards</w:t>
            </w:r>
            <w:r>
              <w:t xml:space="preserve"> </w:t>
            </w:r>
            <w:r w:rsidR="00BD6755">
              <w:t>on handling transportation and use</w:t>
            </w:r>
          </w:p>
        </w:tc>
      </w:tr>
      <w:tr w:rsidR="00760A51" w14:paraId="66F4DF0C" w14:textId="77777777" w:rsidTr="00BD6755">
        <w:tc>
          <w:tcPr>
            <w:tcW w:w="1077" w:type="dxa"/>
          </w:tcPr>
          <w:p w14:paraId="379A5345" w14:textId="64EF6E43" w:rsidR="00760A51" w:rsidRDefault="00760A51" w:rsidP="00BD6755"/>
        </w:tc>
        <w:tc>
          <w:tcPr>
            <w:tcW w:w="9408" w:type="dxa"/>
          </w:tcPr>
          <w:p w14:paraId="36794FBD" w14:textId="25F5D38E" w:rsidR="00760A51" w:rsidRDefault="00760A51" w:rsidP="00BD6755">
            <w:r>
              <w:t xml:space="preserve">Electrical shock hazards </w:t>
            </w:r>
          </w:p>
        </w:tc>
      </w:tr>
      <w:tr w:rsidR="00760A51" w14:paraId="1DFDC193" w14:textId="77777777" w:rsidTr="00BD6755">
        <w:tc>
          <w:tcPr>
            <w:tcW w:w="10485" w:type="dxa"/>
            <w:gridSpan w:val="2"/>
            <w:tcBorders>
              <w:top w:val="single" w:sz="4" w:space="0" w:color="FFFFFF" w:themeColor="background1"/>
            </w:tcBorders>
          </w:tcPr>
          <w:p w14:paraId="0EFD143B" w14:textId="4014C083" w:rsidR="00760A51" w:rsidRDefault="00760A51" w:rsidP="00BD6755">
            <w:pPr>
              <w:pStyle w:val="Heading2"/>
            </w:pPr>
            <w:r>
              <w:t xml:space="preserve">Local Hazard </w:t>
            </w:r>
            <w:r w:rsidRPr="00BD6755">
              <w:t>Induction</w:t>
            </w:r>
            <w:r>
              <w:t xml:space="preserve"> </w:t>
            </w:r>
          </w:p>
        </w:tc>
      </w:tr>
      <w:tr w:rsidR="00BD6755" w14:paraId="183FEB64" w14:textId="77777777" w:rsidTr="00BD6755">
        <w:tc>
          <w:tcPr>
            <w:tcW w:w="1077" w:type="dxa"/>
          </w:tcPr>
          <w:p w14:paraId="6A65E375" w14:textId="3EBDCAE7" w:rsidR="00760A51" w:rsidRDefault="00760A51" w:rsidP="00BD6755"/>
        </w:tc>
        <w:tc>
          <w:tcPr>
            <w:tcW w:w="9408" w:type="dxa"/>
          </w:tcPr>
          <w:p w14:paraId="61D3DFDC" w14:textId="271AC86E" w:rsidR="00760A51" w:rsidRDefault="00760A51" w:rsidP="00BD6755">
            <w:r>
              <w:t>Storage and management of flammable substances</w:t>
            </w:r>
          </w:p>
        </w:tc>
      </w:tr>
      <w:tr w:rsidR="00760A51" w14:paraId="126458A6" w14:textId="77777777" w:rsidTr="00BD6755">
        <w:tc>
          <w:tcPr>
            <w:tcW w:w="1077" w:type="dxa"/>
          </w:tcPr>
          <w:p w14:paraId="67362774" w14:textId="121DE0CE" w:rsidR="00760A51" w:rsidRDefault="00760A51" w:rsidP="00BD6755"/>
        </w:tc>
        <w:tc>
          <w:tcPr>
            <w:tcW w:w="9408" w:type="dxa"/>
          </w:tcPr>
          <w:p w14:paraId="23947BF6" w14:textId="4987ED17" w:rsidR="00760A51" w:rsidRDefault="00760A51" w:rsidP="00BD6755">
            <w:r>
              <w:t xml:space="preserve">Storage, </w:t>
            </w:r>
            <w:proofErr w:type="gramStart"/>
            <w:r>
              <w:t>management</w:t>
            </w:r>
            <w:proofErr w:type="gramEnd"/>
            <w:r>
              <w:t xml:space="preserve"> and safe use of pyrophoric substances</w:t>
            </w:r>
          </w:p>
        </w:tc>
      </w:tr>
      <w:tr w:rsidR="00760A51" w14:paraId="06B6EDF0" w14:textId="77777777" w:rsidTr="00BD6755">
        <w:tc>
          <w:tcPr>
            <w:tcW w:w="1077" w:type="dxa"/>
          </w:tcPr>
          <w:p w14:paraId="2EA98856" w14:textId="1F45ECFE" w:rsidR="00760A51" w:rsidRDefault="00760A51" w:rsidP="00BD6755"/>
        </w:tc>
        <w:tc>
          <w:tcPr>
            <w:tcW w:w="9408" w:type="dxa"/>
          </w:tcPr>
          <w:p w14:paraId="38E00F47" w14:textId="7E9F6FFB" w:rsidR="00760A51" w:rsidRDefault="00760A51" w:rsidP="00BD6755">
            <w:r>
              <w:t>COSHH: chemical, biological, GM risk assessments</w:t>
            </w:r>
          </w:p>
        </w:tc>
      </w:tr>
      <w:tr w:rsidR="00760A51" w14:paraId="5A893777" w14:textId="77777777" w:rsidTr="00BD6755">
        <w:tc>
          <w:tcPr>
            <w:tcW w:w="1077" w:type="dxa"/>
          </w:tcPr>
          <w:p w14:paraId="32D2CD2E" w14:textId="58A1A1EA" w:rsidR="00760A51" w:rsidRDefault="00760A51" w:rsidP="00BD6755"/>
        </w:tc>
        <w:tc>
          <w:tcPr>
            <w:tcW w:w="9408" w:type="dxa"/>
          </w:tcPr>
          <w:p w14:paraId="5C163201" w14:textId="4597EE37" w:rsidR="00760A51" w:rsidRDefault="00760A51" w:rsidP="00BD6755">
            <w:r>
              <w:t xml:space="preserve">Waste disposal, </w:t>
            </w:r>
            <w:proofErr w:type="gramStart"/>
            <w:r>
              <w:t>management</w:t>
            </w:r>
            <w:proofErr w:type="gramEnd"/>
            <w:r>
              <w:t xml:space="preserve"> and storage: solvent waste; sharps waste; glass waste; other chemical waste.</w:t>
            </w:r>
          </w:p>
        </w:tc>
      </w:tr>
      <w:tr w:rsidR="00760A51" w14:paraId="44732281" w14:textId="77777777" w:rsidTr="00BD6755">
        <w:tc>
          <w:tcPr>
            <w:tcW w:w="1077" w:type="dxa"/>
          </w:tcPr>
          <w:p w14:paraId="5D21A7AC" w14:textId="4BCD7F73" w:rsidR="00760A51" w:rsidRDefault="00760A51" w:rsidP="00BD6755"/>
        </w:tc>
        <w:tc>
          <w:tcPr>
            <w:tcW w:w="9408" w:type="dxa"/>
          </w:tcPr>
          <w:p w14:paraId="6F2A4A59" w14:textId="709A7B89" w:rsidR="00760A51" w:rsidRDefault="00760A51" w:rsidP="00BD6755">
            <w:r>
              <w:t>New starter issued with PPE and instructed in its use</w:t>
            </w:r>
          </w:p>
        </w:tc>
      </w:tr>
      <w:tr w:rsidR="00760A51" w14:paraId="4A14621E" w14:textId="77777777" w:rsidTr="00BD6755">
        <w:tc>
          <w:tcPr>
            <w:tcW w:w="10485" w:type="dxa"/>
            <w:gridSpan w:val="2"/>
            <w:tcBorders>
              <w:top w:val="single" w:sz="4" w:space="0" w:color="FFFFFF" w:themeColor="background1"/>
            </w:tcBorders>
          </w:tcPr>
          <w:p w14:paraId="298E104F" w14:textId="1DF3358D" w:rsidR="00760A51" w:rsidRDefault="00760A51" w:rsidP="00BD6755">
            <w:pPr>
              <w:pStyle w:val="Heading2"/>
            </w:pPr>
            <w:r>
              <w:t>Local Emergency Action</w:t>
            </w:r>
          </w:p>
        </w:tc>
      </w:tr>
      <w:tr w:rsidR="00760A51" w14:paraId="7B0CE907" w14:textId="77777777" w:rsidTr="00BD6755">
        <w:tc>
          <w:tcPr>
            <w:tcW w:w="1077" w:type="dxa"/>
          </w:tcPr>
          <w:p w14:paraId="6844E171" w14:textId="460C4A5C" w:rsidR="00760A51" w:rsidRDefault="00760A51" w:rsidP="00BD6755"/>
        </w:tc>
        <w:tc>
          <w:tcPr>
            <w:tcW w:w="9408" w:type="dxa"/>
          </w:tcPr>
          <w:p w14:paraId="35899B05" w14:textId="1BA8F3B8" w:rsidR="00760A51" w:rsidRDefault="00760A51" w:rsidP="00BD6755">
            <w:r>
              <w:t xml:space="preserve">Evacuation route </w:t>
            </w:r>
          </w:p>
        </w:tc>
      </w:tr>
      <w:tr w:rsidR="00760A51" w14:paraId="6BA77504" w14:textId="77777777" w:rsidTr="00BD6755">
        <w:tc>
          <w:tcPr>
            <w:tcW w:w="1077" w:type="dxa"/>
          </w:tcPr>
          <w:p w14:paraId="13F46533" w14:textId="608D88A2" w:rsidR="00760A51" w:rsidRDefault="00760A51" w:rsidP="00BD6755"/>
        </w:tc>
        <w:tc>
          <w:tcPr>
            <w:tcW w:w="9408" w:type="dxa"/>
          </w:tcPr>
          <w:p w14:paraId="21DB0DA7" w14:textId="3B9A91BE" w:rsidR="00760A51" w:rsidRDefault="00760A51" w:rsidP="00BD6755">
            <w:r>
              <w:t>Location of fire-fighting equipment</w:t>
            </w:r>
          </w:p>
        </w:tc>
      </w:tr>
      <w:tr w:rsidR="00760A51" w14:paraId="592D4FFF" w14:textId="77777777" w:rsidTr="00BD6755">
        <w:tc>
          <w:tcPr>
            <w:tcW w:w="1077" w:type="dxa"/>
          </w:tcPr>
          <w:p w14:paraId="2FCF9C67" w14:textId="30BF8731" w:rsidR="00760A51" w:rsidRDefault="00760A51" w:rsidP="00BD6755"/>
        </w:tc>
        <w:tc>
          <w:tcPr>
            <w:tcW w:w="9408" w:type="dxa"/>
          </w:tcPr>
          <w:p w14:paraId="4AAFE692" w14:textId="33D5ECD5" w:rsidR="00760A51" w:rsidRDefault="00760A51" w:rsidP="00BD6755">
            <w:r>
              <w:t>Location of emergency call points</w:t>
            </w:r>
          </w:p>
        </w:tc>
      </w:tr>
      <w:tr w:rsidR="00760A51" w14:paraId="5604361E" w14:textId="77777777" w:rsidTr="00BD6755">
        <w:tc>
          <w:tcPr>
            <w:tcW w:w="1077" w:type="dxa"/>
          </w:tcPr>
          <w:p w14:paraId="03105976" w14:textId="3EB2428F" w:rsidR="00760A51" w:rsidRDefault="00760A51" w:rsidP="00BD6755"/>
        </w:tc>
        <w:tc>
          <w:tcPr>
            <w:tcW w:w="9408" w:type="dxa"/>
          </w:tcPr>
          <w:p w14:paraId="2544A896" w14:textId="30EB73CF" w:rsidR="00760A51" w:rsidRDefault="00760A51" w:rsidP="00BD6755">
            <w:r>
              <w:t>Location of first aid kit</w:t>
            </w:r>
          </w:p>
        </w:tc>
      </w:tr>
      <w:tr w:rsidR="00760A51" w14:paraId="2D23083A" w14:textId="77777777" w:rsidTr="00BD6755">
        <w:tc>
          <w:tcPr>
            <w:tcW w:w="1077" w:type="dxa"/>
          </w:tcPr>
          <w:p w14:paraId="4A105579" w14:textId="57B04708" w:rsidR="00760A51" w:rsidRDefault="00760A51" w:rsidP="00BD6755"/>
        </w:tc>
        <w:tc>
          <w:tcPr>
            <w:tcW w:w="9408" w:type="dxa"/>
          </w:tcPr>
          <w:p w14:paraId="6FABCEA2" w14:textId="53C68A2A" w:rsidR="00760A51" w:rsidRDefault="00760A51" w:rsidP="00BD6755">
            <w:r>
              <w:t>Location of list of first aid contact details</w:t>
            </w:r>
          </w:p>
        </w:tc>
      </w:tr>
      <w:tr w:rsidR="00760A51" w14:paraId="64BFD987" w14:textId="77777777" w:rsidTr="00BD6755">
        <w:tc>
          <w:tcPr>
            <w:tcW w:w="1077" w:type="dxa"/>
          </w:tcPr>
          <w:p w14:paraId="07E490A5" w14:textId="20A1EB01" w:rsidR="00760A51" w:rsidRDefault="00760A51" w:rsidP="00BD6755"/>
        </w:tc>
        <w:tc>
          <w:tcPr>
            <w:tcW w:w="9408" w:type="dxa"/>
          </w:tcPr>
          <w:p w14:paraId="668DB0AD" w14:textId="02AF4F6B" w:rsidR="00760A51" w:rsidRDefault="00760A51" w:rsidP="00BD6755">
            <w:r>
              <w:t>Emergency procedures</w:t>
            </w:r>
          </w:p>
        </w:tc>
      </w:tr>
      <w:tr w:rsidR="00BD6755" w14:paraId="575525BC" w14:textId="77777777" w:rsidTr="00BD6755">
        <w:tc>
          <w:tcPr>
            <w:tcW w:w="10485" w:type="dxa"/>
            <w:gridSpan w:val="2"/>
            <w:tcBorders>
              <w:top w:val="single" w:sz="4" w:space="0" w:color="FFFFFF" w:themeColor="background1"/>
            </w:tcBorders>
          </w:tcPr>
          <w:p w14:paraId="6506F796" w14:textId="0598C821" w:rsidR="00BD6755" w:rsidRDefault="00BD6755" w:rsidP="004924B1">
            <w:pPr>
              <w:pStyle w:val="Heading2"/>
            </w:pPr>
            <w:r>
              <w:t>COVID 19</w:t>
            </w:r>
          </w:p>
        </w:tc>
      </w:tr>
      <w:tr w:rsidR="00BD6755" w14:paraId="4401C58C" w14:textId="77777777" w:rsidTr="00BD6755">
        <w:tc>
          <w:tcPr>
            <w:tcW w:w="1077" w:type="dxa"/>
          </w:tcPr>
          <w:p w14:paraId="70EC916B" w14:textId="77777777" w:rsidR="00BD6755" w:rsidRDefault="00BD6755" w:rsidP="00BD6755"/>
        </w:tc>
        <w:tc>
          <w:tcPr>
            <w:tcW w:w="9408" w:type="dxa"/>
          </w:tcPr>
          <w:p w14:paraId="3E93B7DF" w14:textId="7B0F00C6" w:rsidR="00BD6755" w:rsidRDefault="00BD6755" w:rsidP="00BD6755">
            <w:r>
              <w:t>University COVID-19 Induction</w:t>
            </w:r>
          </w:p>
        </w:tc>
      </w:tr>
      <w:tr w:rsidR="00BD6755" w14:paraId="5B6E1A44" w14:textId="77777777" w:rsidTr="00BD6755">
        <w:tc>
          <w:tcPr>
            <w:tcW w:w="1077" w:type="dxa"/>
          </w:tcPr>
          <w:p w14:paraId="1304560B" w14:textId="77777777" w:rsidR="00BD6755" w:rsidRDefault="00BD6755" w:rsidP="00BD6755"/>
        </w:tc>
        <w:tc>
          <w:tcPr>
            <w:tcW w:w="9408" w:type="dxa"/>
          </w:tcPr>
          <w:p w14:paraId="286590BB" w14:textId="2C08DE52" w:rsidR="00BD6755" w:rsidRDefault="00BD6755" w:rsidP="00BD6755">
            <w:r>
              <w:t>Local COVID-19 measures</w:t>
            </w:r>
          </w:p>
        </w:tc>
      </w:tr>
    </w:tbl>
    <w:p w14:paraId="77314F10" w14:textId="77777777" w:rsidR="00F00460" w:rsidRDefault="00F00460" w:rsidP="00760A51">
      <w:pPr>
        <w:spacing w:beforeLines="60" w:before="144" w:afterLines="60" w:after="144"/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BD6755" w14:paraId="5943A2F2" w14:textId="77777777" w:rsidTr="00BD6755">
        <w:tc>
          <w:tcPr>
            <w:tcW w:w="5228" w:type="dxa"/>
            <w:tcBorders>
              <w:bottom w:val="single" w:sz="4" w:space="0" w:color="FFFFFF" w:themeColor="background1"/>
            </w:tcBorders>
          </w:tcPr>
          <w:p w14:paraId="774AA7A1" w14:textId="2E686C45" w:rsidR="00BD6755" w:rsidRPr="00BD6755" w:rsidRDefault="00BD6755" w:rsidP="00760A51">
            <w:pPr>
              <w:spacing w:beforeLines="60" w:before="144" w:afterLines="60" w:after="144"/>
              <w:contextualSpacing/>
              <w:rPr>
                <w:b/>
                <w:bCs/>
              </w:rPr>
            </w:pPr>
            <w:r w:rsidRPr="00BD6755">
              <w:rPr>
                <w:b/>
                <w:bCs/>
              </w:rPr>
              <w:t>I CERTIFY THAT I HAVE INDUCTED THE NEW STARTER IN THE AREAS INDICATED ABOVE</w:t>
            </w:r>
          </w:p>
        </w:tc>
        <w:tc>
          <w:tcPr>
            <w:tcW w:w="5228" w:type="dxa"/>
            <w:tcBorders>
              <w:bottom w:val="single" w:sz="4" w:space="0" w:color="FFFFFF" w:themeColor="background1"/>
            </w:tcBorders>
          </w:tcPr>
          <w:p w14:paraId="060DC4CD" w14:textId="770E67CF" w:rsidR="00BD6755" w:rsidRPr="00BD6755" w:rsidRDefault="00BD6755" w:rsidP="00760A51">
            <w:pPr>
              <w:spacing w:beforeLines="60" w:before="144" w:afterLines="60" w:after="144"/>
              <w:contextualSpacing/>
              <w:rPr>
                <w:b/>
                <w:bCs/>
              </w:rPr>
            </w:pPr>
            <w:r w:rsidRPr="00BD6755">
              <w:rPr>
                <w:b/>
                <w:bCs/>
              </w:rPr>
              <w:t>I CERTIFY THAT I HAVE BEEN INDUCTED IN THE AREAS INDICATED ABOVE</w:t>
            </w:r>
          </w:p>
        </w:tc>
      </w:tr>
      <w:tr w:rsidR="00BD6755" w14:paraId="65AC5948" w14:textId="77777777" w:rsidTr="00BD6755">
        <w:trPr>
          <w:trHeight w:val="175"/>
        </w:trPr>
        <w:tc>
          <w:tcPr>
            <w:tcW w:w="0" w:type="auto"/>
            <w:tcBorders>
              <w:top w:val="single" w:sz="4" w:space="0" w:color="FFFFFF" w:themeColor="background1"/>
            </w:tcBorders>
          </w:tcPr>
          <w:p w14:paraId="3934CAD3" w14:textId="3BA082A5" w:rsidR="00BD6755" w:rsidRDefault="00BD6755" w:rsidP="00760A51">
            <w:pPr>
              <w:spacing w:beforeLines="60" w:before="144" w:afterLines="60" w:after="144"/>
              <w:contextualSpacing/>
            </w:pPr>
            <w:r>
              <w:t>Supervisor name:</w:t>
            </w:r>
          </w:p>
          <w:p w14:paraId="792C587B" w14:textId="77777777" w:rsidR="00BD6755" w:rsidRDefault="00BD6755" w:rsidP="00760A51">
            <w:pPr>
              <w:spacing w:beforeLines="60" w:before="144" w:afterLines="60" w:after="144"/>
              <w:contextualSpacing/>
            </w:pPr>
          </w:p>
          <w:p w14:paraId="4443D659" w14:textId="77777777" w:rsidR="00BD6755" w:rsidRDefault="00BD6755" w:rsidP="00760A51">
            <w:pPr>
              <w:spacing w:beforeLines="60" w:before="144" w:afterLines="60" w:after="144"/>
              <w:contextualSpacing/>
            </w:pPr>
            <w:r>
              <w:t>Date:</w:t>
            </w:r>
          </w:p>
          <w:p w14:paraId="31B2603B" w14:textId="77777777" w:rsidR="00BD6755" w:rsidRDefault="00BD6755" w:rsidP="00760A51">
            <w:pPr>
              <w:spacing w:beforeLines="60" w:before="144" w:afterLines="60" w:after="144"/>
              <w:contextualSpacing/>
            </w:pPr>
          </w:p>
          <w:p w14:paraId="70067DBC" w14:textId="77777777" w:rsidR="00BD6755" w:rsidRDefault="00BD6755" w:rsidP="00760A51">
            <w:pPr>
              <w:spacing w:beforeLines="60" w:before="144" w:afterLines="60" w:after="144"/>
              <w:contextualSpacing/>
            </w:pPr>
            <w:r>
              <w:t>Signature:</w:t>
            </w:r>
          </w:p>
          <w:p w14:paraId="14EA84AF" w14:textId="77777777" w:rsidR="00BD6755" w:rsidRDefault="00BD6755" w:rsidP="00760A51">
            <w:pPr>
              <w:spacing w:beforeLines="60" w:before="144" w:afterLines="60" w:after="144"/>
              <w:contextualSpacing/>
            </w:pPr>
          </w:p>
          <w:p w14:paraId="258BC64A" w14:textId="03F0F835" w:rsidR="00BD6755" w:rsidRDefault="00BD6755" w:rsidP="00760A51">
            <w:pPr>
              <w:spacing w:beforeLines="60" w:before="144" w:afterLines="60" w:after="144"/>
              <w:contextualSpacing/>
            </w:pPr>
          </w:p>
        </w:tc>
        <w:tc>
          <w:tcPr>
            <w:tcW w:w="0" w:type="auto"/>
            <w:tcBorders>
              <w:top w:val="single" w:sz="4" w:space="0" w:color="FFFFFF" w:themeColor="background1"/>
            </w:tcBorders>
          </w:tcPr>
          <w:p w14:paraId="3C564280" w14:textId="6B36BFC9" w:rsidR="00BD6755" w:rsidRDefault="00BD6755" w:rsidP="00BD6755">
            <w:pPr>
              <w:spacing w:beforeLines="60" w:before="144" w:afterLines="60" w:after="144"/>
              <w:contextualSpacing/>
            </w:pPr>
            <w:r>
              <w:t>New starter n</w:t>
            </w:r>
            <w:r>
              <w:t>ame:</w:t>
            </w:r>
          </w:p>
          <w:p w14:paraId="544200D7" w14:textId="77777777" w:rsidR="00BD6755" w:rsidRDefault="00BD6755" w:rsidP="00BD6755">
            <w:pPr>
              <w:spacing w:beforeLines="60" w:before="144" w:afterLines="60" w:after="144"/>
              <w:contextualSpacing/>
            </w:pPr>
          </w:p>
          <w:p w14:paraId="032717DE" w14:textId="77777777" w:rsidR="00BD6755" w:rsidRDefault="00BD6755" w:rsidP="00BD6755">
            <w:pPr>
              <w:spacing w:beforeLines="60" w:before="144" w:afterLines="60" w:after="144"/>
              <w:contextualSpacing/>
            </w:pPr>
            <w:r>
              <w:t>Date:</w:t>
            </w:r>
          </w:p>
          <w:p w14:paraId="0DCB585F" w14:textId="77777777" w:rsidR="00BD6755" w:rsidRDefault="00BD6755" w:rsidP="00BD6755">
            <w:pPr>
              <w:spacing w:beforeLines="60" w:before="144" w:afterLines="60" w:after="144"/>
              <w:contextualSpacing/>
            </w:pPr>
          </w:p>
          <w:p w14:paraId="4D09FB3F" w14:textId="77777777" w:rsidR="00BD6755" w:rsidRDefault="00BD6755" w:rsidP="00BD6755">
            <w:pPr>
              <w:spacing w:beforeLines="60" w:before="144" w:afterLines="60" w:after="144"/>
              <w:contextualSpacing/>
            </w:pPr>
            <w:r>
              <w:t>Signature:</w:t>
            </w:r>
          </w:p>
          <w:p w14:paraId="12F87C5A" w14:textId="77777777" w:rsidR="00BD6755" w:rsidRDefault="00BD6755" w:rsidP="00BD6755">
            <w:pPr>
              <w:spacing w:beforeLines="60" w:before="144" w:afterLines="60" w:after="144"/>
              <w:contextualSpacing/>
            </w:pPr>
          </w:p>
          <w:p w14:paraId="7E42D9D9" w14:textId="77777777" w:rsidR="00BD6755" w:rsidRDefault="00BD6755" w:rsidP="00760A51">
            <w:pPr>
              <w:spacing w:beforeLines="60" w:before="144" w:afterLines="60" w:after="144"/>
              <w:contextualSpacing/>
            </w:pPr>
          </w:p>
        </w:tc>
      </w:tr>
    </w:tbl>
    <w:p w14:paraId="0D9D7996" w14:textId="77777777" w:rsidR="00760A51" w:rsidRDefault="00760A51" w:rsidP="00760A51">
      <w:pPr>
        <w:spacing w:beforeLines="60" w:before="144" w:afterLines="60" w:after="144"/>
        <w:contextualSpacing/>
      </w:pPr>
    </w:p>
    <w:sectPr w:rsidR="00760A51" w:rsidSect="00BD67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22105"/>
    <w:multiLevelType w:val="hybridMultilevel"/>
    <w:tmpl w:val="7DA0FDB4"/>
    <w:lvl w:ilvl="0" w:tplc="9B9C52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6359B"/>
    <w:multiLevelType w:val="hybridMultilevel"/>
    <w:tmpl w:val="61D815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60"/>
    <w:rsid w:val="006050C4"/>
    <w:rsid w:val="00760A51"/>
    <w:rsid w:val="00BD6755"/>
    <w:rsid w:val="00F0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EF977"/>
  <w15:chartTrackingRefBased/>
  <w15:docId w15:val="{D507F839-E30B-43BA-9F59-D20C6446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755"/>
    <w:pPr>
      <w:spacing w:before="40" w:after="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60A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6755"/>
    <w:pPr>
      <w:keepNext/>
      <w:keepLines/>
      <w:spacing w:before="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A5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60A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D67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Alistair Boyer</dc:creator>
  <cp:keywords/>
  <dc:description/>
  <cp:lastModifiedBy>Alistair Boyer</cp:lastModifiedBy>
  <cp:revision>1</cp:revision>
  <dcterms:created xsi:type="dcterms:W3CDTF">2020-09-15T12:25:00Z</dcterms:created>
  <dcterms:modified xsi:type="dcterms:W3CDTF">2020-09-15T12:58:00Z</dcterms:modified>
</cp:coreProperties>
</file>