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AD750" w14:textId="77777777" w:rsidR="00781AA0" w:rsidRDefault="00000000">
      <w:pPr>
        <w:pStyle w:val="BodyText"/>
        <w:ind w:left="317"/>
        <w:rPr>
          <w:rFonts w:ascii="Times New Roman"/>
          <w:sz w:val="20"/>
        </w:rPr>
      </w:pPr>
      <w:r>
        <w:rPr>
          <w:rFonts w:ascii="Times New Roman"/>
          <w:noProof/>
          <w:sz w:val="20"/>
        </w:rPr>
        <w:drawing>
          <wp:inline distT="0" distB="0" distL="0" distR="0" wp14:anchorId="3B57482B" wp14:editId="1E787A35">
            <wp:extent cx="2638922" cy="542544"/>
            <wp:effectExtent l="0" t="0" r="0" b="0"/>
            <wp:docPr id="1" name="image1.jpeg" descr="CSO/MRC social and public health sciences unit log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638922" cy="542544"/>
                    </a:xfrm>
                    <a:prstGeom prst="rect">
                      <a:avLst/>
                    </a:prstGeom>
                  </pic:spPr>
                </pic:pic>
              </a:graphicData>
            </a:graphic>
          </wp:inline>
        </w:drawing>
      </w:r>
    </w:p>
    <w:p w14:paraId="1052CDCA" w14:textId="77777777" w:rsidR="00781AA0" w:rsidRDefault="00781AA0">
      <w:pPr>
        <w:pStyle w:val="BodyText"/>
        <w:rPr>
          <w:rFonts w:ascii="Times New Roman"/>
          <w:sz w:val="20"/>
        </w:rPr>
      </w:pPr>
    </w:p>
    <w:p w14:paraId="53AD7AED" w14:textId="77777777" w:rsidR="00781AA0" w:rsidRDefault="00781AA0">
      <w:pPr>
        <w:pStyle w:val="BodyText"/>
        <w:spacing w:before="3"/>
        <w:rPr>
          <w:rFonts w:ascii="Times New Roman"/>
          <w:sz w:val="22"/>
        </w:rPr>
      </w:pPr>
    </w:p>
    <w:p w14:paraId="4151A6F2" w14:textId="77777777" w:rsidR="00781AA0" w:rsidRDefault="00000000">
      <w:pPr>
        <w:spacing w:before="91"/>
        <w:ind w:left="230" w:right="3174"/>
        <w:rPr>
          <w:b/>
          <w:sz w:val="28"/>
        </w:rPr>
      </w:pPr>
      <w:bookmarkStart w:id="0" w:name="Document"/>
      <w:bookmarkStart w:id="1" w:name="Figure"/>
      <w:bookmarkStart w:id="2" w:name="MRC/CSO_Social_and_Public_Health_Science"/>
      <w:bookmarkStart w:id="3" w:name="https://www.who.int/health-topics/alcoho"/>
      <w:bookmarkEnd w:id="0"/>
      <w:bookmarkEnd w:id="1"/>
      <w:bookmarkEnd w:id="2"/>
      <w:bookmarkEnd w:id="3"/>
      <w:r>
        <w:rPr>
          <w:b/>
          <w:sz w:val="28"/>
        </w:rPr>
        <w:t>MRC/CSO Social and Public Health Sciences Unit Consultation Response</w:t>
      </w:r>
    </w:p>
    <w:p w14:paraId="747E6B60" w14:textId="77777777" w:rsidR="00781AA0" w:rsidRDefault="00781AA0">
      <w:pPr>
        <w:rPr>
          <w:b/>
          <w:sz w:val="20"/>
        </w:rPr>
      </w:pPr>
    </w:p>
    <w:p w14:paraId="30EA3D6F" w14:textId="77777777" w:rsidR="00781AA0" w:rsidRDefault="00781AA0">
      <w:pPr>
        <w:spacing w:before="2" w:after="1"/>
        <w:rPr>
          <w:b/>
        </w:r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39"/>
      </w:tblGrid>
      <w:tr w:rsidR="00781AA0" w14:paraId="2C6C6D3A" w14:textId="77777777">
        <w:trPr>
          <w:trHeight w:val="275"/>
        </w:trPr>
        <w:tc>
          <w:tcPr>
            <w:tcW w:w="9739" w:type="dxa"/>
          </w:tcPr>
          <w:p w14:paraId="25439308" w14:textId="77777777" w:rsidR="00781AA0" w:rsidRDefault="00000000">
            <w:pPr>
              <w:pStyle w:val="TableParagraph"/>
              <w:spacing w:line="256" w:lineRule="exact"/>
              <w:rPr>
                <w:b/>
                <w:sz w:val="24"/>
              </w:rPr>
            </w:pPr>
            <w:bookmarkStart w:id="4" w:name="Title_of_consultation_"/>
            <w:bookmarkStart w:id="5" w:name="Web-based_consultation_on_the_implementa"/>
            <w:bookmarkEnd w:id="4"/>
            <w:bookmarkEnd w:id="5"/>
            <w:r>
              <w:rPr>
                <w:b/>
                <w:sz w:val="24"/>
              </w:rPr>
              <w:t>Title of consultation</w:t>
            </w:r>
          </w:p>
        </w:tc>
      </w:tr>
      <w:tr w:rsidR="00781AA0" w14:paraId="65027459" w14:textId="77777777">
        <w:trPr>
          <w:trHeight w:val="760"/>
        </w:trPr>
        <w:tc>
          <w:tcPr>
            <w:tcW w:w="9739" w:type="dxa"/>
          </w:tcPr>
          <w:p w14:paraId="56A7234F" w14:textId="77777777" w:rsidR="00781AA0" w:rsidRDefault="00000000">
            <w:pPr>
              <w:pStyle w:val="TableParagraph"/>
              <w:ind w:right="173"/>
            </w:pPr>
            <w:r>
              <w:rPr>
                <w:color w:val="3B4245"/>
              </w:rPr>
              <w:t>Web-based consultation on the implementation of the WHO global strategy to reduce the harmful use of alcohol since its endorsement, and the way forward</w:t>
            </w:r>
          </w:p>
        </w:tc>
      </w:tr>
      <w:tr w:rsidR="00781AA0" w14:paraId="06277588" w14:textId="77777777">
        <w:trPr>
          <w:trHeight w:val="405"/>
        </w:trPr>
        <w:tc>
          <w:tcPr>
            <w:tcW w:w="9739" w:type="dxa"/>
          </w:tcPr>
          <w:p w14:paraId="2A3674B1" w14:textId="77777777" w:rsidR="00781AA0" w:rsidRDefault="00000000">
            <w:pPr>
              <w:pStyle w:val="TableParagraph"/>
              <w:spacing w:before="62"/>
              <w:rPr>
                <w:b/>
                <w:sz w:val="24"/>
              </w:rPr>
            </w:pPr>
            <w:bookmarkStart w:id="6" w:name="Name_of_the_consulting_body_"/>
            <w:bookmarkEnd w:id="6"/>
            <w:r>
              <w:rPr>
                <w:b/>
                <w:sz w:val="24"/>
              </w:rPr>
              <w:t>Name of the consulting body</w:t>
            </w:r>
          </w:p>
        </w:tc>
      </w:tr>
      <w:tr w:rsidR="00781AA0" w14:paraId="22A33876" w14:textId="77777777">
        <w:trPr>
          <w:trHeight w:val="570"/>
        </w:trPr>
        <w:tc>
          <w:tcPr>
            <w:tcW w:w="9739" w:type="dxa"/>
          </w:tcPr>
          <w:p w14:paraId="32D4A3F8" w14:textId="77777777" w:rsidR="00781AA0" w:rsidRDefault="00000000">
            <w:pPr>
              <w:pStyle w:val="TableParagraph"/>
              <w:spacing w:line="250" w:lineRule="exact"/>
            </w:pPr>
            <w:bookmarkStart w:id="7" w:name="World_Health_Organization_(WHO)_"/>
            <w:bookmarkEnd w:id="7"/>
            <w:r>
              <w:t>World Health Organization (WHO)</w:t>
            </w:r>
          </w:p>
        </w:tc>
      </w:tr>
      <w:tr w:rsidR="00781AA0" w14:paraId="76BD9F22" w14:textId="77777777">
        <w:trPr>
          <w:trHeight w:val="424"/>
        </w:trPr>
        <w:tc>
          <w:tcPr>
            <w:tcW w:w="9739" w:type="dxa"/>
          </w:tcPr>
          <w:p w14:paraId="6AB9D8C3" w14:textId="77777777" w:rsidR="00781AA0" w:rsidRDefault="00000000">
            <w:pPr>
              <w:pStyle w:val="TableParagraph"/>
              <w:spacing w:before="72"/>
              <w:rPr>
                <w:b/>
                <w:sz w:val="24"/>
              </w:rPr>
            </w:pPr>
            <w:bookmarkStart w:id="8" w:name="Link_to_consultation_"/>
            <w:bookmarkEnd w:id="8"/>
            <w:r>
              <w:rPr>
                <w:b/>
                <w:sz w:val="24"/>
              </w:rPr>
              <w:t>Link to consultation</w:t>
            </w:r>
          </w:p>
        </w:tc>
      </w:tr>
      <w:tr w:rsidR="00781AA0" w14:paraId="76F1D1B7" w14:textId="77777777">
        <w:trPr>
          <w:trHeight w:val="558"/>
        </w:trPr>
        <w:tc>
          <w:tcPr>
            <w:tcW w:w="9739" w:type="dxa"/>
          </w:tcPr>
          <w:p w14:paraId="638EC393" w14:textId="77777777" w:rsidR="00781AA0" w:rsidRDefault="00000000">
            <w:pPr>
              <w:pStyle w:val="TableParagraph"/>
            </w:pPr>
            <w:hyperlink r:id="rId8">
              <w:r>
                <w:rPr>
                  <w:color w:val="0000FF"/>
                  <w:u w:val="single" w:color="0000FF"/>
                </w:rPr>
                <w:t>https://www.who.int/health-topics/alcohol/online-consultation</w:t>
              </w:r>
            </w:hyperlink>
          </w:p>
        </w:tc>
      </w:tr>
      <w:tr w:rsidR="00781AA0" w14:paraId="506A9E87" w14:textId="77777777">
        <w:trPr>
          <w:trHeight w:val="563"/>
        </w:trPr>
        <w:tc>
          <w:tcPr>
            <w:tcW w:w="9739" w:type="dxa"/>
          </w:tcPr>
          <w:p w14:paraId="3607483A" w14:textId="77777777" w:rsidR="00781AA0" w:rsidRDefault="00000000">
            <w:pPr>
              <w:pStyle w:val="TableParagraph"/>
              <w:spacing w:before="5" w:line="270" w:lineRule="atLeast"/>
              <w:ind w:right="521"/>
              <w:rPr>
                <w:b/>
                <w:sz w:val="24"/>
              </w:rPr>
            </w:pPr>
            <w:bookmarkStart w:id="9" w:name="Why_did_the_MRC/CSO_Social_and_Public_He"/>
            <w:bookmarkEnd w:id="9"/>
            <w:r>
              <w:rPr>
                <w:b/>
                <w:sz w:val="24"/>
              </w:rPr>
              <w:t>Why did the MRC/CSO Social and Public Health Sciences Unit contribute to this</w:t>
            </w:r>
            <w:bookmarkStart w:id="10" w:name="The_MRC/CSO_Social_and_Public_Health_Sci"/>
            <w:bookmarkEnd w:id="10"/>
            <w:r>
              <w:rPr>
                <w:b/>
                <w:sz w:val="24"/>
              </w:rPr>
              <w:t xml:space="preserve"> consultation?</w:t>
            </w:r>
          </w:p>
        </w:tc>
      </w:tr>
      <w:tr w:rsidR="00781AA0" w14:paraId="1DB7888F" w14:textId="77777777">
        <w:trPr>
          <w:trHeight w:val="1264"/>
        </w:trPr>
        <w:tc>
          <w:tcPr>
            <w:tcW w:w="9739" w:type="dxa"/>
          </w:tcPr>
          <w:p w14:paraId="2550897F" w14:textId="77777777" w:rsidR="00781AA0" w:rsidRDefault="00000000">
            <w:pPr>
              <w:pStyle w:val="TableParagraph"/>
              <w:ind w:right="223"/>
            </w:pPr>
            <w:r>
              <w:t>The MRC/CSO Social and Public Health Sciences Unit at the University of Glasgow conducts world-leading research to understand the determinants of population health and health inequalities, and to develop and test interventions to improve health and reduce inequalities. The Unit is currently working on a Minimum Unit Pricing of Alcohol in Scotland study.</w:t>
            </w:r>
          </w:p>
        </w:tc>
      </w:tr>
      <w:tr w:rsidR="00781AA0" w14:paraId="5427498E" w14:textId="77777777">
        <w:trPr>
          <w:trHeight w:val="383"/>
        </w:trPr>
        <w:tc>
          <w:tcPr>
            <w:tcW w:w="9739" w:type="dxa"/>
          </w:tcPr>
          <w:p w14:paraId="24FE8B00" w14:textId="77777777" w:rsidR="00781AA0" w:rsidRDefault="00000000">
            <w:pPr>
              <w:pStyle w:val="TableParagraph"/>
              <w:spacing w:before="53"/>
              <w:rPr>
                <w:b/>
                <w:sz w:val="24"/>
              </w:rPr>
            </w:pPr>
            <w:bookmarkStart w:id="11" w:name="Our_consultation_response_"/>
            <w:bookmarkEnd w:id="11"/>
            <w:r>
              <w:rPr>
                <w:b/>
                <w:sz w:val="24"/>
              </w:rPr>
              <w:t>Our consultation response</w:t>
            </w:r>
          </w:p>
        </w:tc>
      </w:tr>
      <w:tr w:rsidR="00781AA0" w14:paraId="7A05225E" w14:textId="77777777">
        <w:trPr>
          <w:trHeight w:val="6292"/>
        </w:trPr>
        <w:tc>
          <w:tcPr>
            <w:tcW w:w="9739" w:type="dxa"/>
          </w:tcPr>
          <w:p w14:paraId="023D9C2A" w14:textId="77777777" w:rsidR="00781AA0" w:rsidRDefault="00781AA0">
            <w:pPr>
              <w:pStyle w:val="TableParagraph"/>
              <w:spacing w:before="10"/>
              <w:ind w:left="0"/>
              <w:rPr>
                <w:b/>
                <w:sz w:val="21"/>
              </w:rPr>
            </w:pPr>
          </w:p>
          <w:p w14:paraId="109CA6FE" w14:textId="77777777" w:rsidR="00781AA0" w:rsidRDefault="00000000">
            <w:pPr>
              <w:pStyle w:val="TableParagraph"/>
              <w:spacing w:line="256" w:lineRule="auto"/>
              <w:ind w:left="827" w:right="410" w:hanging="360"/>
            </w:pPr>
            <w:bookmarkStart w:id="12" w:name="1)_What,_in_your_organization’s_view,_ha"/>
            <w:bookmarkEnd w:id="12"/>
            <w:r>
              <w:rPr>
                <w:b/>
              </w:rPr>
              <w:t xml:space="preserve">1) What, in your organization’s view, have been the most important achievements, challenges and setbacks in implementation of the WHO global strategy to reduce the harmful use of alcohol since 2010? </w:t>
            </w:r>
            <w:r>
              <w:t>*</w:t>
            </w:r>
          </w:p>
          <w:p w14:paraId="64BF066F" w14:textId="77777777" w:rsidR="00781AA0" w:rsidRDefault="00000000">
            <w:pPr>
              <w:pStyle w:val="TableParagraph"/>
              <w:spacing w:before="165"/>
              <w:rPr>
                <w:b/>
              </w:rPr>
            </w:pPr>
            <w:r>
              <w:rPr>
                <w:b/>
              </w:rPr>
              <w:t>Achievements</w:t>
            </w:r>
          </w:p>
          <w:p w14:paraId="0F66CEF5" w14:textId="77777777" w:rsidR="00781AA0" w:rsidRDefault="00000000">
            <w:pPr>
              <w:pStyle w:val="TableParagraph"/>
              <w:spacing w:before="1"/>
              <w:ind w:right="210"/>
            </w:pPr>
            <w:r>
              <w:t>Section three of the report essentially tells us that the global alcohol strategy developed by WHO in 2010 has been implemented by informing the development of regional strategies and action plans.</w:t>
            </w:r>
          </w:p>
          <w:p w14:paraId="761E3F6D" w14:textId="77777777" w:rsidR="00781AA0" w:rsidRDefault="00000000">
            <w:pPr>
              <w:pStyle w:val="TableParagraph"/>
              <w:ind w:right="618"/>
              <w:jc w:val="both"/>
            </w:pPr>
            <w:r>
              <w:t>Although it is to be welcomed that binge drinking is reducing in all WHO regions and alcohol- related mortality and morbidity are reducing in some, evaluation is warranted to establish the contribution of WHO policies to these trends.</w:t>
            </w:r>
          </w:p>
          <w:p w14:paraId="0174422C" w14:textId="77777777" w:rsidR="00781AA0" w:rsidRDefault="00781AA0">
            <w:pPr>
              <w:pStyle w:val="TableParagraph"/>
              <w:ind w:left="0"/>
              <w:rPr>
                <w:b/>
              </w:rPr>
            </w:pPr>
          </w:p>
          <w:p w14:paraId="641B31FA" w14:textId="77777777" w:rsidR="00781AA0" w:rsidRDefault="00000000">
            <w:pPr>
              <w:pStyle w:val="TableParagraph"/>
              <w:ind w:right="173"/>
            </w:pPr>
            <w:r>
              <w:t xml:space="preserve">It is good news that more countries have implemented evidence-based alcohol policies, with some countries reporting progress in reducing the availability and restricting the marketing of </w:t>
            </w:r>
            <w:proofErr w:type="gramStart"/>
            <w:r>
              <w:t>alcohol, and</w:t>
            </w:r>
            <w:proofErr w:type="gramEnd"/>
            <w:r>
              <w:t xml:space="preserve"> increasing alcohol duty. It is also encouraging that more countries have drink-driving policies,</w:t>
            </w:r>
            <w:proofErr w:type="gramStart"/>
            <w:r>
              <w:rPr>
                <w:position w:val="8"/>
                <w:sz w:val="14"/>
              </w:rPr>
              <w:t>1</w:t>
            </w:r>
            <w:proofErr w:type="gramEnd"/>
            <w:r>
              <w:rPr>
                <w:position w:val="8"/>
                <w:sz w:val="14"/>
              </w:rPr>
              <w:t xml:space="preserve"> </w:t>
            </w:r>
            <w:r>
              <w:t>and that more than half of responding countries have expanded access to alcohol screening and brief intervention (albeit mostly higher income countries).</w:t>
            </w:r>
          </w:p>
          <w:p w14:paraId="0259332B" w14:textId="77777777" w:rsidR="00781AA0" w:rsidRDefault="00781AA0">
            <w:pPr>
              <w:pStyle w:val="TableParagraph"/>
              <w:spacing w:before="6"/>
              <w:ind w:left="0"/>
              <w:rPr>
                <w:b/>
                <w:sz w:val="21"/>
              </w:rPr>
            </w:pPr>
          </w:p>
          <w:p w14:paraId="330CB46A" w14:textId="77777777" w:rsidR="00781AA0" w:rsidRDefault="00000000">
            <w:pPr>
              <w:pStyle w:val="TableParagraph"/>
              <w:ind w:right="356" w:hanging="1"/>
            </w:pPr>
            <w:r>
              <w:t>Less positively, the three WHO best buy interventions (tax increases, marketing restriction and restricting availability) show the least progress. This is doubly unfortunate as these are the policies most likely to reduce health inequalities since they do not rely on individual agency (</w:t>
            </w:r>
            <w:proofErr w:type="gramStart"/>
            <w:r>
              <w:t>i.e.</w:t>
            </w:r>
            <w:proofErr w:type="gramEnd"/>
            <w:r>
              <w:t xml:space="preserve"> do not require people to take up an intervention).</w:t>
            </w:r>
            <w:r>
              <w:rPr>
                <w:position w:val="8"/>
                <w:sz w:val="14"/>
              </w:rPr>
              <w:t xml:space="preserve">2 3 </w:t>
            </w:r>
            <w:r>
              <w:t>Reducing health inequalities is particularly salient for alcohol given the systematically elevated levels of harm among individuals in lower</w:t>
            </w:r>
          </w:p>
          <w:p w14:paraId="09721E68" w14:textId="77777777" w:rsidR="00781AA0" w:rsidRDefault="00000000">
            <w:pPr>
              <w:pStyle w:val="TableParagraph"/>
              <w:spacing w:line="231" w:lineRule="exact"/>
              <w:rPr>
                <w:sz w:val="14"/>
              </w:rPr>
            </w:pPr>
            <w:r>
              <w:t>socioeconomic groups.</w:t>
            </w:r>
            <w:r>
              <w:rPr>
                <w:position w:val="8"/>
                <w:sz w:val="14"/>
              </w:rPr>
              <w:t>4</w:t>
            </w:r>
          </w:p>
        </w:tc>
      </w:tr>
    </w:tbl>
    <w:p w14:paraId="32045EE5" w14:textId="77777777" w:rsidR="00781AA0" w:rsidRDefault="00781AA0">
      <w:pPr>
        <w:spacing w:line="231" w:lineRule="exact"/>
        <w:rPr>
          <w:sz w:val="14"/>
        </w:rPr>
        <w:sectPr w:rsidR="00781AA0">
          <w:footerReference w:type="default" r:id="rId9"/>
          <w:type w:val="continuous"/>
          <w:pgSz w:w="11910" w:h="16840"/>
          <w:pgMar w:top="780" w:right="960" w:bottom="1660" w:left="960" w:header="720" w:footer="1475" w:gutter="0"/>
          <w:cols w:space="720"/>
        </w:sect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39"/>
      </w:tblGrid>
      <w:tr w:rsidR="00781AA0" w14:paraId="07D11CB5" w14:textId="77777777">
        <w:trPr>
          <w:trHeight w:val="13636"/>
        </w:trPr>
        <w:tc>
          <w:tcPr>
            <w:tcW w:w="9739" w:type="dxa"/>
          </w:tcPr>
          <w:p w14:paraId="6CB93CA6" w14:textId="77777777" w:rsidR="00781AA0" w:rsidRDefault="00781AA0">
            <w:pPr>
              <w:pStyle w:val="TableParagraph"/>
              <w:spacing w:before="7"/>
              <w:ind w:left="0"/>
              <w:rPr>
                <w:b/>
                <w:sz w:val="21"/>
              </w:rPr>
            </w:pPr>
          </w:p>
          <w:p w14:paraId="195894C2" w14:textId="77777777" w:rsidR="00781AA0" w:rsidRDefault="00000000">
            <w:pPr>
              <w:pStyle w:val="TableParagraph"/>
              <w:spacing w:before="1"/>
              <w:rPr>
                <w:b/>
              </w:rPr>
            </w:pPr>
            <w:bookmarkStart w:id="13" w:name="Challenges_"/>
            <w:bookmarkStart w:id="14" w:name="While_an_important_step_in_the_implement"/>
            <w:bookmarkEnd w:id="13"/>
            <w:bookmarkEnd w:id="14"/>
            <w:r>
              <w:rPr>
                <w:b/>
              </w:rPr>
              <w:t>Challenges</w:t>
            </w:r>
          </w:p>
          <w:p w14:paraId="764F920B" w14:textId="77777777" w:rsidR="00781AA0" w:rsidRDefault="00000000">
            <w:pPr>
              <w:pStyle w:val="TableParagraph"/>
              <w:spacing w:before="1"/>
              <w:ind w:right="115"/>
            </w:pPr>
            <w:r>
              <w:t xml:space="preserve">While an important step in the implementation process, the development of more localised strategies and plans alone will not bring about the magnitude of reduction in alcohol-related harms needed. In addition, such development has been the case only in some countries. True implementation must mean delivering evidence-based intervention that connects with the problem on the ground </w:t>
            </w:r>
            <w:proofErr w:type="gramStart"/>
            <w:r>
              <w:t>in an attempt to</w:t>
            </w:r>
            <w:proofErr w:type="gramEnd"/>
            <w:r>
              <w:t xml:space="preserve"> improve health outcomes. An essential feature of good implementation is the gathering of data to monitor the effectiveness of the implementation as well as the efficacy of the intervention itself. For interventions whose effectiveness is still uncertain, whether universally or locally, there is a need to attempt to determine effectiveness through studying outcomes, ideally in com</w:t>
            </w:r>
            <w:bookmarkStart w:id="15" w:name="5-7_"/>
            <w:bookmarkEnd w:id="15"/>
            <w:r>
              <w:t>parison with a control group, for example using a natural experiment design where possible.</w:t>
            </w:r>
            <w:r>
              <w:rPr>
                <w:position w:val="8"/>
                <w:sz w:val="14"/>
              </w:rPr>
              <w:t xml:space="preserve">5-7 </w:t>
            </w:r>
            <w:r>
              <w:t>Withdrawal of policies and other interventions may also provide an opportunity to learn more about the effectiveness of different potential solutions. Once effectiveness is established, implementation monitoring can focus on either outcomes or ensuring the implementation process is correct and</w:t>
            </w:r>
            <w:r>
              <w:rPr>
                <w:spacing w:val="-1"/>
              </w:rPr>
              <w:t xml:space="preserve"> </w:t>
            </w:r>
            <w:r>
              <w:t>complete.</w:t>
            </w:r>
          </w:p>
          <w:p w14:paraId="65A29958" w14:textId="77777777" w:rsidR="00781AA0" w:rsidRDefault="00781AA0">
            <w:pPr>
              <w:pStyle w:val="TableParagraph"/>
              <w:spacing w:before="7"/>
              <w:ind w:left="0"/>
              <w:rPr>
                <w:b/>
                <w:sz w:val="21"/>
              </w:rPr>
            </w:pPr>
          </w:p>
          <w:p w14:paraId="29E1ADCC" w14:textId="77777777" w:rsidR="00781AA0" w:rsidRDefault="00000000">
            <w:pPr>
              <w:pStyle w:val="TableParagraph"/>
              <w:ind w:right="185"/>
            </w:pPr>
            <w:bookmarkStart w:id="16" w:name="There_is_the_further_challenge_of_mainta"/>
            <w:bookmarkEnd w:id="16"/>
            <w:r>
              <w:t>There is the further challenge of maintaining the effectiveness of policies. For example, there is a need for inflation linking alcohol taxes and tailoring them to improve public health rather than to raise revenue, ensuring marketing policies are not unduly influenced by industry interests, and ceasing investment in ineffective interventions such as those simply providing information.</w:t>
            </w:r>
          </w:p>
          <w:p w14:paraId="51D52301" w14:textId="77777777" w:rsidR="00781AA0" w:rsidRDefault="00000000">
            <w:pPr>
              <w:pStyle w:val="TableParagraph"/>
              <w:spacing w:before="1"/>
              <w:ind w:right="773"/>
            </w:pPr>
            <w:r>
              <w:t>The alcohol problem is complex, with a wide variety of interest groups, and manifold harms managed by multiple agencies. The global dimension adds to that complexity, which is a challenge for the development of consensus policies.</w:t>
            </w:r>
          </w:p>
          <w:p w14:paraId="78ACCA88" w14:textId="77777777" w:rsidR="00781AA0" w:rsidRDefault="00781AA0">
            <w:pPr>
              <w:pStyle w:val="TableParagraph"/>
              <w:spacing w:before="9"/>
              <w:ind w:left="0"/>
              <w:rPr>
                <w:b/>
                <w:sz w:val="21"/>
              </w:rPr>
            </w:pPr>
          </w:p>
          <w:p w14:paraId="17E2B633" w14:textId="77777777" w:rsidR="00781AA0" w:rsidRDefault="00000000">
            <w:pPr>
              <w:pStyle w:val="TableParagraph"/>
              <w:ind w:right="160"/>
            </w:pPr>
            <w:bookmarkStart w:id="17" w:name="Alcohol_consumption_is_influenced_by_soc"/>
            <w:bookmarkEnd w:id="17"/>
            <w:r>
              <w:t>Alcohol consumption is influenced by social norms and cultural traditions, which may downplay the importance of alcohol’s harmful effects. This is a vulnerability, which can be exploited by the globalised alcohol production and sales industry, adept at legal and marketing challenges to local alcohol controls.</w:t>
            </w:r>
          </w:p>
          <w:p w14:paraId="6F74807E" w14:textId="77777777" w:rsidR="00781AA0" w:rsidRDefault="00781AA0">
            <w:pPr>
              <w:pStyle w:val="TableParagraph"/>
              <w:spacing w:before="9"/>
              <w:ind w:left="0"/>
              <w:rPr>
                <w:b/>
                <w:sz w:val="21"/>
              </w:rPr>
            </w:pPr>
          </w:p>
          <w:p w14:paraId="637243ED" w14:textId="77777777" w:rsidR="00781AA0" w:rsidRDefault="00000000">
            <w:pPr>
              <w:pStyle w:val="TableParagraph"/>
              <w:rPr>
                <w:b/>
              </w:rPr>
            </w:pPr>
            <w:bookmarkStart w:id="18" w:name="Setbacks_"/>
            <w:bookmarkStart w:id="19" w:name="Unfortunately,_there_has_been_a_lack_of_"/>
            <w:bookmarkEnd w:id="18"/>
            <w:bookmarkEnd w:id="19"/>
            <w:r>
              <w:rPr>
                <w:b/>
              </w:rPr>
              <w:t>Setbacks</w:t>
            </w:r>
          </w:p>
          <w:p w14:paraId="31A4D981" w14:textId="77777777" w:rsidR="00781AA0" w:rsidRDefault="00000000">
            <w:pPr>
              <w:pStyle w:val="TableParagraph"/>
              <w:spacing w:before="4"/>
              <w:ind w:right="283"/>
            </w:pPr>
            <w:r>
              <w:t xml:space="preserve">Unfortunately, there has been a lack of progress in reducing the per capita alcohol consumption globally, but there has been progress on this front in Europe. That suggests that alcohol strategies and action plans may be having an effect in Europe although other factors may be at play </w:t>
            </w:r>
            <w:proofErr w:type="gramStart"/>
            <w:r>
              <w:t>e.g.</w:t>
            </w:r>
            <w:proofErr w:type="gramEnd"/>
            <w:r>
              <w:t xml:space="preserve"> the 2007-08 recession. It also suggests the policies are not being equally well implemented worldwide, a situation likely to further exacerbate global health inequalities, and so running counter to the declared aims of the WHO.</w:t>
            </w:r>
          </w:p>
          <w:p w14:paraId="1C38EDC0" w14:textId="77777777" w:rsidR="00781AA0" w:rsidRDefault="00781AA0">
            <w:pPr>
              <w:pStyle w:val="TableParagraph"/>
              <w:ind w:left="0"/>
              <w:rPr>
                <w:b/>
                <w:sz w:val="24"/>
              </w:rPr>
            </w:pPr>
          </w:p>
          <w:p w14:paraId="4F05A7F4" w14:textId="77777777" w:rsidR="00781AA0" w:rsidRDefault="00781AA0">
            <w:pPr>
              <w:pStyle w:val="TableParagraph"/>
              <w:spacing w:before="6"/>
              <w:ind w:left="0"/>
              <w:rPr>
                <w:b/>
                <w:sz w:val="20"/>
              </w:rPr>
            </w:pPr>
          </w:p>
          <w:p w14:paraId="2709273D" w14:textId="77777777" w:rsidR="00781AA0" w:rsidRDefault="00000000">
            <w:pPr>
              <w:pStyle w:val="TableParagraph"/>
              <w:spacing w:line="256" w:lineRule="auto"/>
              <w:ind w:left="827" w:right="655" w:hanging="360"/>
              <w:jc w:val="both"/>
              <w:rPr>
                <w:b/>
              </w:rPr>
            </w:pPr>
            <w:bookmarkStart w:id="20" w:name="2)_What,_in_your_organization’s_view,_sh"/>
            <w:bookmarkEnd w:id="20"/>
            <w:r>
              <w:rPr>
                <w:b/>
              </w:rPr>
              <w:t>2) What, in your organization’s view, should be priority areas for future actions to reduce the harmful use of alcohol and strengthen implementation of the global strategy to reduce the harmful use of alcohol? *</w:t>
            </w:r>
          </w:p>
          <w:p w14:paraId="253322B5" w14:textId="77777777" w:rsidR="00781AA0" w:rsidRDefault="00000000">
            <w:pPr>
              <w:pStyle w:val="TableParagraph"/>
              <w:spacing w:before="165"/>
              <w:rPr>
                <w:b/>
              </w:rPr>
            </w:pPr>
            <w:bookmarkStart w:id="21" w:name="Reducing_harmful_use_"/>
            <w:bookmarkStart w:id="22" w:name="A_fundamental_barrier_to_addressing_alco"/>
            <w:bookmarkEnd w:id="21"/>
            <w:bookmarkEnd w:id="22"/>
            <w:r>
              <w:rPr>
                <w:b/>
              </w:rPr>
              <w:t>Reducing harmful use</w:t>
            </w:r>
          </w:p>
          <w:p w14:paraId="35C74189" w14:textId="77777777" w:rsidR="00781AA0" w:rsidRDefault="00000000">
            <w:pPr>
              <w:pStyle w:val="TableParagraph"/>
              <w:spacing w:before="1"/>
              <w:ind w:right="136"/>
            </w:pPr>
            <w:r>
              <w:t>A fundamental barrier to addressing alcohol-related harms has been the lobbying and related activities of alcohol-related industries. There is a large body of evidence demonstrating the adverse influence of alcohol-related industries on public health policy, with industry collaborations generally resulting in the implementation of ineffective interventions, while t</w:t>
            </w:r>
            <w:bookmarkStart w:id="23" w:name="8-11_"/>
            <w:bookmarkEnd w:id="23"/>
            <w:r>
              <w:t>heir diminished involvement has been found to facilitate the adoption of more effective policy.</w:t>
            </w:r>
            <w:r>
              <w:rPr>
                <w:position w:val="8"/>
                <w:sz w:val="14"/>
              </w:rPr>
              <w:t xml:space="preserve">8-11 </w:t>
            </w:r>
            <w:r>
              <w:t xml:space="preserve">There should therefore be urgent consideration given to </w:t>
            </w:r>
            <w:bookmarkStart w:id="24" w:name="12-15_"/>
            <w:bookmarkEnd w:id="24"/>
            <w:r>
              <w:t>restricting or preferably entirely precluding their involvement in public health policymaking.</w:t>
            </w:r>
            <w:r>
              <w:rPr>
                <w:position w:val="8"/>
                <w:sz w:val="14"/>
              </w:rPr>
              <w:t xml:space="preserve">12-15 </w:t>
            </w:r>
            <w:r>
              <w:t>The precedent of Article 5.3 of the Framework Convention on Tobacco Control illustrates how impactful this can be. WHO is uniquely positioned to take a leadership role in how best to implement a similar measure for alcohol control policy.</w:t>
            </w:r>
          </w:p>
          <w:p w14:paraId="3829FF0F" w14:textId="77777777" w:rsidR="00781AA0" w:rsidRDefault="00781AA0">
            <w:pPr>
              <w:pStyle w:val="TableParagraph"/>
              <w:spacing w:before="3"/>
              <w:ind w:left="0"/>
              <w:rPr>
                <w:b/>
                <w:sz w:val="21"/>
              </w:rPr>
            </w:pPr>
          </w:p>
          <w:p w14:paraId="3E2AB791" w14:textId="77777777" w:rsidR="00781AA0" w:rsidRDefault="00000000">
            <w:pPr>
              <w:pStyle w:val="TableParagraph"/>
              <w:spacing w:line="237" w:lineRule="exact"/>
            </w:pPr>
            <w:bookmarkStart w:id="25" w:name="We_support_the_proposal_for_a_global_imp"/>
            <w:bookmarkEnd w:id="25"/>
            <w:r>
              <w:t>We support the proposal for a global impost (tax) on alcohol. There is no reason why taxation and</w:t>
            </w:r>
          </w:p>
        </w:tc>
      </w:tr>
    </w:tbl>
    <w:p w14:paraId="7C46F5DC" w14:textId="77777777" w:rsidR="00781AA0" w:rsidRDefault="00781AA0">
      <w:pPr>
        <w:spacing w:line="237" w:lineRule="exact"/>
        <w:sectPr w:rsidR="00781AA0">
          <w:pgSz w:w="11910" w:h="16840"/>
          <w:pgMar w:top="1280" w:right="960" w:bottom="1740" w:left="960" w:header="0" w:footer="1475" w:gutter="0"/>
          <w:cols w:space="720"/>
        </w:sect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39"/>
      </w:tblGrid>
      <w:tr w:rsidR="00781AA0" w14:paraId="3AE4458E" w14:textId="77777777">
        <w:trPr>
          <w:trHeight w:val="13617"/>
        </w:trPr>
        <w:tc>
          <w:tcPr>
            <w:tcW w:w="9739" w:type="dxa"/>
          </w:tcPr>
          <w:p w14:paraId="4952FC45" w14:textId="77777777" w:rsidR="00781AA0" w:rsidRDefault="00000000">
            <w:pPr>
              <w:pStyle w:val="TableParagraph"/>
              <w:spacing w:line="242" w:lineRule="auto"/>
            </w:pPr>
            <w:bookmarkStart w:id="26" w:name="Minimum_Unit_Pricing_(MUP)_should_not_wo"/>
            <w:bookmarkEnd w:id="26"/>
            <w:r>
              <w:t>Minimum Unit Pricing (MUP) should not work together. The prevention of tax avoidance and evasion by the global alcohol industry would be a priority.</w:t>
            </w:r>
          </w:p>
          <w:p w14:paraId="0FA4CCF1" w14:textId="77777777" w:rsidR="00781AA0" w:rsidRDefault="00781AA0">
            <w:pPr>
              <w:pStyle w:val="TableParagraph"/>
              <w:spacing w:before="3"/>
              <w:ind w:left="0"/>
              <w:rPr>
                <w:b/>
                <w:sz w:val="21"/>
              </w:rPr>
            </w:pPr>
          </w:p>
          <w:p w14:paraId="40570647" w14:textId="77777777" w:rsidR="00781AA0" w:rsidRDefault="00000000">
            <w:pPr>
              <w:pStyle w:val="TableParagraph"/>
              <w:rPr>
                <w:b/>
              </w:rPr>
            </w:pPr>
            <w:bookmarkStart w:id="27" w:name="Strengthening_the_implementation_of_the_"/>
            <w:bookmarkStart w:id="28" w:name="If_lack_of_resources_is_an_issue_prevent"/>
            <w:bookmarkEnd w:id="27"/>
            <w:bookmarkEnd w:id="28"/>
            <w:r>
              <w:rPr>
                <w:b/>
              </w:rPr>
              <w:t xml:space="preserve">Strengthening the implementation of the global strategy to reduce harmful </w:t>
            </w:r>
            <w:proofErr w:type="gramStart"/>
            <w:r>
              <w:rPr>
                <w:b/>
              </w:rPr>
              <w:t>use</w:t>
            </w:r>
            <w:proofErr w:type="gramEnd"/>
          </w:p>
          <w:p w14:paraId="6598ABA1" w14:textId="77777777" w:rsidR="00781AA0" w:rsidRDefault="00000000">
            <w:pPr>
              <w:pStyle w:val="TableParagraph"/>
              <w:spacing w:before="1"/>
              <w:ind w:right="185"/>
            </w:pPr>
            <w:r>
              <w:t>If lack of resources is an issue preventing true implementation (as defined above), WHO could helpfully develop tools to aid resource access for strategy implementation at local level. That could include fund raising measures such as alcohol taxation. The funds raised could be hypothecated for further action in controlling alcohol marketing and influence on alcohol policy by the global alcohol industry and for controlling access to alcohol locally. We suggest linking taxation levels to the reported levels of alcohol-related harm on an ongoing basis as an incentive to the alcohol industry to reduce harm.</w:t>
            </w:r>
          </w:p>
          <w:p w14:paraId="2CFD3786" w14:textId="77777777" w:rsidR="00781AA0" w:rsidRDefault="00781AA0">
            <w:pPr>
              <w:pStyle w:val="TableParagraph"/>
              <w:spacing w:before="11"/>
              <w:ind w:left="0"/>
              <w:rPr>
                <w:b/>
                <w:sz w:val="21"/>
              </w:rPr>
            </w:pPr>
          </w:p>
          <w:p w14:paraId="0947E913" w14:textId="77777777" w:rsidR="00781AA0" w:rsidRDefault="00000000">
            <w:pPr>
              <w:pStyle w:val="TableParagraph"/>
              <w:ind w:left="108" w:hanging="1"/>
            </w:pPr>
            <w:bookmarkStart w:id="29" w:name="Convincing_economic_and_political_analys"/>
            <w:bookmarkEnd w:id="29"/>
            <w:r>
              <w:t>Convincing economic and political analysis showing whether there are economic and political benefits of increasing alcohol taxation in addition to MUP could be developed and made available to public health and related professionals in all countries.</w:t>
            </w:r>
          </w:p>
          <w:p w14:paraId="26C525C4" w14:textId="77777777" w:rsidR="00781AA0" w:rsidRDefault="00781AA0">
            <w:pPr>
              <w:pStyle w:val="TableParagraph"/>
              <w:ind w:left="0"/>
              <w:rPr>
                <w:b/>
              </w:rPr>
            </w:pPr>
          </w:p>
          <w:p w14:paraId="74469BF4" w14:textId="77777777" w:rsidR="00781AA0" w:rsidRDefault="00000000">
            <w:pPr>
              <w:pStyle w:val="TableParagraph"/>
              <w:ind w:right="223"/>
              <w:rPr>
                <w:sz w:val="14"/>
              </w:rPr>
            </w:pPr>
            <w:bookmarkStart w:id="30" w:name="The_WHO_strategy_promotes_MUP,_and_there"/>
            <w:bookmarkEnd w:id="30"/>
            <w:r>
              <w:t xml:space="preserve">The WHO strategy promotes MUP, and there is clear evidence of the relationship between the consumption of alcohol and its price, but MUP </w:t>
            </w:r>
            <w:bookmarkStart w:id="31" w:name="16-19_"/>
            <w:bookmarkEnd w:id="31"/>
            <w:r>
              <w:t>has not yet been fully evaluated in the real world. Scotland is in the process of doing an evaluation</w:t>
            </w:r>
            <w:r>
              <w:rPr>
                <w:position w:val="8"/>
                <w:sz w:val="14"/>
              </w:rPr>
              <w:t xml:space="preserve">16-19 </w:t>
            </w:r>
            <w:r>
              <w:t xml:space="preserve">but it will be some years before a final picture is revealed. Some formative lessons from carrying out the Scottish evaluation in this area include the crucial importance of adequate preparation so that the evaluation, especially the gathering of baseline data, is not rushed. To facilitate </w:t>
            </w:r>
            <w:proofErr w:type="gramStart"/>
            <w:r>
              <w:t>evaluation</w:t>
            </w:r>
            <w:proofErr w:type="gramEnd"/>
            <w:r>
              <w:t xml:space="preserve"> it is important to embed it in policy delivery. Data improvements would greatly facilitate agile evaluation by making relevant time series data routinely available. For these reasons, we support the data improvements WHO specifies, such as the inclusion of alcohol modules in data collection tools used in population- based surveillance activities. That would ensure the availability of time series of data on alcohol consumption in populations and vulnerable population groups such as adolescents, women of childbearing age and people suffering from different health conditions. We think these alcohol modules should be as standardised as possible to facilitate international comparisons. Given the persistent decline in participation levels in national surveys, robust statistical corr</w:t>
            </w:r>
            <w:bookmarkStart w:id="32" w:name="20-22_"/>
            <w:bookmarkEnd w:id="32"/>
            <w:r>
              <w:t>ection procedures, which improve comparability over time and place, should be applied.</w:t>
            </w:r>
            <w:r>
              <w:rPr>
                <w:position w:val="8"/>
                <w:sz w:val="14"/>
              </w:rPr>
              <w:t>20-</w:t>
            </w:r>
            <w:proofErr w:type="gramStart"/>
            <w:r>
              <w:rPr>
                <w:position w:val="8"/>
                <w:sz w:val="14"/>
              </w:rPr>
              <w:t>22</w:t>
            </w:r>
            <w:proofErr w:type="gramEnd"/>
          </w:p>
          <w:p w14:paraId="53D9D1FB" w14:textId="77777777" w:rsidR="00781AA0" w:rsidRDefault="00781AA0">
            <w:pPr>
              <w:pStyle w:val="TableParagraph"/>
              <w:spacing w:before="1"/>
              <w:ind w:left="0"/>
              <w:rPr>
                <w:b/>
                <w:sz w:val="21"/>
              </w:rPr>
            </w:pPr>
          </w:p>
          <w:p w14:paraId="66596B37" w14:textId="77777777" w:rsidR="00781AA0" w:rsidRDefault="00000000">
            <w:pPr>
              <w:pStyle w:val="TableParagraph"/>
              <w:ind w:left="467"/>
              <w:rPr>
                <w:b/>
              </w:rPr>
            </w:pPr>
            <w:bookmarkStart w:id="33" w:name="3)_Any_additional_comments?_typo:_p14_li"/>
            <w:bookmarkEnd w:id="33"/>
            <w:r>
              <w:rPr>
                <w:b/>
              </w:rPr>
              <w:t>3) Any additional comments?</w:t>
            </w:r>
          </w:p>
          <w:p w14:paraId="0F72FF71" w14:textId="77777777" w:rsidR="00781AA0" w:rsidRDefault="00000000">
            <w:pPr>
              <w:pStyle w:val="TableParagraph"/>
              <w:spacing w:before="2" w:line="252" w:lineRule="exact"/>
            </w:pPr>
            <w:r>
              <w:t>typo: p14 line 3 of text</w:t>
            </w:r>
          </w:p>
          <w:p w14:paraId="49BE3917" w14:textId="77777777" w:rsidR="00781AA0" w:rsidRDefault="00000000">
            <w:pPr>
              <w:pStyle w:val="TableParagraph"/>
              <w:spacing w:line="252" w:lineRule="exact"/>
            </w:pPr>
            <w:r>
              <w:t>'Effective monitoring of total per capital alcohol consumption' should this read 'per capita'?</w:t>
            </w:r>
          </w:p>
          <w:p w14:paraId="21A0F32F" w14:textId="77777777" w:rsidR="00781AA0" w:rsidRDefault="00781AA0">
            <w:pPr>
              <w:pStyle w:val="TableParagraph"/>
              <w:spacing w:before="9"/>
              <w:ind w:left="0"/>
              <w:rPr>
                <w:b/>
                <w:sz w:val="21"/>
              </w:rPr>
            </w:pPr>
          </w:p>
          <w:p w14:paraId="369E2505" w14:textId="77777777" w:rsidR="00781AA0" w:rsidRDefault="00000000">
            <w:pPr>
              <w:pStyle w:val="TableParagraph"/>
              <w:rPr>
                <w:b/>
              </w:rPr>
            </w:pPr>
            <w:bookmarkStart w:id="34" w:name="Additional_information_"/>
            <w:bookmarkStart w:id="35" w:name="1)_Attachment_"/>
            <w:bookmarkEnd w:id="34"/>
            <w:bookmarkEnd w:id="35"/>
            <w:r>
              <w:rPr>
                <w:b/>
              </w:rPr>
              <w:t>Additional information</w:t>
            </w:r>
          </w:p>
          <w:p w14:paraId="6BFF0D93" w14:textId="77777777" w:rsidR="00781AA0" w:rsidRDefault="00000000">
            <w:pPr>
              <w:pStyle w:val="TableParagraph"/>
              <w:spacing w:before="2"/>
              <w:rPr>
                <w:b/>
              </w:rPr>
            </w:pPr>
            <w:bookmarkStart w:id="36" w:name="Please_attach_any_files_that_would_compl"/>
            <w:bookmarkEnd w:id="36"/>
            <w:r>
              <w:rPr>
                <w:b/>
              </w:rPr>
              <w:t>1) Attachment</w:t>
            </w:r>
          </w:p>
          <w:p w14:paraId="32B8BBA9" w14:textId="77777777" w:rsidR="00781AA0" w:rsidRDefault="00000000">
            <w:pPr>
              <w:pStyle w:val="TableParagraph"/>
              <w:spacing w:before="1"/>
              <w:ind w:right="3426"/>
            </w:pPr>
            <w:r>
              <w:t>Please attach any files that would complement your submission None.</w:t>
            </w:r>
          </w:p>
          <w:p w14:paraId="74041497" w14:textId="77777777" w:rsidR="00781AA0" w:rsidRDefault="00781AA0">
            <w:pPr>
              <w:pStyle w:val="TableParagraph"/>
              <w:ind w:left="0"/>
              <w:rPr>
                <w:b/>
                <w:sz w:val="24"/>
              </w:rPr>
            </w:pPr>
          </w:p>
          <w:p w14:paraId="5B96C8A9" w14:textId="77777777" w:rsidR="00781AA0" w:rsidRDefault="00781AA0">
            <w:pPr>
              <w:pStyle w:val="TableParagraph"/>
              <w:spacing w:before="10"/>
              <w:ind w:left="0"/>
              <w:rPr>
                <w:b/>
                <w:sz w:val="19"/>
              </w:rPr>
            </w:pPr>
          </w:p>
          <w:p w14:paraId="429CD323" w14:textId="77777777" w:rsidR="00781AA0" w:rsidRDefault="00000000">
            <w:pPr>
              <w:pStyle w:val="TableParagraph"/>
              <w:rPr>
                <w:b/>
              </w:rPr>
            </w:pPr>
            <w:bookmarkStart w:id="37" w:name="References_"/>
            <w:bookmarkEnd w:id="37"/>
            <w:r>
              <w:rPr>
                <w:b/>
              </w:rPr>
              <w:t>References</w:t>
            </w:r>
          </w:p>
          <w:p w14:paraId="155CB418" w14:textId="77777777" w:rsidR="00781AA0" w:rsidRDefault="00781AA0">
            <w:pPr>
              <w:pStyle w:val="TableParagraph"/>
              <w:spacing w:before="2"/>
              <w:ind w:left="0"/>
              <w:rPr>
                <w:b/>
              </w:rPr>
            </w:pPr>
          </w:p>
          <w:p w14:paraId="2075B00C" w14:textId="77777777" w:rsidR="00781AA0" w:rsidRDefault="00000000">
            <w:pPr>
              <w:pStyle w:val="TableParagraph"/>
              <w:numPr>
                <w:ilvl w:val="0"/>
                <w:numId w:val="2"/>
              </w:numPr>
              <w:tabs>
                <w:tab w:val="left" w:pos="310"/>
              </w:tabs>
              <w:ind w:right="370" w:hanging="720"/>
              <w:rPr>
                <w:sz w:val="18"/>
              </w:rPr>
            </w:pPr>
            <w:bookmarkStart w:id="38" w:name="1."/>
            <w:bookmarkStart w:id="39" w:name="Haghpanahan_H,_Lewsey_J,_Mackay_DF,_et_a"/>
            <w:bookmarkEnd w:id="38"/>
            <w:bookmarkEnd w:id="39"/>
            <w:proofErr w:type="spellStart"/>
            <w:r>
              <w:rPr>
                <w:sz w:val="18"/>
              </w:rPr>
              <w:t>Haghpanahan</w:t>
            </w:r>
            <w:proofErr w:type="spellEnd"/>
            <w:r>
              <w:rPr>
                <w:sz w:val="18"/>
              </w:rPr>
              <w:t xml:space="preserve"> H, Lewsey J, Mackay DF, et al. An evaluation of the effects of lowering blood alcohol concentration limits for drivers on the rates of road traffic accidents and alcohol consumption: a natural experiment. </w:t>
            </w:r>
            <w:r>
              <w:rPr>
                <w:i/>
                <w:sz w:val="18"/>
              </w:rPr>
              <w:t>The</w:t>
            </w:r>
            <w:bookmarkStart w:id="40" w:name="2."/>
            <w:bookmarkStart w:id="41" w:name="Katikireddi_SV,_Higgins_M,_Smith_KE,_et_"/>
            <w:bookmarkEnd w:id="40"/>
            <w:bookmarkEnd w:id="41"/>
            <w:r>
              <w:rPr>
                <w:i/>
                <w:sz w:val="18"/>
              </w:rPr>
              <w:t xml:space="preserve"> Lancet </w:t>
            </w:r>
            <w:r>
              <w:rPr>
                <w:sz w:val="18"/>
              </w:rPr>
              <w:t xml:space="preserve">2019;393(10169):321-29. </w:t>
            </w:r>
            <w:proofErr w:type="spellStart"/>
            <w:r>
              <w:rPr>
                <w:sz w:val="18"/>
              </w:rPr>
              <w:t>doi</w:t>
            </w:r>
            <w:proofErr w:type="spellEnd"/>
            <w:r>
              <w:rPr>
                <w:sz w:val="18"/>
              </w:rPr>
              <w:t>:</w:t>
            </w:r>
            <w:r>
              <w:rPr>
                <w:spacing w:val="-2"/>
                <w:sz w:val="18"/>
              </w:rPr>
              <w:t xml:space="preserve"> </w:t>
            </w:r>
            <w:r>
              <w:rPr>
                <w:sz w:val="18"/>
              </w:rPr>
              <w:t>10.1016/S0140-6736(18)32850-2</w:t>
            </w:r>
          </w:p>
          <w:p w14:paraId="5DEF8018" w14:textId="77777777" w:rsidR="00781AA0" w:rsidRDefault="00000000">
            <w:pPr>
              <w:pStyle w:val="TableParagraph"/>
              <w:numPr>
                <w:ilvl w:val="0"/>
                <w:numId w:val="2"/>
              </w:numPr>
              <w:tabs>
                <w:tab w:val="left" w:pos="310"/>
              </w:tabs>
              <w:ind w:right="222" w:hanging="720"/>
              <w:rPr>
                <w:sz w:val="18"/>
              </w:rPr>
            </w:pPr>
            <w:proofErr w:type="spellStart"/>
            <w:r>
              <w:rPr>
                <w:sz w:val="18"/>
              </w:rPr>
              <w:t>Katikireddi</w:t>
            </w:r>
            <w:proofErr w:type="spellEnd"/>
            <w:r>
              <w:rPr>
                <w:sz w:val="18"/>
              </w:rPr>
              <w:t xml:space="preserve"> SV, Higgins M, Smith KE, et al. Health inequalities: the need to move beyond bad behaviours. </w:t>
            </w:r>
            <w:r>
              <w:rPr>
                <w:i/>
                <w:sz w:val="18"/>
              </w:rPr>
              <w:t>Journal of</w:t>
            </w:r>
            <w:bookmarkStart w:id="42" w:name="3."/>
            <w:bookmarkStart w:id="43" w:name="Macintyre_S._Inequalities_in_health_in_S"/>
            <w:bookmarkEnd w:id="42"/>
            <w:bookmarkEnd w:id="43"/>
            <w:r>
              <w:rPr>
                <w:i/>
                <w:sz w:val="18"/>
              </w:rPr>
              <w:t xml:space="preserve"> Epidemiology and Community Health </w:t>
            </w:r>
            <w:r>
              <w:rPr>
                <w:sz w:val="18"/>
              </w:rPr>
              <w:t xml:space="preserve">2013;67(9):715-16. </w:t>
            </w:r>
            <w:proofErr w:type="spellStart"/>
            <w:r>
              <w:rPr>
                <w:sz w:val="18"/>
              </w:rPr>
              <w:t>doi</w:t>
            </w:r>
            <w:proofErr w:type="spellEnd"/>
            <w:r>
              <w:rPr>
                <w:sz w:val="18"/>
              </w:rPr>
              <w:t>:</w:t>
            </w:r>
            <w:r>
              <w:rPr>
                <w:spacing w:val="-11"/>
                <w:sz w:val="18"/>
              </w:rPr>
              <w:t xml:space="preserve"> </w:t>
            </w:r>
            <w:r>
              <w:rPr>
                <w:sz w:val="18"/>
              </w:rPr>
              <w:t>10.1136/jech-2012-202064</w:t>
            </w:r>
          </w:p>
          <w:p w14:paraId="4811FA5A" w14:textId="77777777" w:rsidR="00781AA0" w:rsidRDefault="00000000">
            <w:pPr>
              <w:pStyle w:val="TableParagraph"/>
              <w:numPr>
                <w:ilvl w:val="0"/>
                <w:numId w:val="2"/>
              </w:numPr>
              <w:tabs>
                <w:tab w:val="left" w:pos="310"/>
              </w:tabs>
              <w:spacing w:before="2"/>
              <w:ind w:right="110" w:hanging="720"/>
              <w:rPr>
                <w:sz w:val="18"/>
              </w:rPr>
            </w:pPr>
            <w:r>
              <w:rPr>
                <w:sz w:val="18"/>
              </w:rPr>
              <w:t>Macintyre S. Inequalities in health in Scotland: what are they and what can we do about them? MRC Social and</w:t>
            </w:r>
            <w:bookmarkStart w:id="44" w:name="4."/>
            <w:bookmarkStart w:id="45" w:name="Katikireddi_SV,_Whitley_E,_Lewsey_J,_et_"/>
            <w:bookmarkEnd w:id="44"/>
            <w:bookmarkEnd w:id="45"/>
            <w:r>
              <w:rPr>
                <w:sz w:val="18"/>
              </w:rPr>
              <w:t xml:space="preserve"> Public</w:t>
            </w:r>
            <w:r>
              <w:rPr>
                <w:spacing w:val="-3"/>
                <w:sz w:val="18"/>
              </w:rPr>
              <w:t xml:space="preserve"> </w:t>
            </w:r>
            <w:r>
              <w:rPr>
                <w:sz w:val="18"/>
              </w:rPr>
              <w:t>Health</w:t>
            </w:r>
            <w:r>
              <w:rPr>
                <w:spacing w:val="-2"/>
                <w:sz w:val="18"/>
              </w:rPr>
              <w:t xml:space="preserve"> </w:t>
            </w:r>
            <w:r>
              <w:rPr>
                <w:sz w:val="18"/>
              </w:rPr>
              <w:t>Sciences</w:t>
            </w:r>
            <w:r>
              <w:rPr>
                <w:spacing w:val="-2"/>
                <w:sz w:val="18"/>
              </w:rPr>
              <w:t xml:space="preserve"> </w:t>
            </w:r>
            <w:r>
              <w:rPr>
                <w:sz w:val="18"/>
              </w:rPr>
              <w:t>Unit</w:t>
            </w:r>
            <w:r>
              <w:rPr>
                <w:spacing w:val="-4"/>
                <w:sz w:val="18"/>
              </w:rPr>
              <w:t xml:space="preserve"> </w:t>
            </w:r>
            <w:r>
              <w:rPr>
                <w:sz w:val="18"/>
              </w:rPr>
              <w:t>Occasional</w:t>
            </w:r>
            <w:r>
              <w:rPr>
                <w:spacing w:val="-2"/>
                <w:sz w:val="18"/>
              </w:rPr>
              <w:t xml:space="preserve"> </w:t>
            </w:r>
            <w:r>
              <w:rPr>
                <w:sz w:val="18"/>
              </w:rPr>
              <w:t>Papers.</w:t>
            </w:r>
            <w:r>
              <w:rPr>
                <w:spacing w:val="-3"/>
                <w:sz w:val="18"/>
              </w:rPr>
              <w:t xml:space="preserve"> </w:t>
            </w:r>
            <w:r>
              <w:rPr>
                <w:sz w:val="18"/>
              </w:rPr>
              <w:t>Glasgow:</w:t>
            </w:r>
            <w:r>
              <w:rPr>
                <w:spacing w:val="-3"/>
                <w:sz w:val="18"/>
              </w:rPr>
              <w:t xml:space="preserve"> </w:t>
            </w:r>
            <w:r>
              <w:rPr>
                <w:sz w:val="18"/>
              </w:rPr>
              <w:t>MRC</w:t>
            </w:r>
            <w:r>
              <w:rPr>
                <w:spacing w:val="-4"/>
                <w:sz w:val="18"/>
              </w:rPr>
              <w:t xml:space="preserve"> </w:t>
            </w:r>
            <w:r>
              <w:rPr>
                <w:sz w:val="18"/>
              </w:rPr>
              <w:t>Social</w:t>
            </w:r>
            <w:r>
              <w:rPr>
                <w:spacing w:val="-2"/>
                <w:sz w:val="18"/>
              </w:rPr>
              <w:t xml:space="preserve"> </w:t>
            </w:r>
            <w:r>
              <w:rPr>
                <w:sz w:val="18"/>
              </w:rPr>
              <w:t>and</w:t>
            </w:r>
            <w:r>
              <w:rPr>
                <w:spacing w:val="-2"/>
                <w:sz w:val="18"/>
              </w:rPr>
              <w:t xml:space="preserve"> </w:t>
            </w:r>
            <w:r>
              <w:rPr>
                <w:sz w:val="18"/>
              </w:rPr>
              <w:t>Public</w:t>
            </w:r>
            <w:r>
              <w:rPr>
                <w:spacing w:val="-4"/>
                <w:sz w:val="18"/>
              </w:rPr>
              <w:t xml:space="preserve"> </w:t>
            </w:r>
            <w:r>
              <w:rPr>
                <w:sz w:val="18"/>
              </w:rPr>
              <w:t>Health</w:t>
            </w:r>
            <w:r>
              <w:rPr>
                <w:spacing w:val="-3"/>
                <w:sz w:val="18"/>
              </w:rPr>
              <w:t xml:space="preserve"> </w:t>
            </w:r>
            <w:r>
              <w:rPr>
                <w:sz w:val="18"/>
              </w:rPr>
              <w:t>Sciences</w:t>
            </w:r>
            <w:r>
              <w:rPr>
                <w:spacing w:val="-2"/>
                <w:sz w:val="18"/>
              </w:rPr>
              <w:t xml:space="preserve"> </w:t>
            </w:r>
            <w:r>
              <w:rPr>
                <w:sz w:val="18"/>
              </w:rPr>
              <w:t>Unit,</w:t>
            </w:r>
            <w:r>
              <w:rPr>
                <w:spacing w:val="-3"/>
                <w:sz w:val="18"/>
              </w:rPr>
              <w:t xml:space="preserve"> </w:t>
            </w:r>
            <w:r>
              <w:rPr>
                <w:sz w:val="18"/>
              </w:rPr>
              <w:t>2007.</w:t>
            </w:r>
          </w:p>
          <w:p w14:paraId="74BE1C2B" w14:textId="77777777" w:rsidR="00781AA0" w:rsidRDefault="00000000">
            <w:pPr>
              <w:pStyle w:val="TableParagraph"/>
              <w:numPr>
                <w:ilvl w:val="0"/>
                <w:numId w:val="2"/>
              </w:numPr>
              <w:tabs>
                <w:tab w:val="left" w:pos="310"/>
              </w:tabs>
              <w:ind w:right="372" w:hanging="720"/>
              <w:rPr>
                <w:sz w:val="18"/>
              </w:rPr>
            </w:pPr>
            <w:proofErr w:type="spellStart"/>
            <w:r>
              <w:rPr>
                <w:sz w:val="18"/>
              </w:rPr>
              <w:t>Katikireddi</w:t>
            </w:r>
            <w:proofErr w:type="spellEnd"/>
            <w:r>
              <w:rPr>
                <w:sz w:val="18"/>
              </w:rPr>
              <w:t xml:space="preserve"> SV, Whitley E, Lewsey J, et al. Socioeconomic status as an effect modifier of alcohol consumption and harm: analysis of linked cohort data. </w:t>
            </w:r>
            <w:r>
              <w:rPr>
                <w:i/>
                <w:sz w:val="18"/>
              </w:rPr>
              <w:t xml:space="preserve">The Lancet Public Health </w:t>
            </w:r>
            <w:r>
              <w:rPr>
                <w:sz w:val="18"/>
              </w:rPr>
              <w:t>2017;2(6</w:t>
            </w:r>
            <w:proofErr w:type="gramStart"/>
            <w:r>
              <w:rPr>
                <w:sz w:val="18"/>
              </w:rPr>
              <w:t>):e</w:t>
            </w:r>
            <w:proofErr w:type="gramEnd"/>
            <w:r>
              <w:rPr>
                <w:sz w:val="18"/>
              </w:rPr>
              <w:t xml:space="preserve">267-e76. </w:t>
            </w:r>
            <w:proofErr w:type="spellStart"/>
            <w:r>
              <w:rPr>
                <w:sz w:val="18"/>
              </w:rPr>
              <w:t>doi</w:t>
            </w:r>
            <w:proofErr w:type="spellEnd"/>
            <w:r>
              <w:rPr>
                <w:sz w:val="18"/>
              </w:rPr>
              <w:t>: 10.1016/S2468-</w:t>
            </w:r>
            <w:bookmarkStart w:id="46" w:name="5."/>
            <w:bookmarkStart w:id="47" w:name="Craig_P,_Cooper_C,_Gunnell_D,_et_al._Usi"/>
            <w:bookmarkEnd w:id="46"/>
            <w:bookmarkEnd w:id="47"/>
            <w:r>
              <w:rPr>
                <w:sz w:val="18"/>
              </w:rPr>
              <w:t xml:space="preserve"> 2667(17)30078-6</w:t>
            </w:r>
          </w:p>
          <w:p w14:paraId="3C4B96C8" w14:textId="77777777" w:rsidR="00781AA0" w:rsidRDefault="00000000">
            <w:pPr>
              <w:pStyle w:val="TableParagraph"/>
              <w:numPr>
                <w:ilvl w:val="0"/>
                <w:numId w:val="2"/>
              </w:numPr>
              <w:tabs>
                <w:tab w:val="left" w:pos="310"/>
              </w:tabs>
              <w:spacing w:before="5" w:line="204" w:lineRule="exact"/>
              <w:ind w:right="561" w:hanging="720"/>
              <w:rPr>
                <w:sz w:val="18"/>
              </w:rPr>
            </w:pPr>
            <w:r>
              <w:rPr>
                <w:sz w:val="18"/>
              </w:rPr>
              <w:t xml:space="preserve">Craig P, Cooper C, Gunnell D, et al. Using natural experiments to evaluate population health interventions: new Medical Research Council guidance. </w:t>
            </w:r>
            <w:r>
              <w:rPr>
                <w:i/>
                <w:sz w:val="18"/>
              </w:rPr>
              <w:t xml:space="preserve">JECH </w:t>
            </w:r>
            <w:proofErr w:type="gramStart"/>
            <w:r>
              <w:rPr>
                <w:sz w:val="18"/>
              </w:rPr>
              <w:t>2012;66:1182</w:t>
            </w:r>
            <w:proofErr w:type="gramEnd"/>
            <w:r>
              <w:rPr>
                <w:sz w:val="18"/>
              </w:rPr>
              <w:t xml:space="preserve">-6. </w:t>
            </w:r>
            <w:proofErr w:type="spellStart"/>
            <w:r>
              <w:rPr>
                <w:sz w:val="18"/>
              </w:rPr>
              <w:t>doi</w:t>
            </w:r>
            <w:proofErr w:type="spellEnd"/>
            <w:r>
              <w:rPr>
                <w:sz w:val="18"/>
              </w:rPr>
              <w:t>:</w:t>
            </w:r>
            <w:r>
              <w:rPr>
                <w:spacing w:val="-14"/>
                <w:sz w:val="18"/>
              </w:rPr>
              <w:t xml:space="preserve"> </w:t>
            </w:r>
            <w:r>
              <w:rPr>
                <w:sz w:val="18"/>
              </w:rPr>
              <w:t>10.1136/jech-2011-200375</w:t>
            </w:r>
          </w:p>
        </w:tc>
      </w:tr>
    </w:tbl>
    <w:p w14:paraId="624D3CB0" w14:textId="77777777" w:rsidR="00781AA0" w:rsidRDefault="00781AA0">
      <w:pPr>
        <w:spacing w:line="204" w:lineRule="exact"/>
        <w:rPr>
          <w:sz w:val="18"/>
        </w:rPr>
        <w:sectPr w:rsidR="00781AA0">
          <w:pgSz w:w="11910" w:h="16840"/>
          <w:pgMar w:top="1280" w:right="960" w:bottom="1740" w:left="960" w:header="0" w:footer="1475" w:gutter="0"/>
          <w:cols w:space="720"/>
        </w:sect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39"/>
      </w:tblGrid>
      <w:tr w:rsidR="00781AA0" w14:paraId="6C3A2157" w14:textId="77777777">
        <w:trPr>
          <w:trHeight w:val="9981"/>
        </w:trPr>
        <w:tc>
          <w:tcPr>
            <w:tcW w:w="9739" w:type="dxa"/>
          </w:tcPr>
          <w:p w14:paraId="481E1F8D" w14:textId="77777777" w:rsidR="00781AA0" w:rsidRDefault="00000000">
            <w:pPr>
              <w:pStyle w:val="TableParagraph"/>
              <w:numPr>
                <w:ilvl w:val="0"/>
                <w:numId w:val="1"/>
              </w:numPr>
              <w:tabs>
                <w:tab w:val="left" w:pos="310"/>
              </w:tabs>
              <w:ind w:right="112" w:hanging="720"/>
              <w:rPr>
                <w:sz w:val="18"/>
              </w:rPr>
            </w:pPr>
            <w:bookmarkStart w:id="48" w:name="6._Craig_P,_Gibson_M,_Campbell_M,_et_al."/>
            <w:bookmarkStart w:id="49" w:name="https://www.gla.ac.uk/researchinstitutes"/>
            <w:bookmarkStart w:id="50" w:name="Dr_Andrew_Millard,_Research_Fellow,_MRC/"/>
            <w:bookmarkStart w:id="51" w:name="www.glasgow.ac.uk/sphsu_"/>
            <w:bookmarkEnd w:id="48"/>
            <w:bookmarkEnd w:id="49"/>
            <w:bookmarkEnd w:id="50"/>
            <w:bookmarkEnd w:id="51"/>
            <w:r>
              <w:rPr>
                <w:sz w:val="18"/>
              </w:rPr>
              <w:t xml:space="preserve">Craig P, Gibson M, Campbell M, et al. Making the most of natural experiments: What can </w:t>
            </w:r>
            <w:proofErr w:type="gramStart"/>
            <w:r>
              <w:rPr>
                <w:sz w:val="18"/>
              </w:rPr>
              <w:t>studies</w:t>
            </w:r>
            <w:proofErr w:type="gramEnd"/>
            <w:r>
              <w:rPr>
                <w:sz w:val="18"/>
              </w:rPr>
              <w:t xml:space="preserve"> of the withdrawal of public health interventions offer? </w:t>
            </w:r>
            <w:r>
              <w:rPr>
                <w:i/>
                <w:sz w:val="18"/>
              </w:rPr>
              <w:t xml:space="preserve">Preventive Medicine </w:t>
            </w:r>
            <w:proofErr w:type="gramStart"/>
            <w:r>
              <w:rPr>
                <w:sz w:val="18"/>
              </w:rPr>
              <w:t>2018;108:17</w:t>
            </w:r>
            <w:proofErr w:type="gramEnd"/>
            <w:r>
              <w:rPr>
                <w:sz w:val="18"/>
              </w:rPr>
              <w:t xml:space="preserve">-22. </w:t>
            </w:r>
            <w:proofErr w:type="spellStart"/>
            <w:r>
              <w:rPr>
                <w:sz w:val="18"/>
              </w:rPr>
              <w:t>doi</w:t>
            </w:r>
            <w:proofErr w:type="spellEnd"/>
            <w:r>
              <w:rPr>
                <w:sz w:val="18"/>
              </w:rPr>
              <w:t>:</w:t>
            </w:r>
            <w:r>
              <w:rPr>
                <w:color w:val="0000FF"/>
                <w:sz w:val="18"/>
                <w:u w:val="single" w:color="0000FF"/>
              </w:rPr>
              <w:t xml:space="preserve"> </w:t>
            </w:r>
            <w:hyperlink r:id="rId10">
              <w:r>
                <w:rPr>
                  <w:color w:val="0000FF"/>
                  <w:sz w:val="18"/>
                  <w:u w:val="single" w:color="0000FF"/>
                </w:rPr>
                <w:t>https://doi.org/10.1016/j.ypmed.2017.12.025</w:t>
              </w:r>
            </w:hyperlink>
          </w:p>
          <w:p w14:paraId="46AD487A" w14:textId="77777777" w:rsidR="00781AA0" w:rsidRDefault="00000000">
            <w:pPr>
              <w:pStyle w:val="TableParagraph"/>
              <w:numPr>
                <w:ilvl w:val="0"/>
                <w:numId w:val="1"/>
              </w:numPr>
              <w:tabs>
                <w:tab w:val="left" w:pos="310"/>
              </w:tabs>
              <w:spacing w:before="1" w:line="237" w:lineRule="auto"/>
              <w:ind w:right="883" w:hanging="720"/>
              <w:rPr>
                <w:sz w:val="18"/>
              </w:rPr>
            </w:pPr>
            <w:r>
              <w:rPr>
                <w:sz w:val="18"/>
              </w:rPr>
              <w:t xml:space="preserve">Craig P, </w:t>
            </w:r>
            <w:proofErr w:type="spellStart"/>
            <w:r>
              <w:rPr>
                <w:sz w:val="18"/>
              </w:rPr>
              <w:t>Katikireddi</w:t>
            </w:r>
            <w:proofErr w:type="spellEnd"/>
            <w:r>
              <w:rPr>
                <w:sz w:val="18"/>
              </w:rPr>
              <w:t xml:space="preserve"> SV, Leyland AH, et al. Natural experiments: An overview of methods, </w:t>
            </w:r>
            <w:proofErr w:type="gramStart"/>
            <w:r>
              <w:rPr>
                <w:sz w:val="18"/>
              </w:rPr>
              <w:t>approaches</w:t>
            </w:r>
            <w:proofErr w:type="gramEnd"/>
            <w:r>
              <w:rPr>
                <w:sz w:val="18"/>
              </w:rPr>
              <w:t xml:space="preserve"> and contribution</w:t>
            </w:r>
            <w:r>
              <w:rPr>
                <w:spacing w:val="-6"/>
                <w:sz w:val="18"/>
              </w:rPr>
              <w:t xml:space="preserve"> </w:t>
            </w:r>
            <w:r>
              <w:rPr>
                <w:sz w:val="18"/>
              </w:rPr>
              <w:t>to</w:t>
            </w:r>
            <w:r>
              <w:rPr>
                <w:spacing w:val="-4"/>
                <w:sz w:val="18"/>
              </w:rPr>
              <w:t xml:space="preserve"> </w:t>
            </w:r>
            <w:r>
              <w:rPr>
                <w:sz w:val="18"/>
              </w:rPr>
              <w:t>public</w:t>
            </w:r>
            <w:r>
              <w:rPr>
                <w:spacing w:val="-3"/>
                <w:sz w:val="18"/>
              </w:rPr>
              <w:t xml:space="preserve"> </w:t>
            </w:r>
            <w:r>
              <w:rPr>
                <w:sz w:val="18"/>
              </w:rPr>
              <w:t>health</w:t>
            </w:r>
            <w:r>
              <w:rPr>
                <w:spacing w:val="-3"/>
                <w:sz w:val="18"/>
              </w:rPr>
              <w:t xml:space="preserve"> </w:t>
            </w:r>
            <w:r>
              <w:rPr>
                <w:sz w:val="18"/>
              </w:rPr>
              <w:t>intervention</w:t>
            </w:r>
            <w:r>
              <w:rPr>
                <w:spacing w:val="-6"/>
                <w:sz w:val="18"/>
              </w:rPr>
              <w:t xml:space="preserve"> </w:t>
            </w:r>
            <w:r>
              <w:rPr>
                <w:sz w:val="18"/>
              </w:rPr>
              <w:t>research.</w:t>
            </w:r>
            <w:r>
              <w:rPr>
                <w:spacing w:val="-3"/>
                <w:sz w:val="18"/>
              </w:rPr>
              <w:t xml:space="preserve"> </w:t>
            </w:r>
            <w:r>
              <w:rPr>
                <w:i/>
                <w:sz w:val="18"/>
              </w:rPr>
              <w:t>Annual</w:t>
            </w:r>
            <w:r>
              <w:rPr>
                <w:i/>
                <w:spacing w:val="-4"/>
                <w:sz w:val="18"/>
              </w:rPr>
              <w:t xml:space="preserve"> </w:t>
            </w:r>
            <w:r>
              <w:rPr>
                <w:i/>
                <w:sz w:val="18"/>
              </w:rPr>
              <w:t>Review</w:t>
            </w:r>
            <w:r>
              <w:rPr>
                <w:i/>
                <w:spacing w:val="-4"/>
                <w:sz w:val="18"/>
              </w:rPr>
              <w:t xml:space="preserve"> </w:t>
            </w:r>
            <w:r>
              <w:rPr>
                <w:i/>
                <w:sz w:val="18"/>
              </w:rPr>
              <w:t>of</w:t>
            </w:r>
            <w:r>
              <w:rPr>
                <w:i/>
                <w:spacing w:val="-4"/>
                <w:sz w:val="18"/>
              </w:rPr>
              <w:t xml:space="preserve"> </w:t>
            </w:r>
            <w:r>
              <w:rPr>
                <w:i/>
                <w:sz w:val="18"/>
              </w:rPr>
              <w:t>Public</w:t>
            </w:r>
            <w:r>
              <w:rPr>
                <w:i/>
                <w:spacing w:val="-5"/>
                <w:sz w:val="18"/>
              </w:rPr>
              <w:t xml:space="preserve"> </w:t>
            </w:r>
            <w:r>
              <w:rPr>
                <w:i/>
                <w:sz w:val="18"/>
              </w:rPr>
              <w:t>Health</w:t>
            </w:r>
            <w:r>
              <w:rPr>
                <w:i/>
                <w:spacing w:val="-3"/>
                <w:sz w:val="18"/>
              </w:rPr>
              <w:t xml:space="preserve"> </w:t>
            </w:r>
            <w:r>
              <w:rPr>
                <w:sz w:val="18"/>
              </w:rPr>
              <w:t>2017;38(1):39-56.</w:t>
            </w:r>
          </w:p>
          <w:p w14:paraId="00C24B83" w14:textId="77777777" w:rsidR="00781AA0" w:rsidRDefault="00000000">
            <w:pPr>
              <w:pStyle w:val="TableParagraph"/>
              <w:numPr>
                <w:ilvl w:val="0"/>
                <w:numId w:val="1"/>
              </w:numPr>
              <w:tabs>
                <w:tab w:val="left" w:pos="310"/>
              </w:tabs>
              <w:spacing w:before="4"/>
              <w:ind w:right="442" w:hanging="720"/>
              <w:rPr>
                <w:sz w:val="18"/>
              </w:rPr>
            </w:pPr>
            <w:r>
              <w:rPr>
                <w:sz w:val="18"/>
              </w:rPr>
              <w:t xml:space="preserve">Moodie R, Stuckler D, Monteiro C, et al. Profits and pandemics: prevention of harmful effects of tobacco, alcohol, and ultra-processed food and drink industries. </w:t>
            </w:r>
            <w:r>
              <w:rPr>
                <w:i/>
                <w:sz w:val="18"/>
              </w:rPr>
              <w:t xml:space="preserve">The Lancet </w:t>
            </w:r>
            <w:r>
              <w:rPr>
                <w:sz w:val="18"/>
              </w:rPr>
              <w:t xml:space="preserve">2013;381(9867):670-79. </w:t>
            </w:r>
            <w:proofErr w:type="spellStart"/>
            <w:r>
              <w:rPr>
                <w:sz w:val="18"/>
              </w:rPr>
              <w:t>doi</w:t>
            </w:r>
            <w:proofErr w:type="spellEnd"/>
            <w:r>
              <w:rPr>
                <w:sz w:val="18"/>
              </w:rPr>
              <w:t>: 10.1016/S0140- 6736(12)62089-3</w:t>
            </w:r>
          </w:p>
          <w:p w14:paraId="38D7963D" w14:textId="77777777" w:rsidR="00781AA0" w:rsidRDefault="00000000">
            <w:pPr>
              <w:pStyle w:val="TableParagraph"/>
              <w:numPr>
                <w:ilvl w:val="0"/>
                <w:numId w:val="1"/>
              </w:numPr>
              <w:tabs>
                <w:tab w:val="left" w:pos="310"/>
              </w:tabs>
              <w:ind w:right="603" w:hanging="720"/>
              <w:jc w:val="both"/>
              <w:rPr>
                <w:sz w:val="18"/>
              </w:rPr>
            </w:pPr>
            <w:r>
              <w:rPr>
                <w:sz w:val="18"/>
              </w:rPr>
              <w:t xml:space="preserve">Petticrew M, </w:t>
            </w:r>
            <w:proofErr w:type="spellStart"/>
            <w:r>
              <w:rPr>
                <w:sz w:val="18"/>
              </w:rPr>
              <w:t>Katikireddi</w:t>
            </w:r>
            <w:proofErr w:type="spellEnd"/>
            <w:r>
              <w:rPr>
                <w:sz w:val="18"/>
              </w:rPr>
              <w:t xml:space="preserve"> SV, Knai C, et al. ‘Nothing can be done until everything is done’: the use of complexity arguments by food, beverage, </w:t>
            </w:r>
            <w:proofErr w:type="gramStart"/>
            <w:r>
              <w:rPr>
                <w:sz w:val="18"/>
              </w:rPr>
              <w:t>alcohol</w:t>
            </w:r>
            <w:proofErr w:type="gramEnd"/>
            <w:r>
              <w:rPr>
                <w:sz w:val="18"/>
              </w:rPr>
              <w:t xml:space="preserve"> and gambling industries. </w:t>
            </w:r>
            <w:r>
              <w:rPr>
                <w:i/>
                <w:sz w:val="18"/>
              </w:rPr>
              <w:t xml:space="preserve">Journal of Epidemiology and Community Health </w:t>
            </w:r>
            <w:r>
              <w:rPr>
                <w:sz w:val="18"/>
              </w:rPr>
              <w:t xml:space="preserve">2017;71(11):1078-83. </w:t>
            </w:r>
            <w:proofErr w:type="spellStart"/>
            <w:r>
              <w:rPr>
                <w:sz w:val="18"/>
              </w:rPr>
              <w:t>doi</w:t>
            </w:r>
            <w:proofErr w:type="spellEnd"/>
            <w:r>
              <w:rPr>
                <w:sz w:val="18"/>
              </w:rPr>
              <w:t>:</w:t>
            </w:r>
            <w:r>
              <w:rPr>
                <w:spacing w:val="-3"/>
                <w:sz w:val="18"/>
              </w:rPr>
              <w:t xml:space="preserve"> </w:t>
            </w:r>
            <w:r>
              <w:rPr>
                <w:sz w:val="18"/>
              </w:rPr>
              <w:t>10.1136/jech-2017-209710</w:t>
            </w:r>
          </w:p>
          <w:p w14:paraId="41AB7E19" w14:textId="77777777" w:rsidR="00781AA0" w:rsidRDefault="00000000">
            <w:pPr>
              <w:pStyle w:val="TableParagraph"/>
              <w:numPr>
                <w:ilvl w:val="0"/>
                <w:numId w:val="1"/>
              </w:numPr>
              <w:tabs>
                <w:tab w:val="left" w:pos="410"/>
              </w:tabs>
              <w:ind w:right="271" w:hanging="720"/>
              <w:rPr>
                <w:sz w:val="18"/>
              </w:rPr>
            </w:pPr>
            <w:r>
              <w:rPr>
                <w:sz w:val="18"/>
              </w:rPr>
              <w:t xml:space="preserve">Stuckler D, McKee M, Ebrahim S, et al. Manufacturing Epidemics: The Role of Global Producers in Increased Consumption of Unhealthy Commodities Including Processed Foods, Alcohol, and Tobacco. </w:t>
            </w:r>
            <w:r>
              <w:rPr>
                <w:i/>
                <w:sz w:val="18"/>
              </w:rPr>
              <w:t xml:space="preserve">PLOS Medicine </w:t>
            </w:r>
            <w:r>
              <w:rPr>
                <w:sz w:val="18"/>
              </w:rPr>
              <w:t>2012;9(6</w:t>
            </w:r>
            <w:proofErr w:type="gramStart"/>
            <w:r>
              <w:rPr>
                <w:sz w:val="18"/>
              </w:rPr>
              <w:t>):e</w:t>
            </w:r>
            <w:proofErr w:type="gramEnd"/>
            <w:r>
              <w:rPr>
                <w:sz w:val="18"/>
              </w:rPr>
              <w:t xml:space="preserve">1001235. </w:t>
            </w:r>
            <w:proofErr w:type="spellStart"/>
            <w:r>
              <w:rPr>
                <w:sz w:val="18"/>
              </w:rPr>
              <w:t>doi</w:t>
            </w:r>
            <w:proofErr w:type="spellEnd"/>
            <w:r>
              <w:rPr>
                <w:sz w:val="18"/>
              </w:rPr>
              <w:t>:</w:t>
            </w:r>
            <w:r>
              <w:rPr>
                <w:spacing w:val="-1"/>
                <w:sz w:val="18"/>
              </w:rPr>
              <w:t xml:space="preserve"> </w:t>
            </w:r>
            <w:r>
              <w:rPr>
                <w:sz w:val="18"/>
              </w:rPr>
              <w:t>10.1371/journal.pmed.1001235</w:t>
            </w:r>
          </w:p>
          <w:p w14:paraId="6B116583" w14:textId="77777777" w:rsidR="00781AA0" w:rsidRDefault="00000000">
            <w:pPr>
              <w:pStyle w:val="TableParagraph"/>
              <w:numPr>
                <w:ilvl w:val="0"/>
                <w:numId w:val="1"/>
              </w:numPr>
              <w:tabs>
                <w:tab w:val="left" w:pos="410"/>
              </w:tabs>
              <w:spacing w:before="1" w:line="237" w:lineRule="auto"/>
              <w:ind w:right="274" w:hanging="720"/>
              <w:rPr>
                <w:sz w:val="18"/>
              </w:rPr>
            </w:pPr>
            <w:proofErr w:type="spellStart"/>
            <w:r>
              <w:rPr>
                <w:sz w:val="18"/>
              </w:rPr>
              <w:t>Katikireddi</w:t>
            </w:r>
            <w:proofErr w:type="spellEnd"/>
            <w:r>
              <w:rPr>
                <w:spacing w:val="-3"/>
                <w:sz w:val="18"/>
              </w:rPr>
              <w:t xml:space="preserve"> </w:t>
            </w:r>
            <w:r>
              <w:rPr>
                <w:sz w:val="18"/>
              </w:rPr>
              <w:t>SV,</w:t>
            </w:r>
            <w:r>
              <w:rPr>
                <w:spacing w:val="-3"/>
                <w:sz w:val="18"/>
              </w:rPr>
              <w:t xml:space="preserve"> </w:t>
            </w:r>
            <w:r>
              <w:rPr>
                <w:sz w:val="18"/>
              </w:rPr>
              <w:t>Bond</w:t>
            </w:r>
            <w:r>
              <w:rPr>
                <w:spacing w:val="-2"/>
                <w:sz w:val="18"/>
              </w:rPr>
              <w:t xml:space="preserve"> </w:t>
            </w:r>
            <w:r>
              <w:rPr>
                <w:sz w:val="18"/>
              </w:rPr>
              <w:t>L,</w:t>
            </w:r>
            <w:r>
              <w:rPr>
                <w:spacing w:val="-3"/>
                <w:sz w:val="18"/>
              </w:rPr>
              <w:t xml:space="preserve"> </w:t>
            </w:r>
            <w:r>
              <w:rPr>
                <w:sz w:val="18"/>
              </w:rPr>
              <w:t>Hilton</w:t>
            </w:r>
            <w:r>
              <w:rPr>
                <w:spacing w:val="-2"/>
                <w:sz w:val="18"/>
              </w:rPr>
              <w:t xml:space="preserve"> </w:t>
            </w:r>
            <w:r>
              <w:rPr>
                <w:sz w:val="18"/>
              </w:rPr>
              <w:t>S.</w:t>
            </w:r>
            <w:r>
              <w:rPr>
                <w:spacing w:val="-3"/>
                <w:sz w:val="18"/>
              </w:rPr>
              <w:t xml:space="preserve"> </w:t>
            </w:r>
            <w:r>
              <w:rPr>
                <w:sz w:val="18"/>
              </w:rPr>
              <w:t>Changing</w:t>
            </w:r>
            <w:r>
              <w:rPr>
                <w:spacing w:val="-2"/>
                <w:sz w:val="18"/>
              </w:rPr>
              <w:t xml:space="preserve"> </w:t>
            </w:r>
            <w:r>
              <w:rPr>
                <w:sz w:val="18"/>
              </w:rPr>
              <w:t>Policy</w:t>
            </w:r>
            <w:r>
              <w:rPr>
                <w:spacing w:val="-4"/>
                <w:sz w:val="18"/>
              </w:rPr>
              <w:t xml:space="preserve"> </w:t>
            </w:r>
            <w:r>
              <w:rPr>
                <w:sz w:val="18"/>
              </w:rPr>
              <w:t>Framing</w:t>
            </w:r>
            <w:r>
              <w:rPr>
                <w:spacing w:val="-2"/>
                <w:sz w:val="18"/>
              </w:rPr>
              <w:t xml:space="preserve"> </w:t>
            </w:r>
            <w:r>
              <w:rPr>
                <w:sz w:val="18"/>
              </w:rPr>
              <w:t>as</w:t>
            </w:r>
            <w:r>
              <w:rPr>
                <w:spacing w:val="-4"/>
                <w:sz w:val="18"/>
              </w:rPr>
              <w:t xml:space="preserve"> </w:t>
            </w:r>
            <w:r>
              <w:rPr>
                <w:sz w:val="18"/>
              </w:rPr>
              <w:t>a</w:t>
            </w:r>
            <w:r>
              <w:rPr>
                <w:spacing w:val="-2"/>
                <w:sz w:val="18"/>
              </w:rPr>
              <w:t xml:space="preserve"> </w:t>
            </w:r>
            <w:r>
              <w:rPr>
                <w:sz w:val="18"/>
              </w:rPr>
              <w:t>Deliberate</w:t>
            </w:r>
            <w:r>
              <w:rPr>
                <w:spacing w:val="-2"/>
                <w:sz w:val="18"/>
              </w:rPr>
              <w:t xml:space="preserve"> </w:t>
            </w:r>
            <w:r>
              <w:rPr>
                <w:sz w:val="18"/>
              </w:rPr>
              <w:t>Strategy</w:t>
            </w:r>
            <w:r>
              <w:rPr>
                <w:spacing w:val="-4"/>
                <w:sz w:val="18"/>
              </w:rPr>
              <w:t xml:space="preserve"> </w:t>
            </w:r>
            <w:r>
              <w:rPr>
                <w:sz w:val="18"/>
              </w:rPr>
              <w:t>for</w:t>
            </w:r>
            <w:r>
              <w:rPr>
                <w:spacing w:val="-7"/>
                <w:sz w:val="18"/>
              </w:rPr>
              <w:t xml:space="preserve"> </w:t>
            </w:r>
            <w:r>
              <w:rPr>
                <w:sz w:val="18"/>
              </w:rPr>
              <w:t>Public</w:t>
            </w:r>
            <w:r>
              <w:rPr>
                <w:spacing w:val="-2"/>
                <w:sz w:val="18"/>
              </w:rPr>
              <w:t xml:space="preserve"> </w:t>
            </w:r>
            <w:r>
              <w:rPr>
                <w:sz w:val="18"/>
              </w:rPr>
              <w:t>Health</w:t>
            </w:r>
            <w:r>
              <w:rPr>
                <w:spacing w:val="-2"/>
                <w:sz w:val="18"/>
              </w:rPr>
              <w:t xml:space="preserve"> </w:t>
            </w:r>
            <w:r>
              <w:rPr>
                <w:sz w:val="18"/>
              </w:rPr>
              <w:t>Advocacy:</w:t>
            </w:r>
            <w:r>
              <w:rPr>
                <w:spacing w:val="-3"/>
                <w:sz w:val="18"/>
              </w:rPr>
              <w:t xml:space="preserve"> </w:t>
            </w:r>
            <w:r>
              <w:rPr>
                <w:sz w:val="18"/>
              </w:rPr>
              <w:t xml:space="preserve">A Qualitative Policy Case Study of Minimum Unit Pricing of Alcohol. </w:t>
            </w:r>
            <w:r>
              <w:rPr>
                <w:i/>
                <w:sz w:val="18"/>
              </w:rPr>
              <w:t>Milbank Quarterly</w:t>
            </w:r>
            <w:r>
              <w:rPr>
                <w:i/>
                <w:spacing w:val="-31"/>
                <w:sz w:val="18"/>
              </w:rPr>
              <w:t xml:space="preserve"> </w:t>
            </w:r>
            <w:r>
              <w:rPr>
                <w:sz w:val="18"/>
              </w:rPr>
              <w:t>2014;92(2):250-83.</w:t>
            </w:r>
          </w:p>
          <w:p w14:paraId="15704A07" w14:textId="77777777" w:rsidR="00781AA0" w:rsidRDefault="00000000">
            <w:pPr>
              <w:pStyle w:val="TableParagraph"/>
              <w:numPr>
                <w:ilvl w:val="0"/>
                <w:numId w:val="1"/>
              </w:numPr>
              <w:tabs>
                <w:tab w:val="left" w:pos="410"/>
              </w:tabs>
              <w:spacing w:before="1"/>
              <w:ind w:right="171" w:hanging="720"/>
              <w:rPr>
                <w:sz w:val="18"/>
              </w:rPr>
            </w:pPr>
            <w:r>
              <w:rPr>
                <w:sz w:val="18"/>
              </w:rPr>
              <w:t xml:space="preserve">Bryden A, Petticrew M, Mays N, et al. Voluntary agreements between government and business - a scoping review of the literature with specific reference to the Public Health Responsibility Deal. </w:t>
            </w:r>
            <w:r>
              <w:rPr>
                <w:i/>
                <w:sz w:val="18"/>
              </w:rPr>
              <w:t>Health policy (Amsterdam, Netherlands)</w:t>
            </w:r>
            <w:r>
              <w:rPr>
                <w:i/>
                <w:spacing w:val="-7"/>
                <w:sz w:val="18"/>
              </w:rPr>
              <w:t xml:space="preserve"> </w:t>
            </w:r>
            <w:r>
              <w:rPr>
                <w:sz w:val="18"/>
              </w:rPr>
              <w:t>2013;110(2-3):186-97.</w:t>
            </w:r>
            <w:r>
              <w:rPr>
                <w:spacing w:val="-9"/>
                <w:sz w:val="18"/>
              </w:rPr>
              <w:t xml:space="preserve"> </w:t>
            </w:r>
            <w:proofErr w:type="spellStart"/>
            <w:r>
              <w:rPr>
                <w:sz w:val="18"/>
              </w:rPr>
              <w:t>doi</w:t>
            </w:r>
            <w:proofErr w:type="spellEnd"/>
            <w:r>
              <w:rPr>
                <w:sz w:val="18"/>
              </w:rPr>
              <w:t>:</w:t>
            </w:r>
            <w:r>
              <w:rPr>
                <w:spacing w:val="-6"/>
                <w:sz w:val="18"/>
              </w:rPr>
              <w:t xml:space="preserve"> </w:t>
            </w:r>
            <w:r>
              <w:rPr>
                <w:sz w:val="18"/>
              </w:rPr>
              <w:t>10.1016/j.healthpol.2013.02.009</w:t>
            </w:r>
            <w:r>
              <w:rPr>
                <w:spacing w:val="-6"/>
                <w:sz w:val="18"/>
              </w:rPr>
              <w:t xml:space="preserve"> </w:t>
            </w:r>
            <w:r>
              <w:rPr>
                <w:sz w:val="18"/>
              </w:rPr>
              <w:t>[published</w:t>
            </w:r>
            <w:r>
              <w:rPr>
                <w:spacing w:val="-6"/>
                <w:sz w:val="18"/>
              </w:rPr>
              <w:t xml:space="preserve"> </w:t>
            </w:r>
            <w:r>
              <w:rPr>
                <w:sz w:val="18"/>
              </w:rPr>
              <w:t>Online</w:t>
            </w:r>
            <w:r>
              <w:rPr>
                <w:spacing w:val="-6"/>
                <w:sz w:val="18"/>
              </w:rPr>
              <w:t xml:space="preserve"> </w:t>
            </w:r>
            <w:r>
              <w:rPr>
                <w:sz w:val="18"/>
              </w:rPr>
              <w:t>First:</w:t>
            </w:r>
            <w:r>
              <w:rPr>
                <w:spacing w:val="-7"/>
                <w:sz w:val="18"/>
              </w:rPr>
              <w:t xml:space="preserve"> </w:t>
            </w:r>
            <w:r>
              <w:rPr>
                <w:sz w:val="18"/>
              </w:rPr>
              <w:t>2013/03/20]</w:t>
            </w:r>
          </w:p>
          <w:p w14:paraId="0FD4B6B4" w14:textId="77777777" w:rsidR="00781AA0" w:rsidRDefault="00000000">
            <w:pPr>
              <w:pStyle w:val="TableParagraph"/>
              <w:numPr>
                <w:ilvl w:val="0"/>
                <w:numId w:val="1"/>
              </w:numPr>
              <w:tabs>
                <w:tab w:val="left" w:pos="410"/>
              </w:tabs>
              <w:spacing w:before="1"/>
              <w:ind w:right="110" w:hanging="720"/>
              <w:rPr>
                <w:sz w:val="18"/>
              </w:rPr>
            </w:pPr>
            <w:r>
              <w:rPr>
                <w:sz w:val="18"/>
              </w:rPr>
              <w:t xml:space="preserve">Knai C, Petticrew M, Durand MA, et al. The Public Health Responsibility deal: has a public-private partnership brought about action on alcohol reduction? </w:t>
            </w:r>
            <w:r>
              <w:rPr>
                <w:i/>
                <w:sz w:val="18"/>
              </w:rPr>
              <w:t xml:space="preserve">Addiction </w:t>
            </w:r>
            <w:r>
              <w:rPr>
                <w:sz w:val="18"/>
              </w:rPr>
              <w:t xml:space="preserve">2015;110(8):1217-25. </w:t>
            </w:r>
            <w:proofErr w:type="spellStart"/>
            <w:r>
              <w:rPr>
                <w:sz w:val="18"/>
              </w:rPr>
              <w:t>doi</w:t>
            </w:r>
            <w:proofErr w:type="spellEnd"/>
            <w:r>
              <w:rPr>
                <w:sz w:val="18"/>
              </w:rPr>
              <w:t>: 10.1111/add.12892 [published Online First:</w:t>
            </w:r>
            <w:r>
              <w:rPr>
                <w:spacing w:val="-3"/>
                <w:sz w:val="18"/>
              </w:rPr>
              <w:t xml:space="preserve"> </w:t>
            </w:r>
            <w:r>
              <w:rPr>
                <w:sz w:val="18"/>
              </w:rPr>
              <w:t>2015/03/27]</w:t>
            </w:r>
          </w:p>
          <w:p w14:paraId="6E71C7CB" w14:textId="77777777" w:rsidR="00781AA0" w:rsidRDefault="00000000">
            <w:pPr>
              <w:pStyle w:val="TableParagraph"/>
              <w:numPr>
                <w:ilvl w:val="0"/>
                <w:numId w:val="1"/>
              </w:numPr>
              <w:tabs>
                <w:tab w:val="left" w:pos="410"/>
              </w:tabs>
              <w:ind w:right="602" w:hanging="720"/>
              <w:rPr>
                <w:sz w:val="18"/>
              </w:rPr>
            </w:pPr>
            <w:r>
              <w:rPr>
                <w:sz w:val="18"/>
              </w:rPr>
              <w:t xml:space="preserve">McCambridge J, Hawkins B, Holden C. Industry Use of Evidence to Influence Alcohol Policy: A Case Study of Submissions to the 2008 Scottish Government Consultation. </w:t>
            </w:r>
            <w:proofErr w:type="spellStart"/>
            <w:r>
              <w:rPr>
                <w:i/>
                <w:sz w:val="18"/>
              </w:rPr>
              <w:t>PLoS</w:t>
            </w:r>
            <w:proofErr w:type="spellEnd"/>
            <w:r>
              <w:rPr>
                <w:i/>
                <w:sz w:val="18"/>
              </w:rPr>
              <w:t xml:space="preserve"> Medicine </w:t>
            </w:r>
            <w:r>
              <w:rPr>
                <w:sz w:val="18"/>
              </w:rPr>
              <w:t>2013;10(4</w:t>
            </w:r>
            <w:proofErr w:type="gramStart"/>
            <w:r>
              <w:rPr>
                <w:sz w:val="18"/>
              </w:rPr>
              <w:t>):e</w:t>
            </w:r>
            <w:proofErr w:type="gramEnd"/>
            <w:r>
              <w:rPr>
                <w:sz w:val="18"/>
              </w:rPr>
              <w:t xml:space="preserve">1001431. </w:t>
            </w:r>
            <w:proofErr w:type="spellStart"/>
            <w:r>
              <w:rPr>
                <w:sz w:val="18"/>
              </w:rPr>
              <w:t>doi</w:t>
            </w:r>
            <w:proofErr w:type="spellEnd"/>
            <w:r>
              <w:rPr>
                <w:sz w:val="18"/>
              </w:rPr>
              <w:t>: 10.1371/journal.pmed.1001431</w:t>
            </w:r>
          </w:p>
          <w:p w14:paraId="1E0A9DA0" w14:textId="77777777" w:rsidR="00781AA0" w:rsidRDefault="00000000">
            <w:pPr>
              <w:pStyle w:val="TableParagraph"/>
              <w:numPr>
                <w:ilvl w:val="0"/>
                <w:numId w:val="1"/>
              </w:numPr>
              <w:tabs>
                <w:tab w:val="left" w:pos="410"/>
              </w:tabs>
              <w:spacing w:line="205" w:lineRule="exact"/>
              <w:ind w:left="409" w:hanging="303"/>
              <w:rPr>
                <w:i/>
                <w:sz w:val="18"/>
              </w:rPr>
            </w:pPr>
            <w:r>
              <w:rPr>
                <w:sz w:val="18"/>
              </w:rPr>
              <w:t>McCambridge</w:t>
            </w:r>
            <w:r>
              <w:rPr>
                <w:spacing w:val="-5"/>
                <w:sz w:val="18"/>
              </w:rPr>
              <w:t xml:space="preserve"> </w:t>
            </w:r>
            <w:r>
              <w:rPr>
                <w:sz w:val="18"/>
              </w:rPr>
              <w:t>J,</w:t>
            </w:r>
            <w:r>
              <w:rPr>
                <w:spacing w:val="-3"/>
                <w:sz w:val="18"/>
              </w:rPr>
              <w:t xml:space="preserve"> </w:t>
            </w:r>
            <w:proofErr w:type="spellStart"/>
            <w:r>
              <w:rPr>
                <w:sz w:val="18"/>
              </w:rPr>
              <w:t>Mialon</w:t>
            </w:r>
            <w:proofErr w:type="spellEnd"/>
            <w:r>
              <w:rPr>
                <w:spacing w:val="-1"/>
                <w:sz w:val="18"/>
              </w:rPr>
              <w:t xml:space="preserve"> </w:t>
            </w:r>
            <w:r>
              <w:rPr>
                <w:sz w:val="18"/>
              </w:rPr>
              <w:t>M,</w:t>
            </w:r>
            <w:r>
              <w:rPr>
                <w:spacing w:val="-3"/>
                <w:sz w:val="18"/>
              </w:rPr>
              <w:t xml:space="preserve"> </w:t>
            </w:r>
            <w:r>
              <w:rPr>
                <w:sz w:val="18"/>
              </w:rPr>
              <w:t>Hawkins</w:t>
            </w:r>
            <w:r>
              <w:rPr>
                <w:spacing w:val="-1"/>
                <w:sz w:val="18"/>
              </w:rPr>
              <w:t xml:space="preserve"> </w:t>
            </w:r>
            <w:r>
              <w:rPr>
                <w:sz w:val="18"/>
              </w:rPr>
              <w:t>B.</w:t>
            </w:r>
            <w:r>
              <w:rPr>
                <w:spacing w:val="-3"/>
                <w:sz w:val="18"/>
              </w:rPr>
              <w:t xml:space="preserve"> </w:t>
            </w:r>
            <w:r>
              <w:rPr>
                <w:sz w:val="18"/>
              </w:rPr>
              <w:t>Alcohol</w:t>
            </w:r>
            <w:r>
              <w:rPr>
                <w:spacing w:val="-4"/>
                <w:sz w:val="18"/>
              </w:rPr>
              <w:t xml:space="preserve"> </w:t>
            </w:r>
            <w:r>
              <w:rPr>
                <w:sz w:val="18"/>
              </w:rPr>
              <w:t>industry</w:t>
            </w:r>
            <w:r>
              <w:rPr>
                <w:spacing w:val="-4"/>
                <w:sz w:val="18"/>
              </w:rPr>
              <w:t xml:space="preserve"> </w:t>
            </w:r>
            <w:r>
              <w:rPr>
                <w:sz w:val="18"/>
              </w:rPr>
              <w:t>involvement</w:t>
            </w:r>
            <w:r>
              <w:rPr>
                <w:spacing w:val="-5"/>
                <w:sz w:val="18"/>
              </w:rPr>
              <w:t xml:space="preserve"> </w:t>
            </w:r>
            <w:r>
              <w:rPr>
                <w:sz w:val="18"/>
              </w:rPr>
              <w:t>in</w:t>
            </w:r>
            <w:r>
              <w:rPr>
                <w:spacing w:val="-4"/>
                <w:sz w:val="18"/>
              </w:rPr>
              <w:t xml:space="preserve"> </w:t>
            </w:r>
            <w:r>
              <w:rPr>
                <w:sz w:val="18"/>
              </w:rPr>
              <w:t>policymaking:</w:t>
            </w:r>
            <w:r>
              <w:rPr>
                <w:spacing w:val="-3"/>
                <w:sz w:val="18"/>
              </w:rPr>
              <w:t xml:space="preserve"> </w:t>
            </w:r>
            <w:r>
              <w:rPr>
                <w:sz w:val="18"/>
              </w:rPr>
              <w:t>a</w:t>
            </w:r>
            <w:r>
              <w:rPr>
                <w:spacing w:val="-6"/>
                <w:sz w:val="18"/>
              </w:rPr>
              <w:t xml:space="preserve"> </w:t>
            </w:r>
            <w:r>
              <w:rPr>
                <w:sz w:val="18"/>
              </w:rPr>
              <w:t>systematic</w:t>
            </w:r>
            <w:r>
              <w:rPr>
                <w:spacing w:val="-2"/>
                <w:sz w:val="18"/>
              </w:rPr>
              <w:t xml:space="preserve"> </w:t>
            </w:r>
            <w:r>
              <w:rPr>
                <w:sz w:val="18"/>
              </w:rPr>
              <w:t>review.</w:t>
            </w:r>
            <w:r>
              <w:rPr>
                <w:spacing w:val="-1"/>
                <w:sz w:val="18"/>
              </w:rPr>
              <w:t xml:space="preserve"> </w:t>
            </w:r>
            <w:r>
              <w:rPr>
                <w:i/>
                <w:sz w:val="18"/>
              </w:rPr>
              <w:t>Addiction</w:t>
            </w:r>
          </w:p>
          <w:p w14:paraId="184DC5BD" w14:textId="77777777" w:rsidR="00781AA0" w:rsidRDefault="00000000">
            <w:pPr>
              <w:pStyle w:val="TableParagraph"/>
              <w:spacing w:before="2" w:line="207" w:lineRule="exact"/>
              <w:ind w:left="827"/>
              <w:rPr>
                <w:sz w:val="18"/>
              </w:rPr>
            </w:pPr>
            <w:r>
              <w:rPr>
                <w:sz w:val="18"/>
              </w:rPr>
              <w:t xml:space="preserve">2018 </w:t>
            </w:r>
            <w:proofErr w:type="spellStart"/>
            <w:r>
              <w:rPr>
                <w:sz w:val="18"/>
              </w:rPr>
              <w:t>doi</w:t>
            </w:r>
            <w:proofErr w:type="spellEnd"/>
            <w:r>
              <w:rPr>
                <w:sz w:val="18"/>
              </w:rPr>
              <w:t>: 10.1111/add.14216 [published Online First: 2018/03/16]</w:t>
            </w:r>
          </w:p>
          <w:p w14:paraId="7AA7A97D" w14:textId="77777777" w:rsidR="00781AA0" w:rsidRDefault="00000000">
            <w:pPr>
              <w:pStyle w:val="TableParagraph"/>
              <w:numPr>
                <w:ilvl w:val="0"/>
                <w:numId w:val="1"/>
              </w:numPr>
              <w:tabs>
                <w:tab w:val="left" w:pos="410"/>
              </w:tabs>
              <w:ind w:right="271" w:hanging="720"/>
              <w:rPr>
                <w:sz w:val="18"/>
              </w:rPr>
            </w:pPr>
            <w:r>
              <w:rPr>
                <w:sz w:val="18"/>
              </w:rPr>
              <w:t>Beeston C, Robinson M, Craig N, et al. Monitoring and Evaluating Scotland’s Alcohol Strategy. Setting the Scene: Theory of change and baseline picture. Edinburgh: NHS health Scotland,</w:t>
            </w:r>
            <w:r>
              <w:rPr>
                <w:spacing w:val="-12"/>
                <w:sz w:val="18"/>
              </w:rPr>
              <w:t xml:space="preserve"> </w:t>
            </w:r>
            <w:r>
              <w:rPr>
                <w:sz w:val="18"/>
              </w:rPr>
              <w:t>2011.</w:t>
            </w:r>
          </w:p>
          <w:p w14:paraId="0D1E2BB5" w14:textId="77777777" w:rsidR="00781AA0" w:rsidRDefault="00000000">
            <w:pPr>
              <w:pStyle w:val="TableParagraph"/>
              <w:numPr>
                <w:ilvl w:val="0"/>
                <w:numId w:val="1"/>
              </w:numPr>
              <w:tabs>
                <w:tab w:val="left" w:pos="410"/>
              </w:tabs>
              <w:spacing w:before="1"/>
              <w:ind w:right="245" w:hanging="720"/>
              <w:rPr>
                <w:sz w:val="18"/>
              </w:rPr>
            </w:pPr>
            <w:r>
              <w:rPr>
                <w:sz w:val="18"/>
              </w:rPr>
              <w:t>NHS</w:t>
            </w:r>
            <w:r>
              <w:rPr>
                <w:spacing w:val="-5"/>
                <w:sz w:val="18"/>
              </w:rPr>
              <w:t xml:space="preserve"> </w:t>
            </w:r>
            <w:r>
              <w:rPr>
                <w:sz w:val="18"/>
              </w:rPr>
              <w:t>Health</w:t>
            </w:r>
            <w:r>
              <w:rPr>
                <w:spacing w:val="-4"/>
                <w:sz w:val="18"/>
              </w:rPr>
              <w:t xml:space="preserve"> </w:t>
            </w:r>
            <w:r>
              <w:rPr>
                <w:sz w:val="18"/>
              </w:rPr>
              <w:t>Scotland.</w:t>
            </w:r>
            <w:r>
              <w:rPr>
                <w:spacing w:val="-4"/>
                <w:sz w:val="18"/>
              </w:rPr>
              <w:t xml:space="preserve"> </w:t>
            </w:r>
            <w:r>
              <w:rPr>
                <w:sz w:val="18"/>
              </w:rPr>
              <w:t>Monitoring</w:t>
            </w:r>
            <w:r>
              <w:rPr>
                <w:spacing w:val="-4"/>
                <w:sz w:val="18"/>
              </w:rPr>
              <w:t xml:space="preserve"> </w:t>
            </w:r>
            <w:r>
              <w:rPr>
                <w:sz w:val="18"/>
              </w:rPr>
              <w:t>and</w:t>
            </w:r>
            <w:r>
              <w:rPr>
                <w:spacing w:val="-4"/>
                <w:sz w:val="18"/>
              </w:rPr>
              <w:t xml:space="preserve"> </w:t>
            </w:r>
            <w:r>
              <w:rPr>
                <w:sz w:val="18"/>
              </w:rPr>
              <w:t>Evaluating</w:t>
            </w:r>
            <w:r>
              <w:rPr>
                <w:spacing w:val="-3"/>
                <w:sz w:val="18"/>
              </w:rPr>
              <w:t xml:space="preserve"> </w:t>
            </w:r>
            <w:r>
              <w:rPr>
                <w:sz w:val="18"/>
              </w:rPr>
              <w:t>Scotland’s</w:t>
            </w:r>
            <w:r>
              <w:rPr>
                <w:spacing w:val="-4"/>
                <w:sz w:val="18"/>
              </w:rPr>
              <w:t xml:space="preserve"> </w:t>
            </w:r>
            <w:r>
              <w:rPr>
                <w:sz w:val="18"/>
              </w:rPr>
              <w:t>Alcohol</w:t>
            </w:r>
            <w:r>
              <w:rPr>
                <w:spacing w:val="-3"/>
                <w:sz w:val="18"/>
              </w:rPr>
              <w:t xml:space="preserve"> </w:t>
            </w:r>
            <w:r>
              <w:rPr>
                <w:sz w:val="18"/>
              </w:rPr>
              <w:t>Strategy</w:t>
            </w:r>
            <w:r>
              <w:rPr>
                <w:spacing w:val="-6"/>
                <w:sz w:val="18"/>
              </w:rPr>
              <w:t xml:space="preserve"> </w:t>
            </w:r>
            <w:r>
              <w:rPr>
                <w:sz w:val="18"/>
              </w:rPr>
              <w:t>(MESAS):</w:t>
            </w:r>
            <w:r>
              <w:rPr>
                <w:spacing w:val="-2"/>
                <w:sz w:val="18"/>
              </w:rPr>
              <w:t xml:space="preserve"> </w:t>
            </w:r>
            <w:r>
              <w:rPr>
                <w:sz w:val="18"/>
              </w:rPr>
              <w:t>Briefing</w:t>
            </w:r>
            <w:r>
              <w:rPr>
                <w:spacing w:val="-3"/>
                <w:sz w:val="18"/>
              </w:rPr>
              <w:t xml:space="preserve"> </w:t>
            </w:r>
            <w:r>
              <w:rPr>
                <w:sz w:val="18"/>
              </w:rPr>
              <w:t>paper.</w:t>
            </w:r>
            <w:r>
              <w:rPr>
                <w:spacing w:val="-5"/>
                <w:sz w:val="18"/>
              </w:rPr>
              <w:t xml:space="preserve"> </w:t>
            </w:r>
            <w:r>
              <w:rPr>
                <w:sz w:val="18"/>
              </w:rPr>
              <w:t>December 2009 Glasgow, 2009.</w:t>
            </w:r>
          </w:p>
          <w:p w14:paraId="597F65A4" w14:textId="77777777" w:rsidR="00781AA0" w:rsidRDefault="00000000">
            <w:pPr>
              <w:pStyle w:val="TableParagraph"/>
              <w:numPr>
                <w:ilvl w:val="0"/>
                <w:numId w:val="1"/>
              </w:numPr>
              <w:tabs>
                <w:tab w:val="left" w:pos="410"/>
              </w:tabs>
              <w:ind w:right="621" w:hanging="721"/>
              <w:rPr>
                <w:sz w:val="18"/>
              </w:rPr>
            </w:pPr>
            <w:r>
              <w:rPr>
                <w:sz w:val="18"/>
              </w:rPr>
              <w:t>NHS Health Scotland. Evaluation of minimum unit pricing Edinburgh2017 [Available from:</w:t>
            </w:r>
            <w:r>
              <w:rPr>
                <w:color w:val="0000FF"/>
                <w:sz w:val="18"/>
                <w:u w:val="single" w:color="0000FF"/>
              </w:rPr>
              <w:t xml:space="preserve"> </w:t>
            </w:r>
            <w:hyperlink r:id="rId11">
              <w:r>
                <w:rPr>
                  <w:color w:val="0000FF"/>
                  <w:spacing w:val="-1"/>
                  <w:sz w:val="18"/>
                  <w:u w:val="single" w:color="0000FF"/>
                </w:rPr>
                <w:t>http://www.healthscotland.scot/health-topics/alcohol/evaluation-of-minimum-unit-pricing/mup-evaluation-</w:t>
              </w:r>
            </w:hyperlink>
            <w:hyperlink r:id="rId12">
              <w:r>
                <w:rPr>
                  <w:color w:val="0000FF"/>
                  <w:spacing w:val="-1"/>
                  <w:sz w:val="18"/>
                  <w:u w:val="single" w:color="0000FF"/>
                </w:rPr>
                <w:t xml:space="preserve"> </w:t>
              </w:r>
              <w:r>
                <w:rPr>
                  <w:color w:val="0000FF"/>
                  <w:sz w:val="18"/>
                  <w:u w:val="single" w:color="0000FF"/>
                </w:rPr>
                <w:t>overview</w:t>
              </w:r>
              <w:r>
                <w:rPr>
                  <w:color w:val="0000FF"/>
                  <w:sz w:val="18"/>
                </w:rPr>
                <w:t xml:space="preserve"> </w:t>
              </w:r>
            </w:hyperlink>
            <w:r>
              <w:rPr>
                <w:sz w:val="18"/>
              </w:rPr>
              <w:t>accessed</w:t>
            </w:r>
            <w:r>
              <w:rPr>
                <w:spacing w:val="-7"/>
                <w:sz w:val="18"/>
              </w:rPr>
              <w:t xml:space="preserve"> </w:t>
            </w:r>
            <w:r>
              <w:rPr>
                <w:sz w:val="18"/>
              </w:rPr>
              <w:t>15/11/2018.</w:t>
            </w:r>
          </w:p>
          <w:p w14:paraId="076B28D6" w14:textId="77777777" w:rsidR="00781AA0" w:rsidRDefault="00000000">
            <w:pPr>
              <w:pStyle w:val="TableParagraph"/>
              <w:numPr>
                <w:ilvl w:val="0"/>
                <w:numId w:val="1"/>
              </w:numPr>
              <w:tabs>
                <w:tab w:val="left" w:pos="411"/>
              </w:tabs>
              <w:spacing w:before="2" w:line="237" w:lineRule="auto"/>
              <w:ind w:right="139" w:hanging="720"/>
              <w:rPr>
                <w:sz w:val="18"/>
              </w:rPr>
            </w:pPr>
            <w:r>
              <w:rPr>
                <w:sz w:val="18"/>
              </w:rPr>
              <w:t xml:space="preserve">O’Donnell A, Anderson P, </w:t>
            </w:r>
            <w:proofErr w:type="spellStart"/>
            <w:r>
              <w:rPr>
                <w:sz w:val="18"/>
              </w:rPr>
              <w:t>Jané</w:t>
            </w:r>
            <w:proofErr w:type="spellEnd"/>
            <w:r>
              <w:rPr>
                <w:sz w:val="18"/>
              </w:rPr>
              <w:t>-Llopis E, et al. Immediate impact of minimum unit pricing on alcohol purchases in Scotland:</w:t>
            </w:r>
            <w:r>
              <w:rPr>
                <w:spacing w:val="-7"/>
                <w:sz w:val="18"/>
              </w:rPr>
              <w:t xml:space="preserve"> </w:t>
            </w:r>
            <w:r>
              <w:rPr>
                <w:sz w:val="18"/>
              </w:rPr>
              <w:t>controlled</w:t>
            </w:r>
            <w:r>
              <w:rPr>
                <w:spacing w:val="-6"/>
                <w:sz w:val="18"/>
              </w:rPr>
              <w:t xml:space="preserve"> </w:t>
            </w:r>
            <w:r>
              <w:rPr>
                <w:sz w:val="18"/>
              </w:rPr>
              <w:t>interrupted</w:t>
            </w:r>
            <w:r>
              <w:rPr>
                <w:spacing w:val="-3"/>
                <w:sz w:val="18"/>
              </w:rPr>
              <w:t xml:space="preserve"> </w:t>
            </w:r>
            <w:r>
              <w:rPr>
                <w:sz w:val="18"/>
              </w:rPr>
              <w:t>time</w:t>
            </w:r>
            <w:r>
              <w:rPr>
                <w:spacing w:val="-3"/>
                <w:sz w:val="18"/>
              </w:rPr>
              <w:t xml:space="preserve"> </w:t>
            </w:r>
            <w:r>
              <w:rPr>
                <w:sz w:val="18"/>
              </w:rPr>
              <w:t>series</w:t>
            </w:r>
            <w:r>
              <w:rPr>
                <w:spacing w:val="-3"/>
                <w:sz w:val="18"/>
              </w:rPr>
              <w:t xml:space="preserve"> </w:t>
            </w:r>
            <w:r>
              <w:rPr>
                <w:sz w:val="18"/>
              </w:rPr>
              <w:t>analysis</w:t>
            </w:r>
            <w:r>
              <w:rPr>
                <w:spacing w:val="-4"/>
                <w:sz w:val="18"/>
              </w:rPr>
              <w:t xml:space="preserve"> </w:t>
            </w:r>
            <w:r>
              <w:rPr>
                <w:sz w:val="18"/>
              </w:rPr>
              <w:t>for</w:t>
            </w:r>
            <w:r>
              <w:rPr>
                <w:spacing w:val="-4"/>
                <w:sz w:val="18"/>
              </w:rPr>
              <w:t xml:space="preserve"> </w:t>
            </w:r>
            <w:r>
              <w:rPr>
                <w:sz w:val="18"/>
              </w:rPr>
              <w:t>2015-18.</w:t>
            </w:r>
            <w:r>
              <w:rPr>
                <w:spacing w:val="-4"/>
                <w:sz w:val="18"/>
              </w:rPr>
              <w:t xml:space="preserve"> </w:t>
            </w:r>
            <w:r>
              <w:rPr>
                <w:i/>
                <w:sz w:val="18"/>
              </w:rPr>
              <w:t>BMJ</w:t>
            </w:r>
            <w:r>
              <w:rPr>
                <w:i/>
                <w:spacing w:val="-3"/>
                <w:sz w:val="18"/>
              </w:rPr>
              <w:t xml:space="preserve"> </w:t>
            </w:r>
            <w:r>
              <w:rPr>
                <w:sz w:val="18"/>
              </w:rPr>
              <w:t>2019;</w:t>
            </w:r>
            <w:proofErr w:type="gramStart"/>
            <w:r>
              <w:rPr>
                <w:sz w:val="18"/>
              </w:rPr>
              <w:t>366:l</w:t>
            </w:r>
            <w:proofErr w:type="gramEnd"/>
            <w:r>
              <w:rPr>
                <w:sz w:val="18"/>
              </w:rPr>
              <w:t>5274.</w:t>
            </w:r>
            <w:r>
              <w:rPr>
                <w:spacing w:val="-4"/>
                <w:sz w:val="18"/>
              </w:rPr>
              <w:t xml:space="preserve"> </w:t>
            </w:r>
            <w:proofErr w:type="spellStart"/>
            <w:r>
              <w:rPr>
                <w:sz w:val="18"/>
              </w:rPr>
              <w:t>doi</w:t>
            </w:r>
            <w:proofErr w:type="spellEnd"/>
            <w:r>
              <w:rPr>
                <w:sz w:val="18"/>
              </w:rPr>
              <w:t>:</w:t>
            </w:r>
            <w:r>
              <w:rPr>
                <w:spacing w:val="-7"/>
                <w:sz w:val="18"/>
              </w:rPr>
              <w:t xml:space="preserve"> </w:t>
            </w:r>
            <w:r>
              <w:rPr>
                <w:sz w:val="18"/>
              </w:rPr>
              <w:t>10.1136/</w:t>
            </w:r>
            <w:proofErr w:type="gramStart"/>
            <w:r>
              <w:rPr>
                <w:sz w:val="18"/>
              </w:rPr>
              <w:t>bmj.l</w:t>
            </w:r>
            <w:proofErr w:type="gramEnd"/>
            <w:r>
              <w:rPr>
                <w:sz w:val="18"/>
              </w:rPr>
              <w:t>5274</w:t>
            </w:r>
          </w:p>
          <w:p w14:paraId="350A4E91" w14:textId="77777777" w:rsidR="00781AA0" w:rsidRDefault="00000000">
            <w:pPr>
              <w:pStyle w:val="TableParagraph"/>
              <w:numPr>
                <w:ilvl w:val="0"/>
                <w:numId w:val="1"/>
              </w:numPr>
              <w:tabs>
                <w:tab w:val="left" w:pos="411"/>
              </w:tabs>
              <w:spacing w:before="1"/>
              <w:ind w:left="828" w:right="371" w:hanging="720"/>
              <w:rPr>
                <w:sz w:val="18"/>
              </w:rPr>
            </w:pPr>
            <w:r>
              <w:rPr>
                <w:sz w:val="18"/>
              </w:rPr>
              <w:t xml:space="preserve">Gorman E, Leyland AH, McCartney G, et al. Adjustment for survey non-representativeness using record-linkage: refined estimates of alcohol consumption by deprivation in Scotland. </w:t>
            </w:r>
            <w:r>
              <w:rPr>
                <w:i/>
                <w:sz w:val="18"/>
              </w:rPr>
              <w:t xml:space="preserve">Addiction </w:t>
            </w:r>
            <w:r>
              <w:rPr>
                <w:sz w:val="18"/>
              </w:rPr>
              <w:t xml:space="preserve">2017;112(7):1270-80. </w:t>
            </w:r>
            <w:proofErr w:type="spellStart"/>
            <w:r>
              <w:rPr>
                <w:sz w:val="18"/>
              </w:rPr>
              <w:t>doi</w:t>
            </w:r>
            <w:proofErr w:type="spellEnd"/>
            <w:r>
              <w:rPr>
                <w:sz w:val="18"/>
              </w:rPr>
              <w:t>: 10.1111/add.13797 [published Online First:</w:t>
            </w:r>
            <w:r>
              <w:rPr>
                <w:spacing w:val="-7"/>
                <w:sz w:val="18"/>
              </w:rPr>
              <w:t xml:space="preserve"> </w:t>
            </w:r>
            <w:r>
              <w:rPr>
                <w:sz w:val="18"/>
              </w:rPr>
              <w:t>2017/03/10]</w:t>
            </w:r>
          </w:p>
          <w:p w14:paraId="6774ECB0" w14:textId="77777777" w:rsidR="00781AA0" w:rsidRDefault="00000000">
            <w:pPr>
              <w:pStyle w:val="TableParagraph"/>
              <w:numPr>
                <w:ilvl w:val="0"/>
                <w:numId w:val="1"/>
              </w:numPr>
              <w:tabs>
                <w:tab w:val="left" w:pos="411"/>
              </w:tabs>
              <w:ind w:left="828" w:right="403" w:hanging="720"/>
              <w:rPr>
                <w:sz w:val="18"/>
              </w:rPr>
            </w:pPr>
            <w:r>
              <w:rPr>
                <w:sz w:val="18"/>
              </w:rPr>
              <w:t xml:space="preserve">Gray L. The importance of post hoc approaches for overcoming non-response and attrition bias in population- sampled studies. </w:t>
            </w:r>
            <w:r>
              <w:rPr>
                <w:i/>
                <w:sz w:val="18"/>
              </w:rPr>
              <w:t xml:space="preserve">Social Psychiatry and Psychiatric Epidemiology </w:t>
            </w:r>
            <w:r>
              <w:rPr>
                <w:sz w:val="18"/>
              </w:rPr>
              <w:t xml:space="preserve">2016;51(1):155-57. </w:t>
            </w:r>
            <w:proofErr w:type="spellStart"/>
            <w:r>
              <w:rPr>
                <w:sz w:val="18"/>
              </w:rPr>
              <w:t>doi</w:t>
            </w:r>
            <w:proofErr w:type="spellEnd"/>
            <w:r>
              <w:rPr>
                <w:sz w:val="18"/>
              </w:rPr>
              <w:t>: 10.1007/s0012</w:t>
            </w:r>
            <w:bookmarkStart w:id="52" w:name="-"/>
            <w:bookmarkEnd w:id="52"/>
            <w:r>
              <w:rPr>
                <w:sz w:val="18"/>
              </w:rPr>
              <w:t>7- 015-1153-8</w:t>
            </w:r>
          </w:p>
          <w:p w14:paraId="0BA8F7E1" w14:textId="77777777" w:rsidR="00781AA0" w:rsidRDefault="00000000">
            <w:pPr>
              <w:pStyle w:val="TableParagraph"/>
              <w:numPr>
                <w:ilvl w:val="0"/>
                <w:numId w:val="1"/>
              </w:numPr>
              <w:tabs>
                <w:tab w:val="left" w:pos="411"/>
              </w:tabs>
              <w:spacing w:before="1"/>
              <w:ind w:left="828" w:right="280" w:hanging="720"/>
              <w:rPr>
                <w:sz w:val="18"/>
              </w:rPr>
            </w:pPr>
            <w:r>
              <w:rPr>
                <w:sz w:val="18"/>
              </w:rPr>
              <w:t xml:space="preserve">Gray L, Gorman E, White IR, et al. Correcting for non-participation bias in health surveys using record-linkage, synthetic </w:t>
            </w:r>
            <w:proofErr w:type="gramStart"/>
            <w:r>
              <w:rPr>
                <w:sz w:val="18"/>
              </w:rPr>
              <w:t>observations</w:t>
            </w:r>
            <w:proofErr w:type="gramEnd"/>
            <w:r>
              <w:rPr>
                <w:sz w:val="18"/>
              </w:rPr>
              <w:t xml:space="preserve"> and pattern mixture modelling. </w:t>
            </w:r>
            <w:r>
              <w:rPr>
                <w:i/>
                <w:sz w:val="18"/>
              </w:rPr>
              <w:t xml:space="preserve">Statistical Methods in Medical Research </w:t>
            </w:r>
            <w:r>
              <w:rPr>
                <w:sz w:val="18"/>
              </w:rPr>
              <w:t xml:space="preserve">2019;0(0):15. </w:t>
            </w:r>
            <w:proofErr w:type="spellStart"/>
            <w:r>
              <w:rPr>
                <w:sz w:val="18"/>
              </w:rPr>
              <w:t>doi</w:t>
            </w:r>
            <w:proofErr w:type="spellEnd"/>
            <w:r>
              <w:rPr>
                <w:sz w:val="18"/>
              </w:rPr>
              <w:t>:</w:t>
            </w:r>
            <w:r>
              <w:rPr>
                <w:spacing w:val="-3"/>
                <w:sz w:val="18"/>
              </w:rPr>
              <w:t xml:space="preserve"> </w:t>
            </w:r>
            <w:r>
              <w:rPr>
                <w:sz w:val="18"/>
              </w:rPr>
              <w:t>10.1177/0962280219854482</w:t>
            </w:r>
          </w:p>
        </w:tc>
      </w:tr>
      <w:tr w:rsidR="00781AA0" w14:paraId="53DB463D" w14:textId="77777777">
        <w:trPr>
          <w:trHeight w:val="383"/>
        </w:trPr>
        <w:tc>
          <w:tcPr>
            <w:tcW w:w="9739" w:type="dxa"/>
          </w:tcPr>
          <w:p w14:paraId="0D1E0610" w14:textId="77777777" w:rsidR="00781AA0" w:rsidRDefault="00000000">
            <w:pPr>
              <w:pStyle w:val="TableParagraph"/>
              <w:spacing w:before="53"/>
              <w:rPr>
                <w:b/>
                <w:sz w:val="24"/>
              </w:rPr>
            </w:pPr>
            <w:bookmarkStart w:id="53" w:name="When_was_the_response_submitted?_"/>
            <w:bookmarkEnd w:id="53"/>
            <w:r>
              <w:rPr>
                <w:b/>
                <w:sz w:val="24"/>
              </w:rPr>
              <w:t>When was the response submitted?</w:t>
            </w:r>
          </w:p>
        </w:tc>
      </w:tr>
      <w:tr w:rsidR="00781AA0" w14:paraId="2AFD5D82" w14:textId="77777777">
        <w:trPr>
          <w:trHeight w:val="505"/>
        </w:trPr>
        <w:tc>
          <w:tcPr>
            <w:tcW w:w="9739" w:type="dxa"/>
          </w:tcPr>
          <w:p w14:paraId="1E22755E" w14:textId="77777777" w:rsidR="00781AA0" w:rsidRDefault="00000000">
            <w:pPr>
              <w:pStyle w:val="TableParagraph"/>
              <w:spacing w:line="250" w:lineRule="exact"/>
            </w:pPr>
            <w:bookmarkStart w:id="54" w:name="4th_November_2019_"/>
            <w:bookmarkEnd w:id="54"/>
            <w:r>
              <w:t>4</w:t>
            </w:r>
            <w:proofErr w:type="spellStart"/>
            <w:r>
              <w:rPr>
                <w:position w:val="8"/>
                <w:sz w:val="14"/>
              </w:rPr>
              <w:t>th</w:t>
            </w:r>
            <w:proofErr w:type="spellEnd"/>
            <w:r>
              <w:rPr>
                <w:position w:val="8"/>
                <w:sz w:val="14"/>
              </w:rPr>
              <w:t xml:space="preserve"> </w:t>
            </w:r>
            <w:r>
              <w:t>November 2019</w:t>
            </w:r>
          </w:p>
        </w:tc>
      </w:tr>
      <w:tr w:rsidR="00781AA0" w14:paraId="717C80F1" w14:textId="77777777">
        <w:trPr>
          <w:trHeight w:val="383"/>
        </w:trPr>
        <w:tc>
          <w:tcPr>
            <w:tcW w:w="9739" w:type="dxa"/>
          </w:tcPr>
          <w:p w14:paraId="54F90D35" w14:textId="77777777" w:rsidR="00781AA0" w:rsidRDefault="00000000">
            <w:pPr>
              <w:pStyle w:val="TableParagraph"/>
              <w:spacing w:before="53"/>
              <w:rPr>
                <w:b/>
                <w:sz w:val="24"/>
              </w:rPr>
            </w:pPr>
            <w:bookmarkStart w:id="55" w:name="Find_out_more_about_our_research_in_this"/>
            <w:bookmarkEnd w:id="55"/>
            <w:r>
              <w:rPr>
                <w:b/>
                <w:sz w:val="24"/>
              </w:rPr>
              <w:t>Find out more about our research in this area</w:t>
            </w:r>
          </w:p>
        </w:tc>
      </w:tr>
      <w:tr w:rsidR="00781AA0" w14:paraId="4C789C4F" w14:textId="77777777">
        <w:trPr>
          <w:trHeight w:val="760"/>
        </w:trPr>
        <w:tc>
          <w:tcPr>
            <w:tcW w:w="9739" w:type="dxa"/>
          </w:tcPr>
          <w:p w14:paraId="506BA3D2" w14:textId="77777777" w:rsidR="00781AA0" w:rsidRDefault="00000000">
            <w:pPr>
              <w:pStyle w:val="TableParagraph"/>
              <w:spacing w:line="242" w:lineRule="auto"/>
              <w:ind w:right="100"/>
            </w:pPr>
            <w:hyperlink r:id="rId13">
              <w:r>
                <w:rPr>
                  <w:color w:val="0000FF"/>
                  <w:u w:val="single" w:color="0000FF"/>
                </w:rPr>
                <w:t>https://www.gla.ac.uk/researchinstitutes/healthwellbeing/research/mrccsosocialandpublichealthsci</w:t>
              </w:r>
            </w:hyperlink>
            <w:r>
              <w:rPr>
                <w:color w:val="0000FF"/>
              </w:rPr>
              <w:t xml:space="preserve"> </w:t>
            </w:r>
            <w:hyperlink r:id="rId14">
              <w:proofErr w:type="spellStart"/>
              <w:r>
                <w:rPr>
                  <w:color w:val="0000FF"/>
                  <w:u w:val="single" w:color="0000FF"/>
                </w:rPr>
                <w:t>encesunit</w:t>
              </w:r>
              <w:proofErr w:type="spellEnd"/>
              <w:r>
                <w:rPr>
                  <w:color w:val="0000FF"/>
                  <w:u w:val="single" w:color="0000FF"/>
                </w:rPr>
                <w:t>/programmes/inequalities/</w:t>
              </w:r>
              <w:proofErr w:type="spellStart"/>
              <w:r>
                <w:rPr>
                  <w:color w:val="0000FF"/>
                  <w:u w:val="single" w:color="0000FF"/>
                </w:rPr>
                <w:t>naturalexperiments</w:t>
              </w:r>
              <w:proofErr w:type="spellEnd"/>
              <w:r>
                <w:rPr>
                  <w:color w:val="0000FF"/>
                  <w:u w:val="single" w:color="0000FF"/>
                </w:rPr>
                <w:t>/</w:t>
              </w:r>
              <w:proofErr w:type="spellStart"/>
              <w:r>
                <w:rPr>
                  <w:color w:val="0000FF"/>
                  <w:u w:val="single" w:color="0000FF"/>
                </w:rPr>
                <w:t>mup</w:t>
              </w:r>
              <w:proofErr w:type="spellEnd"/>
              <w:r>
                <w:rPr>
                  <w:color w:val="0000FF"/>
                  <w:u w:val="single" w:color="0000FF"/>
                </w:rPr>
                <w:t>/</w:t>
              </w:r>
            </w:hyperlink>
          </w:p>
        </w:tc>
      </w:tr>
      <w:tr w:rsidR="00781AA0" w14:paraId="18BE78CC" w14:textId="77777777">
        <w:trPr>
          <w:trHeight w:val="383"/>
        </w:trPr>
        <w:tc>
          <w:tcPr>
            <w:tcW w:w="9739" w:type="dxa"/>
          </w:tcPr>
          <w:p w14:paraId="4A11678D" w14:textId="77777777" w:rsidR="00781AA0" w:rsidRDefault="00000000">
            <w:pPr>
              <w:pStyle w:val="TableParagraph"/>
              <w:spacing w:before="50"/>
              <w:rPr>
                <w:b/>
                <w:sz w:val="24"/>
              </w:rPr>
            </w:pPr>
            <w:bookmarkStart w:id="56" w:name="Who_to_contact_about_this_response_"/>
            <w:bookmarkEnd w:id="56"/>
            <w:r>
              <w:rPr>
                <w:b/>
                <w:sz w:val="24"/>
              </w:rPr>
              <w:t>Who to contact about this response</w:t>
            </w:r>
          </w:p>
        </w:tc>
      </w:tr>
      <w:tr w:rsidR="00781AA0" w14:paraId="29580C9B" w14:textId="77777777">
        <w:trPr>
          <w:trHeight w:val="1012"/>
        </w:trPr>
        <w:tc>
          <w:tcPr>
            <w:tcW w:w="9739" w:type="dxa"/>
          </w:tcPr>
          <w:p w14:paraId="5E2CE527" w14:textId="77777777" w:rsidR="00781AA0" w:rsidRDefault="00000000">
            <w:pPr>
              <w:pStyle w:val="TableParagraph"/>
              <w:ind w:right="1018"/>
            </w:pPr>
            <w:r>
              <w:t>Dr Andrew Millard, Research Fellow, MRC/CSO Social and Public Health Sciences Unit. Tel: +44 141 353 7627</w:t>
            </w:r>
          </w:p>
          <w:p w14:paraId="7B5FE819" w14:textId="77777777" w:rsidR="00781AA0" w:rsidRDefault="00000000">
            <w:pPr>
              <w:pStyle w:val="TableParagraph"/>
            </w:pPr>
            <w:r>
              <w:t xml:space="preserve">Email: </w:t>
            </w:r>
            <w:hyperlink r:id="rId15">
              <w:r>
                <w:rPr>
                  <w:color w:val="0000FF"/>
                  <w:u w:val="single" w:color="0000FF"/>
                </w:rPr>
                <w:t>Andrew.millard@glasgow.ac.uk</w:t>
              </w:r>
            </w:hyperlink>
          </w:p>
        </w:tc>
      </w:tr>
    </w:tbl>
    <w:p w14:paraId="31E86429" w14:textId="77777777" w:rsidR="00000000" w:rsidRDefault="00000000"/>
    <w:sectPr w:rsidR="00000000">
      <w:pgSz w:w="11910" w:h="16840"/>
      <w:pgMar w:top="1280" w:right="960" w:bottom="1660" w:left="960" w:header="0" w:footer="1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B808E" w14:textId="77777777" w:rsidR="001E7F7A" w:rsidRDefault="001E7F7A">
      <w:r>
        <w:separator/>
      </w:r>
    </w:p>
  </w:endnote>
  <w:endnote w:type="continuationSeparator" w:id="0">
    <w:p w14:paraId="3549A54E" w14:textId="77777777" w:rsidR="001E7F7A" w:rsidRDefault="001E7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11F8" w14:textId="57BF7F5D" w:rsidR="00781AA0" w:rsidRDefault="0076311B">
    <w:pPr>
      <w:pStyle w:val="BodyText"/>
      <w:spacing w:line="14" w:lineRule="auto"/>
      <w:rPr>
        <w:sz w:val="20"/>
      </w:rPr>
    </w:pPr>
    <w:r>
      <w:rPr>
        <w:noProof/>
      </w:rPr>
      <mc:AlternateContent>
        <mc:Choice Requires="wps">
          <w:drawing>
            <wp:anchor distT="0" distB="0" distL="114300" distR="114300" simplePos="0" relativeHeight="251397120" behindDoc="1" locked="0" layoutInCell="1" allowOverlap="1" wp14:anchorId="67EB1B2D" wp14:editId="7B8C7DB5">
              <wp:simplePos x="0" y="0"/>
              <wp:positionH relativeFrom="page">
                <wp:posOffset>742950</wp:posOffset>
              </wp:positionH>
              <wp:positionV relativeFrom="page">
                <wp:posOffset>9565005</wp:posOffset>
              </wp:positionV>
              <wp:extent cx="2535555" cy="520065"/>
              <wp:effectExtent l="0" t="0" r="0" b="0"/>
              <wp:wrapNone/>
              <wp:docPr id="709851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5555"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42AC0" w14:textId="77777777" w:rsidR="00781AA0" w:rsidRDefault="00000000">
                          <w:pPr>
                            <w:pStyle w:val="BodyText"/>
                            <w:spacing w:before="21"/>
                            <w:ind w:left="20"/>
                          </w:pPr>
                          <w:r>
                            <w:rPr>
                              <w:color w:val="6C5C4B"/>
                            </w:rPr>
                            <w:t>MRC/CSO Social and Public Health Sciences Unit, University of Glasgow,</w:t>
                          </w:r>
                        </w:p>
                        <w:p w14:paraId="3438C2B8" w14:textId="77777777" w:rsidR="00781AA0" w:rsidRDefault="00000000">
                          <w:pPr>
                            <w:pStyle w:val="BodyText"/>
                            <w:ind w:left="20" w:right="1507"/>
                          </w:pPr>
                          <w:r>
                            <w:rPr>
                              <w:color w:val="6C5C4B"/>
                            </w:rPr>
                            <w:t>Top floor, 200 Renfield Street, Glasgow, G2 3AX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B1B2D" id="_x0000_t202" coordsize="21600,21600" o:spt="202" path="m,l,21600r21600,l21600,xe">
              <v:stroke joinstyle="miter"/>
              <v:path gradientshapeok="t" o:connecttype="rect"/>
            </v:shapetype>
            <v:shape id="Text Box 2" o:spid="_x0000_s1026" type="#_x0000_t202" style="position:absolute;margin-left:58.5pt;margin-top:753.15pt;width:199.65pt;height:40.95pt;z-index:-25191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" filled="f" stroked="f">
              <v:textbox inset="0,0,0,0">
                <w:txbxContent>
                  <w:p w14:paraId="29942AC0" w14:textId="77777777" w:rsidR="00781AA0" w:rsidRDefault="00000000">
                    <w:pPr>
                      <w:pStyle w:val="BodyText"/>
                      <w:spacing w:before="21"/>
                      <w:ind w:left="20"/>
                    </w:pPr>
                    <w:r>
                      <w:rPr>
                        <w:color w:val="6C5C4B"/>
                      </w:rPr>
                      <w:t>MRC/CSO Social and Public Health Sciences Unit, University of Glasgow,</w:t>
                    </w:r>
                  </w:p>
                  <w:p w14:paraId="3438C2B8" w14:textId="77777777" w:rsidR="00781AA0" w:rsidRDefault="00000000">
                    <w:pPr>
                      <w:pStyle w:val="BodyText"/>
                      <w:ind w:left="20" w:right="1507"/>
                    </w:pPr>
                    <w:r>
                      <w:rPr>
                        <w:color w:val="6C5C4B"/>
                      </w:rPr>
                      <w:t>Top floor, 200 Renfield Street, Glasgow, G2 3AX</w:t>
                    </w:r>
                  </w:p>
                </w:txbxContent>
              </v:textbox>
              <w10:wrap anchorx="page" anchory="page"/>
            </v:shape>
          </w:pict>
        </mc:Fallback>
      </mc:AlternateContent>
    </w:r>
    <w:r>
      <w:rPr>
        <w:noProof/>
      </w:rPr>
      <mc:AlternateContent>
        <mc:Choice Requires="wps">
          <w:drawing>
            <wp:anchor distT="0" distB="0" distL="114300" distR="114300" simplePos="0" relativeHeight="251398144" behindDoc="1" locked="0" layoutInCell="1" allowOverlap="1" wp14:anchorId="417E6923" wp14:editId="01424C17">
              <wp:simplePos x="0" y="0"/>
              <wp:positionH relativeFrom="page">
                <wp:posOffset>5440045</wp:posOffset>
              </wp:positionH>
              <wp:positionV relativeFrom="page">
                <wp:posOffset>9565005</wp:posOffset>
              </wp:positionV>
              <wp:extent cx="1384300" cy="149860"/>
              <wp:effectExtent l="0" t="0" r="0" b="0"/>
              <wp:wrapNone/>
              <wp:docPr id="1962635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0BC7B" w14:textId="77777777" w:rsidR="00781AA0" w:rsidRDefault="00000000">
                          <w:pPr>
                            <w:pStyle w:val="BodyText"/>
                            <w:spacing w:before="21"/>
                            <w:ind w:left="20"/>
                          </w:pPr>
                          <w:hyperlink r:id="rId1">
                            <w:r>
                              <w:rPr>
                                <w:color w:val="6C5C4B"/>
                              </w:rPr>
                              <w:t>www.glasgow.ac.uk/sphsu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E6923" id="Text Box 1" o:spid="_x0000_s1027" type="#_x0000_t202" style="position:absolute;margin-left:428.35pt;margin-top:753.15pt;width:109pt;height:11.8pt;z-index:-25191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" filled="f" stroked="f">
              <v:textbox inset="0,0,0,0">
                <w:txbxContent>
                  <w:p w14:paraId="1E60BC7B" w14:textId="77777777" w:rsidR="00781AA0" w:rsidRDefault="00000000">
                    <w:pPr>
                      <w:pStyle w:val="BodyText"/>
                      <w:spacing w:before="21"/>
                      <w:ind w:left="20"/>
                    </w:pPr>
                    <w:hyperlink r:id="rId2">
                      <w:r>
                        <w:rPr>
                          <w:color w:val="6C5C4B"/>
                        </w:rPr>
                        <w:t>www.glasgow.ac.uk/sphsu</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17B7C" w14:textId="77777777" w:rsidR="001E7F7A" w:rsidRDefault="001E7F7A">
      <w:r>
        <w:separator/>
      </w:r>
    </w:p>
  </w:footnote>
  <w:footnote w:type="continuationSeparator" w:id="0">
    <w:p w14:paraId="1BE3D023" w14:textId="77777777" w:rsidR="001E7F7A" w:rsidRDefault="001E7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6AB1"/>
    <w:multiLevelType w:val="hybridMultilevel"/>
    <w:tmpl w:val="8A5EB444"/>
    <w:lvl w:ilvl="0" w:tplc="09822300">
      <w:start w:val="6"/>
      <w:numFmt w:val="decimal"/>
      <w:lvlText w:val="%1."/>
      <w:lvlJc w:val="left"/>
      <w:pPr>
        <w:ind w:left="827" w:hanging="202"/>
        <w:jc w:val="left"/>
      </w:pPr>
      <w:rPr>
        <w:rFonts w:ascii="Arial" w:eastAsia="Arial" w:hAnsi="Arial" w:cs="Arial" w:hint="default"/>
        <w:spacing w:val="-7"/>
        <w:w w:val="100"/>
        <w:sz w:val="18"/>
        <w:szCs w:val="18"/>
        <w:lang w:val="en-GB" w:eastAsia="en-GB" w:bidi="en-GB"/>
      </w:rPr>
    </w:lvl>
    <w:lvl w:ilvl="1" w:tplc="F82EAF44">
      <w:numFmt w:val="bullet"/>
      <w:lvlText w:val="•"/>
      <w:lvlJc w:val="left"/>
      <w:pPr>
        <w:ind w:left="1710" w:hanging="202"/>
      </w:pPr>
      <w:rPr>
        <w:rFonts w:hint="default"/>
        <w:lang w:val="en-GB" w:eastAsia="en-GB" w:bidi="en-GB"/>
      </w:rPr>
    </w:lvl>
    <w:lvl w:ilvl="2" w:tplc="6B180A96">
      <w:numFmt w:val="bullet"/>
      <w:lvlText w:val="•"/>
      <w:lvlJc w:val="left"/>
      <w:pPr>
        <w:ind w:left="2601" w:hanging="202"/>
      </w:pPr>
      <w:rPr>
        <w:rFonts w:hint="default"/>
        <w:lang w:val="en-GB" w:eastAsia="en-GB" w:bidi="en-GB"/>
      </w:rPr>
    </w:lvl>
    <w:lvl w:ilvl="3" w:tplc="81FE92DA">
      <w:numFmt w:val="bullet"/>
      <w:lvlText w:val="•"/>
      <w:lvlJc w:val="left"/>
      <w:pPr>
        <w:ind w:left="3492" w:hanging="202"/>
      </w:pPr>
      <w:rPr>
        <w:rFonts w:hint="default"/>
        <w:lang w:val="en-GB" w:eastAsia="en-GB" w:bidi="en-GB"/>
      </w:rPr>
    </w:lvl>
    <w:lvl w:ilvl="4" w:tplc="375C37DC">
      <w:numFmt w:val="bullet"/>
      <w:lvlText w:val="•"/>
      <w:lvlJc w:val="left"/>
      <w:pPr>
        <w:ind w:left="4383" w:hanging="202"/>
      </w:pPr>
      <w:rPr>
        <w:rFonts w:hint="default"/>
        <w:lang w:val="en-GB" w:eastAsia="en-GB" w:bidi="en-GB"/>
      </w:rPr>
    </w:lvl>
    <w:lvl w:ilvl="5" w:tplc="84842330">
      <w:numFmt w:val="bullet"/>
      <w:lvlText w:val="•"/>
      <w:lvlJc w:val="left"/>
      <w:pPr>
        <w:ind w:left="5274" w:hanging="202"/>
      </w:pPr>
      <w:rPr>
        <w:rFonts w:hint="default"/>
        <w:lang w:val="en-GB" w:eastAsia="en-GB" w:bidi="en-GB"/>
      </w:rPr>
    </w:lvl>
    <w:lvl w:ilvl="6" w:tplc="3B6AC542">
      <w:numFmt w:val="bullet"/>
      <w:lvlText w:val="•"/>
      <w:lvlJc w:val="left"/>
      <w:pPr>
        <w:ind w:left="6165" w:hanging="202"/>
      </w:pPr>
      <w:rPr>
        <w:rFonts w:hint="default"/>
        <w:lang w:val="en-GB" w:eastAsia="en-GB" w:bidi="en-GB"/>
      </w:rPr>
    </w:lvl>
    <w:lvl w:ilvl="7" w:tplc="2D4AB798">
      <w:numFmt w:val="bullet"/>
      <w:lvlText w:val="•"/>
      <w:lvlJc w:val="left"/>
      <w:pPr>
        <w:ind w:left="7056" w:hanging="202"/>
      </w:pPr>
      <w:rPr>
        <w:rFonts w:hint="default"/>
        <w:lang w:val="en-GB" w:eastAsia="en-GB" w:bidi="en-GB"/>
      </w:rPr>
    </w:lvl>
    <w:lvl w:ilvl="8" w:tplc="EF6E04CA">
      <w:numFmt w:val="bullet"/>
      <w:lvlText w:val="•"/>
      <w:lvlJc w:val="left"/>
      <w:pPr>
        <w:ind w:left="7947" w:hanging="202"/>
      </w:pPr>
      <w:rPr>
        <w:rFonts w:hint="default"/>
        <w:lang w:val="en-GB" w:eastAsia="en-GB" w:bidi="en-GB"/>
      </w:rPr>
    </w:lvl>
  </w:abstractNum>
  <w:abstractNum w:abstractNumId="1" w15:restartNumberingAfterBreak="0">
    <w:nsid w:val="1BF135B1"/>
    <w:multiLevelType w:val="hybridMultilevel"/>
    <w:tmpl w:val="24FC500E"/>
    <w:lvl w:ilvl="0" w:tplc="C04007A6">
      <w:start w:val="1"/>
      <w:numFmt w:val="decimal"/>
      <w:lvlText w:val="%1."/>
      <w:lvlJc w:val="left"/>
      <w:pPr>
        <w:ind w:left="827" w:hanging="202"/>
        <w:jc w:val="left"/>
      </w:pPr>
      <w:rPr>
        <w:rFonts w:ascii="Arial" w:eastAsia="Arial" w:hAnsi="Arial" w:cs="Arial" w:hint="default"/>
        <w:spacing w:val="-4"/>
        <w:w w:val="100"/>
        <w:sz w:val="18"/>
        <w:szCs w:val="18"/>
        <w:lang w:val="en-GB" w:eastAsia="en-GB" w:bidi="en-GB"/>
      </w:rPr>
    </w:lvl>
    <w:lvl w:ilvl="1" w:tplc="BBF0754C">
      <w:numFmt w:val="bullet"/>
      <w:lvlText w:val="•"/>
      <w:lvlJc w:val="left"/>
      <w:pPr>
        <w:ind w:left="1710" w:hanging="202"/>
      </w:pPr>
      <w:rPr>
        <w:rFonts w:hint="default"/>
        <w:lang w:val="en-GB" w:eastAsia="en-GB" w:bidi="en-GB"/>
      </w:rPr>
    </w:lvl>
    <w:lvl w:ilvl="2" w:tplc="716E0D7E">
      <w:numFmt w:val="bullet"/>
      <w:lvlText w:val="•"/>
      <w:lvlJc w:val="left"/>
      <w:pPr>
        <w:ind w:left="2601" w:hanging="202"/>
      </w:pPr>
      <w:rPr>
        <w:rFonts w:hint="default"/>
        <w:lang w:val="en-GB" w:eastAsia="en-GB" w:bidi="en-GB"/>
      </w:rPr>
    </w:lvl>
    <w:lvl w:ilvl="3" w:tplc="217627A0">
      <w:numFmt w:val="bullet"/>
      <w:lvlText w:val="•"/>
      <w:lvlJc w:val="left"/>
      <w:pPr>
        <w:ind w:left="3492" w:hanging="202"/>
      </w:pPr>
      <w:rPr>
        <w:rFonts w:hint="default"/>
        <w:lang w:val="en-GB" w:eastAsia="en-GB" w:bidi="en-GB"/>
      </w:rPr>
    </w:lvl>
    <w:lvl w:ilvl="4" w:tplc="A0962CE8">
      <w:numFmt w:val="bullet"/>
      <w:lvlText w:val="•"/>
      <w:lvlJc w:val="left"/>
      <w:pPr>
        <w:ind w:left="4383" w:hanging="202"/>
      </w:pPr>
      <w:rPr>
        <w:rFonts w:hint="default"/>
        <w:lang w:val="en-GB" w:eastAsia="en-GB" w:bidi="en-GB"/>
      </w:rPr>
    </w:lvl>
    <w:lvl w:ilvl="5" w:tplc="150E11BA">
      <w:numFmt w:val="bullet"/>
      <w:lvlText w:val="•"/>
      <w:lvlJc w:val="left"/>
      <w:pPr>
        <w:ind w:left="5274" w:hanging="202"/>
      </w:pPr>
      <w:rPr>
        <w:rFonts w:hint="default"/>
        <w:lang w:val="en-GB" w:eastAsia="en-GB" w:bidi="en-GB"/>
      </w:rPr>
    </w:lvl>
    <w:lvl w:ilvl="6" w:tplc="70C21F2E">
      <w:numFmt w:val="bullet"/>
      <w:lvlText w:val="•"/>
      <w:lvlJc w:val="left"/>
      <w:pPr>
        <w:ind w:left="6165" w:hanging="202"/>
      </w:pPr>
      <w:rPr>
        <w:rFonts w:hint="default"/>
        <w:lang w:val="en-GB" w:eastAsia="en-GB" w:bidi="en-GB"/>
      </w:rPr>
    </w:lvl>
    <w:lvl w:ilvl="7" w:tplc="9EDE4ABC">
      <w:numFmt w:val="bullet"/>
      <w:lvlText w:val="•"/>
      <w:lvlJc w:val="left"/>
      <w:pPr>
        <w:ind w:left="7056" w:hanging="202"/>
      </w:pPr>
      <w:rPr>
        <w:rFonts w:hint="default"/>
        <w:lang w:val="en-GB" w:eastAsia="en-GB" w:bidi="en-GB"/>
      </w:rPr>
    </w:lvl>
    <w:lvl w:ilvl="8" w:tplc="60728BBE">
      <w:numFmt w:val="bullet"/>
      <w:lvlText w:val="•"/>
      <w:lvlJc w:val="left"/>
      <w:pPr>
        <w:ind w:left="7947" w:hanging="202"/>
      </w:pPr>
      <w:rPr>
        <w:rFonts w:hint="default"/>
        <w:lang w:val="en-GB" w:eastAsia="en-GB" w:bidi="en-GB"/>
      </w:rPr>
    </w:lvl>
  </w:abstractNum>
  <w:num w:numId="1" w16cid:durableId="426654729">
    <w:abstractNumId w:val="0"/>
  </w:num>
  <w:num w:numId="2" w16cid:durableId="89277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48MumOfhjEMe6GrI5xygER7EOjJPzxule3jw6LoKliQEagxRp+waoVsiYlrby6EkK02gj5L0bF8EdLjwHbFMyA==" w:salt="ri7PiKYv/EwVTfh+KsHdwg=="/>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AA0"/>
    <w:rsid w:val="001E7F7A"/>
    <w:rsid w:val="0076311B"/>
    <w:rsid w:val="00781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20CF6"/>
  <w15:docId w15:val="{4ACF6C4A-9AAE-41AB-B188-42F60A05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erdana" w:eastAsia="Verdana" w:hAnsi="Verdana" w:cs="Verdana"/>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who.int/health-topics/alcohol/online-consultation" TargetMode="External"/><Relationship Id="rId13" Type="http://schemas.openxmlformats.org/officeDocument/2006/relationships/hyperlink" Target="https://www.gla.ac.uk/researchinstitutes/healthwellbeing/research/mrccsosocialandpublichealthsciencesunit/programmes/inequalities/naturalexperiments/mu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healthscotland.scot/health-topics/alcohol/evaluation-of-minimum-unit-pricing/mup-evaluation-overvie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lthscotland.scot/health-topics/alcohol/evaluation-of-minimum-unit-pricing/mup-evaluation-overview" TargetMode="External"/><Relationship Id="rId5" Type="http://schemas.openxmlformats.org/officeDocument/2006/relationships/footnotes" Target="footnotes.xml"/><Relationship Id="rId15" Type="http://schemas.openxmlformats.org/officeDocument/2006/relationships/hyperlink" Target="mailto:Andrew.millard@glasgow.ac.uk" TargetMode="External"/><Relationship Id="rId10" Type="http://schemas.openxmlformats.org/officeDocument/2006/relationships/hyperlink" Target="https://doi.org/10.1016/j.ypmed.2017.12.025"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la.ac.uk/researchinstitutes/healthwellbeing/research/mrccsosocialandpublichealthsciencesunit/programmes/inequalities/naturalexperiments/mup/"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glasgow.ac.uk/sphsu" TargetMode="External"/><Relationship Id="rId1" Type="http://schemas.openxmlformats.org/officeDocument/2006/relationships/hyperlink" Target="http://www.glasgow.ac.uk/sph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2300</Words>
  <Characters>13111</Characters>
  <Application>Microsoft Office Word</Application>
  <DocSecurity>8</DocSecurity>
  <Lines>109</Lines>
  <Paragraphs>30</Paragraphs>
  <ScaleCrop>false</ScaleCrop>
  <HeadingPairs>
    <vt:vector size="2" baseType="variant">
      <vt:variant>
        <vt:lpstr>Title</vt:lpstr>
      </vt:variant>
      <vt:variant>
        <vt:i4>1</vt:i4>
      </vt:variant>
    </vt:vector>
  </HeadingPairs>
  <TitlesOfParts>
    <vt:vector size="1" baseType="lpstr">
      <vt:lpstr>MRC/CSO consultation on implementation of WHO global strategy to reduce harmful use of alcohol</vt:lpstr>
    </vt:vector>
  </TitlesOfParts>
  <Company/>
  <LinksUpToDate>false</LinksUpToDate>
  <CharactersWithSpaces>15381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MRC/CSO consultation on implementation of WHO global strategy to reduce harmful use of alcohol</dc:title>
  <dc:creator>john</dc:creator>
  <cp:lastModifiedBy>Matthew Jamieson</cp:lastModifiedBy>
  <cp:revision>2</cp:revision>
  <dcterms:created xsi:type="dcterms:W3CDTF">2023-11-02T14:47:00Z</dcterms:created>
  <dcterms:modified xsi:type="dcterms:W3CDTF">2023-11-02T14:47:00Z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2019-11-04T00:00:00Z</vt:filetime>
  </property>
  <property fmtid="{D5CDD505-2E9C-101B-9397-08002B2CF9AE}" pid="3" name="Creator">
    <vt:lpwstr>Acrobat PDFMaker 19 for Word</vt:lpwstr>
  </property>
  <property fmtid="{D5CDD505-2E9C-101B-9397-08002B2CF9AE}" pid="4" name="LastSaved">
    <vt:filetime>2023-11-02T00:00:00Z</vt:filetime>
  </property>
</Properties>
</file>