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D1" w:rsidRDefault="00326DD1" w:rsidP="006C25E0">
      <w:pPr>
        <w:spacing w:after="120" w:line="240" w:lineRule="auto"/>
        <w:rPr>
          <w:b/>
          <w:sz w:val="32"/>
          <w:szCs w:val="32"/>
        </w:rPr>
      </w:pPr>
    </w:p>
    <w:p w:rsidR="006C25E0" w:rsidRPr="006C25E0" w:rsidRDefault="006C25E0" w:rsidP="006C25E0">
      <w:pPr>
        <w:spacing w:after="120" w:line="240" w:lineRule="auto"/>
        <w:rPr>
          <w:b/>
          <w:sz w:val="32"/>
          <w:szCs w:val="32"/>
        </w:rPr>
      </w:pPr>
      <w:r w:rsidRPr="006C25E0">
        <w:rPr>
          <w:b/>
          <w:sz w:val="32"/>
          <w:szCs w:val="32"/>
        </w:rPr>
        <w:t>CoSHH Assessment Reference Guide</w:t>
      </w:r>
      <w:r w:rsidR="00C83A6C">
        <w:rPr>
          <w:b/>
          <w:sz w:val="32"/>
          <w:szCs w:val="32"/>
        </w:rPr>
        <w:t xml:space="preserve"> (Chemical Hazards)</w:t>
      </w:r>
    </w:p>
    <w:p w:rsidR="006C25E0" w:rsidRDefault="00C83A6C" w:rsidP="00C83A6C">
      <w:pPr>
        <w:spacing w:after="120" w:line="240" w:lineRule="auto"/>
        <w:jc w:val="both"/>
      </w:pPr>
      <w:r>
        <w:t xml:space="preserve">The following tables are designed to assist you in determining the level of risk </w:t>
      </w:r>
      <w:r w:rsidR="00C86763">
        <w:t>associated with a process</w:t>
      </w:r>
      <w:r>
        <w:t xml:space="preserve"> based on the physical properties, the nature of the </w:t>
      </w:r>
      <w:r w:rsidR="00C86763">
        <w:t>work</w:t>
      </w:r>
      <w:r>
        <w:t xml:space="preserve"> being undertaken and the chemical properties of the substance(s) being used.  They should be used for guidance only </w:t>
      </w:r>
      <w:r w:rsidR="00C86763">
        <w:t>in support of</w:t>
      </w:r>
      <w:r>
        <w:t xml:space="preserve"> a full </w:t>
      </w:r>
      <w:r w:rsidR="00EB6ACD">
        <w:t>CoSHH</w:t>
      </w:r>
      <w:r>
        <w:t xml:space="preserve"> Assessment applying the </w:t>
      </w:r>
      <w:r w:rsidR="00C86763">
        <w:t xml:space="preserve">eight </w:t>
      </w:r>
      <w:r>
        <w:t>principles of control: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Design and operate processes to minimise chemical emissions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Take into account all relevant routes of exposure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Control possible exposure by measures proportionate to the health risk</w:t>
      </w:r>
    </w:p>
    <w:p w:rsidR="00897BEA" w:rsidRPr="00D20C64" w:rsidRDefault="00D20C64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Choose the most effective,</w:t>
      </w:r>
      <w:r w:rsidR="0019554A" w:rsidRPr="00D20C64">
        <w:rPr>
          <w:b/>
          <w:lang w:val="en-US"/>
        </w:rPr>
        <w:t xml:space="preserve"> reliable control measures to minimise escape</w:t>
      </w:r>
      <w:r w:rsidRPr="00D20C64">
        <w:rPr>
          <w:b/>
          <w:lang w:val="en-US"/>
        </w:rPr>
        <w:t xml:space="preserve"> of the substance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If adequate control cannot be achieved by other means PPE should be provided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>Control measures should be checked and reviewed regularly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 xml:space="preserve">Introduction of control measures should not increase the overall </w:t>
      </w:r>
      <w:r w:rsidR="00D20C64">
        <w:rPr>
          <w:b/>
          <w:lang w:val="en-US"/>
        </w:rPr>
        <w:t xml:space="preserve">level of </w:t>
      </w:r>
      <w:r w:rsidRPr="00D20C64">
        <w:rPr>
          <w:b/>
          <w:lang w:val="en-US"/>
        </w:rPr>
        <w:t>risk</w:t>
      </w:r>
    </w:p>
    <w:p w:rsidR="00897BEA" w:rsidRPr="00D20C64" w:rsidRDefault="0019554A" w:rsidP="002A4F38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D20C64">
        <w:rPr>
          <w:b/>
          <w:lang w:val="en-US"/>
        </w:rPr>
        <w:t xml:space="preserve">Inform and train employees </w:t>
      </w:r>
      <w:r w:rsidR="00D20C64">
        <w:rPr>
          <w:b/>
          <w:lang w:val="en-US"/>
        </w:rPr>
        <w:t xml:space="preserve">and other users </w:t>
      </w:r>
      <w:r w:rsidRPr="00D20C64">
        <w:rPr>
          <w:b/>
          <w:lang w:val="en-US"/>
        </w:rPr>
        <w:t>on the hazards, risks and control measures</w:t>
      </w:r>
    </w:p>
    <w:p w:rsidR="00C83A6C" w:rsidRPr="006C25E0" w:rsidRDefault="00C83A6C" w:rsidP="006C25E0">
      <w:pPr>
        <w:spacing w:after="120" w:line="240" w:lineRule="auto"/>
      </w:pPr>
    </w:p>
    <w:p w:rsidR="00AA584E" w:rsidRPr="001C66EF" w:rsidRDefault="001C66EF" w:rsidP="006C25E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1:  </w:t>
      </w:r>
      <w:r w:rsidR="00AA584E" w:rsidRPr="001C66EF">
        <w:rPr>
          <w:b/>
          <w:sz w:val="28"/>
          <w:szCs w:val="28"/>
        </w:rPr>
        <w:t>Estimation of Exposure Potential</w:t>
      </w:r>
    </w:p>
    <w:p w:rsidR="00E064DC" w:rsidRDefault="00E064DC" w:rsidP="006C25E0">
      <w:pPr>
        <w:spacing w:after="120" w:line="240" w:lineRule="auto"/>
        <w:jc w:val="both"/>
      </w:pPr>
      <w:r w:rsidRPr="00E064DC">
        <w:t>To determine the Exposure Potential (EP) associated with a process</w:t>
      </w:r>
      <w:r>
        <w:t xml:space="preserve"> select the most relevant description from each row (</w:t>
      </w:r>
      <w:r w:rsidR="00C86763">
        <w:t>A, B and C</w:t>
      </w:r>
      <w:r>
        <w:t>)</w:t>
      </w:r>
      <w:r w:rsidR="00C86763">
        <w:t xml:space="preserve"> and assign it a score from 0 -</w:t>
      </w:r>
      <w:proofErr w:type="gramStart"/>
      <w:r w:rsidR="00C86763">
        <w:t xml:space="preserve">2 </w:t>
      </w:r>
      <w:r>
        <w:t>.</w:t>
      </w:r>
      <w:proofErr w:type="gramEnd"/>
      <w:r w:rsidRPr="00E064DC">
        <w:t xml:space="preserve"> </w:t>
      </w:r>
      <w:r>
        <w:t xml:space="preserve"> A</w:t>
      </w:r>
      <w:r w:rsidRPr="00E064DC">
        <w:t xml:space="preserve">dd </w:t>
      </w:r>
      <w:r>
        <w:t xml:space="preserve">together </w:t>
      </w:r>
      <w:r w:rsidRPr="00E064DC">
        <w:t xml:space="preserve">the scores for </w:t>
      </w:r>
      <w:r w:rsidR="00C86763">
        <w:t>each</w:t>
      </w:r>
      <w:r w:rsidRPr="00E064DC">
        <w:t xml:space="preserve"> to give a total score between 0 and 6 (EP = A + B + C)</w:t>
      </w:r>
      <w:r>
        <w:t>. The exposure potential will be high, medium or low as shown: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1559"/>
        <w:gridCol w:w="2031"/>
        <w:gridCol w:w="2032"/>
        <w:gridCol w:w="2032"/>
      </w:tblGrid>
      <w:tr w:rsidR="006946D5" w:rsidTr="000B46F2">
        <w:trPr>
          <w:trHeight w:val="454"/>
        </w:trPr>
        <w:tc>
          <w:tcPr>
            <w:tcW w:w="1418" w:type="dxa"/>
            <w:shd w:val="clear" w:color="auto" w:fill="003865"/>
          </w:tcPr>
          <w:p w:rsidR="00AA584E" w:rsidRDefault="00AA584E" w:rsidP="006C25E0"/>
        </w:tc>
        <w:tc>
          <w:tcPr>
            <w:tcW w:w="1559" w:type="dxa"/>
            <w:shd w:val="clear" w:color="auto" w:fill="003865"/>
            <w:vAlign w:val="center"/>
          </w:tcPr>
          <w:p w:rsidR="00AA584E" w:rsidRPr="00AA584E" w:rsidRDefault="00AA584E" w:rsidP="006C25E0">
            <w:pPr>
              <w:jc w:val="center"/>
              <w:rPr>
                <w:b/>
                <w:sz w:val="28"/>
                <w:szCs w:val="28"/>
              </w:rPr>
            </w:pPr>
            <w:r w:rsidRPr="00AA584E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2031" w:type="dxa"/>
            <w:shd w:val="clear" w:color="auto" w:fill="003865"/>
            <w:vAlign w:val="center"/>
          </w:tcPr>
          <w:p w:rsidR="00AA584E" w:rsidRPr="00AA584E" w:rsidRDefault="00AA584E" w:rsidP="006C25E0">
            <w:pPr>
              <w:jc w:val="center"/>
              <w:rPr>
                <w:b/>
                <w:sz w:val="28"/>
                <w:szCs w:val="28"/>
              </w:rPr>
            </w:pPr>
            <w:r w:rsidRPr="00AA584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32" w:type="dxa"/>
            <w:shd w:val="clear" w:color="auto" w:fill="003865"/>
            <w:vAlign w:val="center"/>
          </w:tcPr>
          <w:p w:rsidR="00AA584E" w:rsidRPr="00AA584E" w:rsidRDefault="00AA584E" w:rsidP="006C25E0">
            <w:pPr>
              <w:jc w:val="center"/>
              <w:rPr>
                <w:b/>
                <w:sz w:val="28"/>
                <w:szCs w:val="28"/>
              </w:rPr>
            </w:pPr>
            <w:r w:rsidRPr="00AA58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2" w:type="dxa"/>
            <w:shd w:val="clear" w:color="auto" w:fill="003865"/>
            <w:vAlign w:val="center"/>
          </w:tcPr>
          <w:p w:rsidR="00AA584E" w:rsidRPr="00AA584E" w:rsidRDefault="00AA584E" w:rsidP="006C25E0">
            <w:pPr>
              <w:jc w:val="center"/>
              <w:rPr>
                <w:b/>
                <w:sz w:val="28"/>
                <w:szCs w:val="28"/>
              </w:rPr>
            </w:pPr>
            <w:r w:rsidRPr="00AA584E">
              <w:rPr>
                <w:b/>
                <w:sz w:val="28"/>
                <w:szCs w:val="28"/>
              </w:rPr>
              <w:t>2</w:t>
            </w:r>
          </w:p>
        </w:tc>
      </w:tr>
      <w:tr w:rsidR="00B21D35" w:rsidTr="000B46F2">
        <w:trPr>
          <w:trHeight w:val="454"/>
        </w:trPr>
        <w:tc>
          <w:tcPr>
            <w:tcW w:w="1418" w:type="dxa"/>
            <w:vMerge w:val="restart"/>
            <w:shd w:val="clear" w:color="auto" w:fill="003865"/>
            <w:vAlign w:val="center"/>
          </w:tcPr>
          <w:p w:rsidR="006946D5" w:rsidRPr="00AA584E" w:rsidRDefault="003A7D3B" w:rsidP="006C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Factors in E</w:t>
            </w:r>
            <w:r w:rsidR="006946D5" w:rsidRPr="00AA584E">
              <w:rPr>
                <w:b/>
                <w:sz w:val="28"/>
                <w:szCs w:val="28"/>
              </w:rPr>
              <w:t>xposure Potential</w:t>
            </w:r>
            <w:r w:rsidR="00326DD1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946D5" w:rsidRPr="00D0531E" w:rsidRDefault="003A7D3B" w:rsidP="006C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6946D5" w:rsidRPr="00D0531E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)</w:t>
            </w:r>
          </w:p>
          <w:p w:rsidR="006946D5" w:rsidRPr="00AA584E" w:rsidRDefault="002776D0" w:rsidP="006C25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2031" w:type="dxa"/>
            <w:tcBorders>
              <w:bottom w:val="single" w:sz="12" w:space="0" w:color="000000" w:themeColor="text1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ind w:leftChars="10" w:left="22" w:firstLine="2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</w:p>
          <w:p w:rsidR="006946D5" w:rsidRPr="00AD0FA4" w:rsidRDefault="006946D5" w:rsidP="006C25E0">
            <w:pPr>
              <w:ind w:leftChars="10" w:left="22" w:firstLine="2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Less than 1</w:t>
            </w:r>
          </w:p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(g or ml)</w:t>
            </w:r>
          </w:p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32" w:type="dxa"/>
            <w:tcBorders>
              <w:bottom w:val="single" w:sz="12" w:space="0" w:color="000000" w:themeColor="text1"/>
            </w:tcBorders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1 to 20</w:t>
            </w:r>
          </w:p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(g or ml)</w:t>
            </w:r>
          </w:p>
        </w:tc>
        <w:tc>
          <w:tcPr>
            <w:tcW w:w="2032" w:type="dxa"/>
            <w:tcBorders>
              <w:bottom w:val="single" w:sz="12" w:space="0" w:color="000000" w:themeColor="text1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More than 20</w:t>
            </w:r>
          </w:p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(g or ml)</w:t>
            </w:r>
          </w:p>
        </w:tc>
      </w:tr>
      <w:tr w:rsidR="00E064DC" w:rsidTr="000B46F2">
        <w:trPr>
          <w:trHeight w:val="340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946D5" w:rsidRPr="00D0531E" w:rsidRDefault="003A7D3B" w:rsidP="006C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6946D5" w:rsidRPr="00D0531E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)</w:t>
            </w:r>
          </w:p>
          <w:p w:rsidR="006946D5" w:rsidRPr="00AA584E" w:rsidRDefault="002776D0" w:rsidP="006C25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</w:t>
            </w:r>
            <w:bookmarkStart w:id="0" w:name="_GoBack"/>
            <w:bookmarkEnd w:id="0"/>
          </w:p>
        </w:tc>
        <w:tc>
          <w:tcPr>
            <w:tcW w:w="2031" w:type="dxa"/>
            <w:tcBorders>
              <w:bottom w:val="single" w:sz="8" w:space="0" w:color="BFBFBF" w:themeColor="background1" w:themeShade="BF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Dense Solids</w:t>
            </w:r>
          </w:p>
        </w:tc>
        <w:tc>
          <w:tcPr>
            <w:tcW w:w="2032" w:type="dxa"/>
            <w:tcBorders>
              <w:bottom w:val="single" w:sz="8" w:space="0" w:color="BFBFBF" w:themeColor="background1" w:themeShade="BF"/>
            </w:tcBorders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Dusty Solids</w:t>
            </w:r>
          </w:p>
        </w:tc>
        <w:tc>
          <w:tcPr>
            <w:tcW w:w="2032" w:type="dxa"/>
            <w:tcBorders>
              <w:bottom w:val="single" w:sz="8" w:space="0" w:color="BFBFBF" w:themeColor="background1" w:themeShade="BF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0B46F2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Aerosol / Gas / Mist</w:t>
            </w:r>
          </w:p>
        </w:tc>
      </w:tr>
      <w:tr w:rsidR="00E064DC" w:rsidTr="000B46F2">
        <w:trPr>
          <w:trHeight w:val="340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946D5" w:rsidRPr="00AA584E" w:rsidRDefault="006946D5" w:rsidP="006C2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Liquid (bp&gt;180°C)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Liquid (bp 80</w:t>
            </w:r>
            <w:r w:rsidR="000B46F2" w:rsidRPr="00AD0FA4">
              <w:rPr>
                <w:rFonts w:cstheme="minorHAnsi"/>
                <w:b/>
                <w:bCs/>
                <w:iCs/>
                <w:color w:val="000000"/>
              </w:rPr>
              <w:t xml:space="preserve"> </w:t>
            </w:r>
            <w:r w:rsidRPr="00AD0FA4">
              <w:rPr>
                <w:rFonts w:cstheme="minorHAnsi"/>
                <w:b/>
                <w:bCs/>
                <w:iCs/>
                <w:color w:val="000000"/>
              </w:rPr>
              <w:t>-</w:t>
            </w:r>
            <w:r w:rsidR="000B46F2" w:rsidRPr="00AD0FA4">
              <w:rPr>
                <w:rFonts w:cstheme="minorHAnsi"/>
                <w:b/>
                <w:bCs/>
                <w:iCs/>
                <w:color w:val="000000"/>
              </w:rPr>
              <w:t xml:space="preserve"> </w:t>
            </w:r>
            <w:r w:rsidRPr="00AD0FA4">
              <w:rPr>
                <w:rFonts w:cstheme="minorHAnsi"/>
                <w:b/>
                <w:bCs/>
                <w:iCs/>
                <w:color w:val="000000"/>
              </w:rPr>
              <w:t>180°C)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Liquid (bp &lt;80°C)</w:t>
            </w:r>
          </w:p>
        </w:tc>
      </w:tr>
      <w:tr w:rsidR="00E064DC" w:rsidTr="000B46F2">
        <w:trPr>
          <w:trHeight w:val="340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946D5" w:rsidRPr="00AA584E" w:rsidRDefault="006946D5" w:rsidP="006C2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Dilute Solutions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Conc. Solutions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Conc. Solutions</w:t>
            </w:r>
          </w:p>
        </w:tc>
      </w:tr>
      <w:tr w:rsidR="00E064DC" w:rsidTr="000B46F2">
        <w:trPr>
          <w:trHeight w:val="340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946D5" w:rsidRPr="00AA584E" w:rsidRDefault="006946D5" w:rsidP="006C2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8" w:space="0" w:color="BFBFBF" w:themeColor="background1" w:themeShade="BF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No skin absorption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</w:tcBorders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Low skin absorption</w:t>
            </w:r>
          </w:p>
        </w:tc>
        <w:tc>
          <w:tcPr>
            <w:tcW w:w="2032" w:type="dxa"/>
            <w:tcBorders>
              <w:top w:val="single" w:sz="8" w:space="0" w:color="BFBFBF" w:themeColor="background1" w:themeShade="BF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AD0FA4">
              <w:rPr>
                <w:rFonts w:cstheme="minorHAnsi"/>
                <w:b/>
                <w:bCs/>
                <w:iCs/>
                <w:color w:val="000000"/>
              </w:rPr>
              <w:t>Skin absorption likely</w:t>
            </w:r>
          </w:p>
        </w:tc>
      </w:tr>
      <w:tr w:rsidR="006946D5" w:rsidTr="000B46F2">
        <w:trPr>
          <w:trHeight w:val="454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946D5" w:rsidRPr="00D0531E" w:rsidRDefault="003A7D3B" w:rsidP="006C25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6946D5" w:rsidRPr="00D0531E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)</w:t>
            </w:r>
          </w:p>
          <w:p w:rsidR="006946D5" w:rsidRPr="00AA584E" w:rsidRDefault="006946D5" w:rsidP="006C25E0">
            <w:pPr>
              <w:jc w:val="center"/>
              <w:rPr>
                <w:sz w:val="28"/>
                <w:szCs w:val="28"/>
              </w:rPr>
            </w:pPr>
            <w:r w:rsidRPr="00D0531E">
              <w:rPr>
                <w:b/>
                <w:sz w:val="28"/>
                <w:szCs w:val="28"/>
              </w:rPr>
              <w:t>Operation</w:t>
            </w:r>
          </w:p>
        </w:tc>
        <w:tc>
          <w:tcPr>
            <w:tcW w:w="2031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Closed system</w:t>
            </w:r>
          </w:p>
        </w:tc>
        <w:tc>
          <w:tcPr>
            <w:tcW w:w="2032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Partially open</w:t>
            </w:r>
          </w:p>
        </w:tc>
        <w:tc>
          <w:tcPr>
            <w:tcW w:w="2032" w:type="dxa"/>
            <w:shd w:val="clear" w:color="auto" w:fill="E5B8B7" w:themeFill="accent2" w:themeFillTint="66"/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Open vessel</w:t>
            </w:r>
          </w:p>
        </w:tc>
      </w:tr>
      <w:tr w:rsidR="006946D5" w:rsidTr="000B46F2">
        <w:trPr>
          <w:trHeight w:val="454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946D5" w:rsidRPr="00D0531E" w:rsidRDefault="006946D5" w:rsidP="006C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Unpressurised</w:t>
            </w:r>
          </w:p>
        </w:tc>
        <w:tc>
          <w:tcPr>
            <w:tcW w:w="2032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Unpressurised</w:t>
            </w:r>
          </w:p>
        </w:tc>
        <w:tc>
          <w:tcPr>
            <w:tcW w:w="2032" w:type="dxa"/>
            <w:shd w:val="clear" w:color="auto" w:fill="E5B8B7" w:themeFill="accent2" w:themeFillTint="66"/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Pressure vessel</w:t>
            </w:r>
          </w:p>
        </w:tc>
      </w:tr>
      <w:tr w:rsidR="006946D5" w:rsidTr="000B46F2">
        <w:trPr>
          <w:trHeight w:val="454"/>
        </w:trPr>
        <w:tc>
          <w:tcPr>
            <w:tcW w:w="1418" w:type="dxa"/>
            <w:vMerge/>
            <w:shd w:val="clear" w:color="auto" w:fill="003865"/>
          </w:tcPr>
          <w:p w:rsidR="006946D5" w:rsidRDefault="006946D5" w:rsidP="006C25E0"/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946D5" w:rsidRPr="00D0531E" w:rsidRDefault="006946D5" w:rsidP="006C2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 xml:space="preserve">Low mishap </w:t>
            </w:r>
            <w:r w:rsidR="000B46F2" w:rsidRPr="00AD0FA4">
              <w:rPr>
                <w:rFonts w:cstheme="minorHAnsi"/>
                <w:b/>
              </w:rPr>
              <w:t>risk</w:t>
            </w:r>
          </w:p>
        </w:tc>
        <w:tc>
          <w:tcPr>
            <w:tcW w:w="2032" w:type="dxa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6946D5" w:rsidRPr="00AD0FA4" w:rsidRDefault="000B46F2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>Medium</w:t>
            </w:r>
            <w:r w:rsidR="006946D5" w:rsidRPr="00AD0FA4">
              <w:rPr>
                <w:rFonts w:cstheme="minorHAnsi"/>
                <w:b/>
              </w:rPr>
              <w:t xml:space="preserve"> mishap </w:t>
            </w:r>
            <w:r w:rsidRPr="00AD0FA4">
              <w:rPr>
                <w:rFonts w:cstheme="minorHAnsi"/>
                <w:b/>
              </w:rPr>
              <w:t>risk</w:t>
            </w:r>
          </w:p>
        </w:tc>
        <w:tc>
          <w:tcPr>
            <w:tcW w:w="2032" w:type="dxa"/>
            <w:shd w:val="clear" w:color="auto" w:fill="E5B8B7" w:themeFill="accent2" w:themeFillTint="66"/>
            <w:vAlign w:val="center"/>
          </w:tcPr>
          <w:p w:rsidR="006946D5" w:rsidRPr="00AD0FA4" w:rsidRDefault="006946D5" w:rsidP="006C25E0">
            <w:pPr>
              <w:jc w:val="center"/>
              <w:rPr>
                <w:rFonts w:cstheme="minorHAnsi"/>
                <w:b/>
              </w:rPr>
            </w:pPr>
            <w:r w:rsidRPr="00AD0FA4">
              <w:rPr>
                <w:rFonts w:cstheme="minorHAnsi"/>
                <w:b/>
              </w:rPr>
              <w:t xml:space="preserve">High mishap </w:t>
            </w:r>
            <w:r w:rsidR="000B46F2" w:rsidRPr="00AD0FA4">
              <w:rPr>
                <w:rFonts w:cstheme="minorHAnsi"/>
                <w:b/>
              </w:rPr>
              <w:t>risk</w:t>
            </w:r>
          </w:p>
        </w:tc>
      </w:tr>
    </w:tbl>
    <w:p w:rsidR="002A103E" w:rsidRPr="001C75F8" w:rsidRDefault="002A103E" w:rsidP="002A103E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b/>
          <w:sz w:val="24"/>
          <w:szCs w:val="24"/>
        </w:rPr>
      </w:pPr>
      <w:r w:rsidRPr="001C75F8">
        <w:rPr>
          <w:b/>
          <w:sz w:val="24"/>
          <w:szCs w:val="24"/>
        </w:rPr>
        <w:t xml:space="preserve">EP </w:t>
      </w:r>
      <w:r w:rsidRPr="001C75F8">
        <w:rPr>
          <w:rFonts w:cstheme="minorHAnsi"/>
          <w:b/>
          <w:sz w:val="24"/>
          <w:szCs w:val="24"/>
        </w:rPr>
        <w:t>≤</w:t>
      </w:r>
      <w:r w:rsidRPr="001C75F8">
        <w:rPr>
          <w:b/>
          <w:sz w:val="24"/>
          <w:szCs w:val="24"/>
        </w:rPr>
        <w:t xml:space="preserve"> 3</w:t>
      </w:r>
      <w:r w:rsidRPr="001C75F8">
        <w:rPr>
          <w:b/>
          <w:sz w:val="24"/>
          <w:szCs w:val="24"/>
        </w:rPr>
        <w:tab/>
        <w:t>Low Exposure</w:t>
      </w:r>
    </w:p>
    <w:p w:rsidR="002A103E" w:rsidRPr="001C75F8" w:rsidRDefault="002A103E" w:rsidP="002A103E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b/>
          <w:sz w:val="24"/>
          <w:szCs w:val="24"/>
        </w:rPr>
      </w:pPr>
      <w:r w:rsidRPr="001C75F8">
        <w:rPr>
          <w:b/>
          <w:sz w:val="24"/>
          <w:szCs w:val="24"/>
        </w:rPr>
        <w:t>EP = 4</w:t>
      </w:r>
      <w:r w:rsidRPr="001C75F8">
        <w:rPr>
          <w:b/>
          <w:sz w:val="24"/>
          <w:szCs w:val="24"/>
        </w:rPr>
        <w:tab/>
        <w:t>Medium Exposure</w:t>
      </w:r>
    </w:p>
    <w:p w:rsidR="002A103E" w:rsidRPr="001C75F8" w:rsidRDefault="002A103E" w:rsidP="002A103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 w:rsidRPr="001C75F8">
        <w:rPr>
          <w:b/>
          <w:sz w:val="24"/>
          <w:szCs w:val="24"/>
        </w:rPr>
        <w:t xml:space="preserve">EP </w:t>
      </w:r>
      <w:r w:rsidRPr="001C75F8">
        <w:rPr>
          <w:rFonts w:cstheme="minorHAnsi"/>
          <w:b/>
          <w:sz w:val="24"/>
          <w:szCs w:val="24"/>
        </w:rPr>
        <w:t>≥</w:t>
      </w:r>
      <w:r w:rsidRPr="001C75F8">
        <w:rPr>
          <w:b/>
          <w:sz w:val="24"/>
          <w:szCs w:val="24"/>
        </w:rPr>
        <w:t xml:space="preserve"> 5</w:t>
      </w:r>
      <w:r w:rsidRPr="001C75F8">
        <w:rPr>
          <w:b/>
          <w:sz w:val="24"/>
          <w:szCs w:val="24"/>
        </w:rPr>
        <w:tab/>
        <w:t>High Exposure</w:t>
      </w:r>
    </w:p>
    <w:p w:rsidR="00AA584E" w:rsidRPr="00AA584E" w:rsidRDefault="00326DD1" w:rsidP="002A103E">
      <w:pPr>
        <w:spacing w:after="120" w:line="240" w:lineRule="auto"/>
        <w:ind w:left="720" w:hanging="720"/>
        <w:jc w:val="both"/>
        <w:rPr>
          <w:b/>
        </w:rPr>
      </w:pPr>
      <w:r>
        <w:rPr>
          <w:b/>
        </w:rPr>
        <w:t>*</w:t>
      </w:r>
      <w:r w:rsidR="003A7D3B">
        <w:rPr>
          <w:b/>
        </w:rPr>
        <w:t xml:space="preserve">Note: </w:t>
      </w:r>
      <w:r w:rsidR="003A7D3B">
        <w:rPr>
          <w:b/>
        </w:rPr>
        <w:tab/>
      </w:r>
      <w:r w:rsidR="00E064DC" w:rsidRPr="00326DD1">
        <w:t>If an operation involves</w:t>
      </w:r>
      <w:r w:rsidR="003A7D3B" w:rsidRPr="00326DD1">
        <w:t xml:space="preserve"> prolonged or repeated exposure</w:t>
      </w:r>
      <w:r w:rsidR="00E064DC" w:rsidRPr="00326DD1">
        <w:t>s</w:t>
      </w:r>
      <w:r w:rsidR="003A7D3B" w:rsidRPr="00326DD1">
        <w:t xml:space="preserve"> to </w:t>
      </w:r>
      <w:r w:rsidR="00E064DC" w:rsidRPr="00326DD1">
        <w:t>one or more</w:t>
      </w:r>
      <w:r w:rsidR="003A7D3B" w:rsidRPr="00326DD1">
        <w:t xml:space="preserve"> substance</w:t>
      </w:r>
      <w:r w:rsidR="00E064DC" w:rsidRPr="00326DD1">
        <w:t xml:space="preserve">s </w:t>
      </w:r>
      <w:r w:rsidR="00053325" w:rsidRPr="00326DD1">
        <w:t xml:space="preserve">then </w:t>
      </w:r>
      <w:r w:rsidR="00E064DC" w:rsidRPr="00326DD1">
        <w:t xml:space="preserve">consideration should be given to assigning </w:t>
      </w:r>
      <w:r w:rsidR="006C25E0" w:rsidRPr="00326DD1">
        <w:t xml:space="preserve">it </w:t>
      </w:r>
      <w:r w:rsidR="00E064DC" w:rsidRPr="00326DD1">
        <w:t xml:space="preserve">a </w:t>
      </w:r>
      <w:r w:rsidR="006C25E0" w:rsidRPr="00326DD1">
        <w:t>higher exposure potential</w:t>
      </w:r>
      <w:r w:rsidR="00C86763">
        <w:t xml:space="preserve"> score</w:t>
      </w:r>
      <w:r w:rsidR="00E064DC" w:rsidRPr="00326DD1">
        <w:t>.</w:t>
      </w:r>
    </w:p>
    <w:p w:rsidR="002A103E" w:rsidRPr="00C86763" w:rsidRDefault="002A103E" w:rsidP="006C25E0">
      <w:pPr>
        <w:spacing w:after="120" w:line="240" w:lineRule="auto"/>
        <w:rPr>
          <w:b/>
          <w:sz w:val="32"/>
          <w:szCs w:val="32"/>
        </w:rPr>
      </w:pPr>
    </w:p>
    <w:p w:rsidR="00B21D35" w:rsidRPr="001C66EF" w:rsidRDefault="001C66EF" w:rsidP="006C25E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2:  </w:t>
      </w:r>
      <w:r w:rsidR="00B21D35" w:rsidRPr="001C66EF">
        <w:rPr>
          <w:b/>
          <w:sz w:val="28"/>
          <w:szCs w:val="28"/>
        </w:rPr>
        <w:t>Estimation of Toxic Hazard</w:t>
      </w:r>
    </w:p>
    <w:p w:rsidR="00694E5B" w:rsidRDefault="00B21D35" w:rsidP="006C25E0">
      <w:pPr>
        <w:spacing w:after="120" w:line="240" w:lineRule="auto"/>
        <w:jc w:val="both"/>
      </w:pPr>
      <w:r w:rsidRPr="00E064DC">
        <w:t xml:space="preserve">To </w:t>
      </w:r>
      <w:r>
        <w:t xml:space="preserve">determine the toxic hazard associated with a substance examine the supplier’s information including safety data sheets (SDS).  The following hazard statements </w:t>
      </w:r>
      <w:r w:rsidR="00C83A6C">
        <w:t xml:space="preserve">(and risk phrases) </w:t>
      </w:r>
      <w:r>
        <w:t>give a good indication of the toxicity of the substance</w:t>
      </w:r>
      <w:r w:rsidR="00C86763">
        <w:t xml:space="preserve"> (toxicity should be based on the highest level of risk)</w:t>
      </w:r>
      <w:r>
        <w:t>: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B21D35" w:rsidTr="006A3ADB">
        <w:trPr>
          <w:trHeight w:val="397"/>
        </w:trPr>
        <w:tc>
          <w:tcPr>
            <w:tcW w:w="1843" w:type="dxa"/>
            <w:shd w:val="clear" w:color="auto" w:fill="003865"/>
            <w:vAlign w:val="center"/>
          </w:tcPr>
          <w:p w:rsidR="00B21D35" w:rsidRPr="00B21D35" w:rsidRDefault="00B21D35" w:rsidP="006C25E0">
            <w:pPr>
              <w:rPr>
                <w:b/>
                <w:sz w:val="28"/>
                <w:szCs w:val="28"/>
              </w:rPr>
            </w:pPr>
            <w:r w:rsidRPr="00B21D35">
              <w:rPr>
                <w:b/>
                <w:sz w:val="28"/>
                <w:szCs w:val="28"/>
              </w:rPr>
              <w:t>Toxic Hazard</w:t>
            </w:r>
            <w:r w:rsidR="006C25E0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shd w:val="clear" w:color="auto" w:fill="003865"/>
            <w:vAlign w:val="center"/>
          </w:tcPr>
          <w:p w:rsidR="00B21D35" w:rsidRPr="00B21D35" w:rsidRDefault="00B21D35" w:rsidP="006C25E0">
            <w:pPr>
              <w:rPr>
                <w:b/>
                <w:sz w:val="28"/>
                <w:szCs w:val="28"/>
              </w:rPr>
            </w:pPr>
            <w:r w:rsidRPr="00B21D35">
              <w:rPr>
                <w:b/>
                <w:sz w:val="28"/>
                <w:szCs w:val="28"/>
              </w:rPr>
              <w:t xml:space="preserve">Hazard </w:t>
            </w:r>
            <w:r w:rsidR="00E15DAB">
              <w:rPr>
                <w:b/>
                <w:sz w:val="28"/>
                <w:szCs w:val="28"/>
              </w:rPr>
              <w:t>Statements (H)</w:t>
            </w:r>
          </w:p>
        </w:tc>
      </w:tr>
      <w:tr w:rsidR="00B21D35" w:rsidTr="006A3ADB">
        <w:trPr>
          <w:trHeight w:val="397"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:rsidR="00B21D35" w:rsidRPr="00B21D35" w:rsidRDefault="00B21D35" w:rsidP="006C25E0">
            <w:pPr>
              <w:rPr>
                <w:b/>
              </w:rPr>
            </w:pPr>
            <w:r w:rsidRPr="00B21D35">
              <w:rPr>
                <w:b/>
              </w:rPr>
              <w:t>Low</w:t>
            </w:r>
            <w:r>
              <w:rPr>
                <w:b/>
              </w:rPr>
              <w:t xml:space="preserve"> (L)</w:t>
            </w:r>
          </w:p>
        </w:tc>
        <w:tc>
          <w:tcPr>
            <w:tcW w:w="7229" w:type="dxa"/>
            <w:shd w:val="clear" w:color="auto" w:fill="D6E3BC" w:themeFill="accent3" w:themeFillTint="66"/>
            <w:vAlign w:val="center"/>
          </w:tcPr>
          <w:p w:rsidR="0013787F" w:rsidRDefault="00B21D35" w:rsidP="00E875F3">
            <w:pPr>
              <w:rPr>
                <w:b/>
                <w:szCs w:val="20"/>
              </w:rPr>
            </w:pPr>
            <w:r w:rsidRPr="00B21D35">
              <w:rPr>
                <w:b/>
                <w:szCs w:val="20"/>
              </w:rPr>
              <w:t>No associated hazard phrases</w:t>
            </w:r>
            <w:r w:rsidR="0013787F">
              <w:rPr>
                <w:b/>
                <w:szCs w:val="20"/>
              </w:rPr>
              <w:t xml:space="preserve">, toxicity expected to be low </w:t>
            </w:r>
          </w:p>
          <w:p w:rsidR="00E875F3" w:rsidRPr="00B21D35" w:rsidRDefault="00E875F3" w:rsidP="00E875F3">
            <w:pPr>
              <w:rPr>
                <w:b/>
                <w:sz w:val="20"/>
                <w:szCs w:val="20"/>
              </w:rPr>
            </w:pPr>
          </w:p>
        </w:tc>
      </w:tr>
      <w:tr w:rsidR="00B21D35" w:rsidTr="006A3ADB">
        <w:trPr>
          <w:trHeight w:val="397"/>
        </w:trPr>
        <w:tc>
          <w:tcPr>
            <w:tcW w:w="1843" w:type="dxa"/>
            <w:shd w:val="clear" w:color="auto" w:fill="FBD4B4" w:themeFill="accent6" w:themeFillTint="66"/>
            <w:vAlign w:val="center"/>
          </w:tcPr>
          <w:p w:rsidR="00B21D35" w:rsidRPr="00B21D35" w:rsidRDefault="00B21D35" w:rsidP="006C25E0">
            <w:pPr>
              <w:rPr>
                <w:b/>
              </w:rPr>
            </w:pPr>
            <w:r w:rsidRPr="00B21D35">
              <w:rPr>
                <w:b/>
              </w:rPr>
              <w:t>Medium</w:t>
            </w:r>
            <w:r>
              <w:rPr>
                <w:b/>
              </w:rPr>
              <w:t xml:space="preserve"> (M)</w:t>
            </w:r>
          </w:p>
        </w:tc>
        <w:tc>
          <w:tcPr>
            <w:tcW w:w="7229" w:type="dxa"/>
            <w:shd w:val="clear" w:color="auto" w:fill="FBD4B4" w:themeFill="accent6" w:themeFillTint="66"/>
            <w:vAlign w:val="center"/>
          </w:tcPr>
          <w:p w:rsidR="00B21D35" w:rsidRPr="00B21D35" w:rsidRDefault="003255F4" w:rsidP="006C25E0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H302,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H305,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H312,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H313,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H315,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H316,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H317, H319,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H320, </w:t>
            </w:r>
            <w:r w:rsidR="00B21D35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BC6F04">
              <w:rPr>
                <w:rFonts w:ascii="Arial" w:hAnsi="Arial" w:cs="Arial"/>
                <w:b/>
                <w:sz w:val="20"/>
                <w:szCs w:val="20"/>
              </w:rPr>
              <w:t xml:space="preserve">332,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H333,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H335, </w:t>
            </w:r>
            <w:r w:rsidR="00453DFD">
              <w:rPr>
                <w:rFonts w:ascii="Arial" w:hAnsi="Arial" w:cs="Arial"/>
                <w:b/>
                <w:sz w:val="20"/>
                <w:szCs w:val="20"/>
              </w:rPr>
              <w:t>H336</w:t>
            </w:r>
            <w:r w:rsidR="001725B9">
              <w:rPr>
                <w:rFonts w:ascii="Arial" w:hAnsi="Arial" w:cs="Arial"/>
                <w:b/>
                <w:sz w:val="20"/>
                <w:szCs w:val="20"/>
              </w:rPr>
              <w:t>, EUH066</w:t>
            </w:r>
          </w:p>
        </w:tc>
      </w:tr>
      <w:tr w:rsidR="00B21D35" w:rsidTr="006A3ADB">
        <w:trPr>
          <w:trHeight w:val="397"/>
        </w:trPr>
        <w:tc>
          <w:tcPr>
            <w:tcW w:w="1843" w:type="dxa"/>
            <w:shd w:val="clear" w:color="auto" w:fill="E5B8B7" w:themeFill="accent2" w:themeFillTint="66"/>
            <w:vAlign w:val="center"/>
          </w:tcPr>
          <w:p w:rsidR="00B21D35" w:rsidRPr="00B21D35" w:rsidRDefault="00B21D35" w:rsidP="006C25E0">
            <w:pPr>
              <w:rPr>
                <w:b/>
              </w:rPr>
            </w:pPr>
            <w:r w:rsidRPr="00B21D35">
              <w:rPr>
                <w:b/>
              </w:rPr>
              <w:t>High</w:t>
            </w:r>
            <w:r>
              <w:rPr>
                <w:b/>
              </w:rPr>
              <w:t xml:space="preserve"> (H)</w:t>
            </w:r>
          </w:p>
        </w:tc>
        <w:tc>
          <w:tcPr>
            <w:tcW w:w="7229" w:type="dxa"/>
            <w:shd w:val="clear" w:color="auto" w:fill="E5B8B7" w:themeFill="accent2" w:themeFillTint="66"/>
            <w:vAlign w:val="center"/>
          </w:tcPr>
          <w:p w:rsidR="00B21D35" w:rsidRPr="00B21D35" w:rsidRDefault="003255F4" w:rsidP="006C25E0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H301, </w:t>
            </w:r>
            <w:r w:rsidR="00453DFD">
              <w:rPr>
                <w:rFonts w:ascii="Arial" w:hAnsi="Arial" w:cs="Arial"/>
                <w:b/>
                <w:sz w:val="20"/>
                <w:szCs w:val="20"/>
              </w:rPr>
              <w:t xml:space="preserve">H311,  </w:t>
            </w:r>
            <w:r w:rsidR="001725B9">
              <w:rPr>
                <w:rFonts w:ascii="Arial" w:hAnsi="Arial" w:cs="Arial"/>
                <w:b/>
                <w:sz w:val="20"/>
                <w:szCs w:val="20"/>
              </w:rPr>
              <w:t xml:space="preserve">H314, H316, H317,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H318,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H331, H351, </w:t>
            </w:r>
            <w:r w:rsidR="001725B9">
              <w:rPr>
                <w:rFonts w:ascii="Arial" w:hAnsi="Arial" w:cs="Arial"/>
                <w:b/>
                <w:sz w:val="20"/>
                <w:szCs w:val="20"/>
              </w:rPr>
              <w:t xml:space="preserve">H362, </w:t>
            </w:r>
            <w:r>
              <w:rPr>
                <w:rFonts w:ascii="Arial" w:hAnsi="Arial" w:cs="Arial"/>
                <w:b/>
                <w:sz w:val="20"/>
                <w:szCs w:val="20"/>
              </w:rPr>
              <w:t>EUH029, EUH031</w:t>
            </w:r>
            <w:r w:rsidR="0013787F">
              <w:rPr>
                <w:rFonts w:ascii="Arial" w:hAnsi="Arial" w:cs="Arial"/>
                <w:b/>
                <w:sz w:val="20"/>
                <w:szCs w:val="20"/>
              </w:rPr>
              <w:t>, EUH070</w:t>
            </w:r>
          </w:p>
        </w:tc>
      </w:tr>
      <w:tr w:rsidR="00B21D35" w:rsidTr="00E875F3">
        <w:trPr>
          <w:trHeight w:val="397"/>
        </w:trPr>
        <w:tc>
          <w:tcPr>
            <w:tcW w:w="1843" w:type="dxa"/>
            <w:shd w:val="clear" w:color="auto" w:fill="B2A1C7" w:themeFill="accent4" w:themeFillTint="99"/>
            <w:vAlign w:val="center"/>
          </w:tcPr>
          <w:p w:rsidR="00B21D35" w:rsidRPr="00B21D35" w:rsidRDefault="00B21D35" w:rsidP="006C25E0">
            <w:pPr>
              <w:rPr>
                <w:b/>
              </w:rPr>
            </w:pPr>
            <w:r w:rsidRPr="00B21D35">
              <w:rPr>
                <w:b/>
              </w:rPr>
              <w:t>Very High</w:t>
            </w:r>
            <w:r>
              <w:rPr>
                <w:b/>
              </w:rPr>
              <w:t xml:space="preserve"> (VH)</w:t>
            </w:r>
          </w:p>
        </w:tc>
        <w:tc>
          <w:tcPr>
            <w:tcW w:w="7229" w:type="dxa"/>
            <w:shd w:val="clear" w:color="auto" w:fill="B2A1C7" w:themeFill="accent4" w:themeFillTint="99"/>
            <w:vAlign w:val="center"/>
          </w:tcPr>
          <w:p w:rsidR="00B21D35" w:rsidRPr="00B21D35" w:rsidRDefault="003255F4" w:rsidP="0013787F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H300,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H304,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H310, </w:t>
            </w:r>
            <w:r w:rsidR="00B21D35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330, H334, </w:t>
            </w:r>
            <w:r w:rsidR="00E15DAB" w:rsidRPr="00E15DAB">
              <w:rPr>
                <w:rFonts w:ascii="Arial" w:hAnsi="Arial" w:cs="Arial"/>
                <w:b/>
                <w:sz w:val="20"/>
                <w:szCs w:val="20"/>
              </w:rPr>
              <w:t>H340,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 H341,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H350(Any),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 xml:space="preserve">H360(Any), H361(Any), H370, H371, H372,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H373, EUH032, </w:t>
            </w:r>
            <w:r w:rsidR="00E15DAB">
              <w:rPr>
                <w:rFonts w:ascii="Arial" w:hAnsi="Arial" w:cs="Arial"/>
                <w:b/>
                <w:sz w:val="20"/>
                <w:szCs w:val="20"/>
              </w:rPr>
              <w:t>EUH071</w:t>
            </w:r>
          </w:p>
        </w:tc>
      </w:tr>
    </w:tbl>
    <w:p w:rsidR="00453DFD" w:rsidRPr="00C86763" w:rsidRDefault="00453DFD" w:rsidP="00326DD1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C25E0" w:rsidTr="006D4163">
        <w:trPr>
          <w:trHeight w:val="397"/>
        </w:trPr>
        <w:tc>
          <w:tcPr>
            <w:tcW w:w="1843" w:type="dxa"/>
            <w:shd w:val="clear" w:color="auto" w:fill="003865"/>
            <w:vAlign w:val="center"/>
          </w:tcPr>
          <w:p w:rsidR="006C25E0" w:rsidRPr="00B21D35" w:rsidRDefault="006C25E0" w:rsidP="006C25E0">
            <w:pPr>
              <w:rPr>
                <w:b/>
                <w:sz w:val="28"/>
                <w:szCs w:val="28"/>
              </w:rPr>
            </w:pPr>
            <w:r w:rsidRPr="00B21D35">
              <w:rPr>
                <w:b/>
                <w:sz w:val="28"/>
                <w:szCs w:val="28"/>
              </w:rPr>
              <w:t>Toxic Hazard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shd w:val="clear" w:color="auto" w:fill="003865"/>
            <w:vAlign w:val="center"/>
          </w:tcPr>
          <w:p w:rsidR="006C25E0" w:rsidRPr="00B21D35" w:rsidRDefault="006C25E0" w:rsidP="006C2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Risk Phrases (R)</w:t>
            </w:r>
          </w:p>
        </w:tc>
      </w:tr>
      <w:tr w:rsidR="006C25E0" w:rsidTr="006D4163">
        <w:trPr>
          <w:trHeight w:val="397"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:rsidR="006C25E0" w:rsidRPr="00B21D35" w:rsidRDefault="006C25E0" w:rsidP="006C25E0">
            <w:pPr>
              <w:rPr>
                <w:b/>
              </w:rPr>
            </w:pPr>
            <w:r w:rsidRPr="00B21D35">
              <w:rPr>
                <w:b/>
              </w:rPr>
              <w:t>Low</w:t>
            </w:r>
            <w:r>
              <w:rPr>
                <w:b/>
              </w:rPr>
              <w:t xml:space="preserve"> (L)</w:t>
            </w:r>
          </w:p>
        </w:tc>
        <w:tc>
          <w:tcPr>
            <w:tcW w:w="7229" w:type="dxa"/>
            <w:shd w:val="clear" w:color="auto" w:fill="D6E3BC" w:themeFill="accent3" w:themeFillTint="66"/>
            <w:vAlign w:val="center"/>
          </w:tcPr>
          <w:p w:rsidR="006C25E0" w:rsidRPr="00B21D35" w:rsidRDefault="006C25E0" w:rsidP="006C25E0">
            <w:pPr>
              <w:rPr>
                <w:b/>
                <w:sz w:val="20"/>
                <w:szCs w:val="20"/>
              </w:rPr>
            </w:pPr>
            <w:r w:rsidRPr="00B21D35">
              <w:rPr>
                <w:b/>
                <w:szCs w:val="20"/>
              </w:rPr>
              <w:t>No associated hazard phrases</w:t>
            </w:r>
            <w:r w:rsidR="0013787F">
              <w:rPr>
                <w:b/>
                <w:szCs w:val="20"/>
              </w:rPr>
              <w:t>, toxicity expected to be low</w:t>
            </w:r>
          </w:p>
        </w:tc>
      </w:tr>
      <w:tr w:rsidR="006C25E0" w:rsidTr="006D4163">
        <w:trPr>
          <w:trHeight w:val="397"/>
        </w:trPr>
        <w:tc>
          <w:tcPr>
            <w:tcW w:w="1843" w:type="dxa"/>
            <w:shd w:val="clear" w:color="auto" w:fill="FBD4B4" w:themeFill="accent6" w:themeFillTint="66"/>
            <w:vAlign w:val="center"/>
          </w:tcPr>
          <w:p w:rsidR="006C25E0" w:rsidRPr="00B21D35" w:rsidRDefault="006C25E0" w:rsidP="006C25E0">
            <w:pPr>
              <w:rPr>
                <w:b/>
              </w:rPr>
            </w:pPr>
            <w:r w:rsidRPr="00B21D35">
              <w:rPr>
                <w:b/>
              </w:rPr>
              <w:t>Medium</w:t>
            </w:r>
            <w:r>
              <w:rPr>
                <w:b/>
              </w:rPr>
              <w:t xml:space="preserve"> (M)</w:t>
            </w:r>
          </w:p>
        </w:tc>
        <w:tc>
          <w:tcPr>
            <w:tcW w:w="7229" w:type="dxa"/>
            <w:shd w:val="clear" w:color="auto" w:fill="FBD4B4" w:themeFill="accent6" w:themeFillTint="66"/>
            <w:vAlign w:val="center"/>
          </w:tcPr>
          <w:p w:rsidR="006C25E0" w:rsidRPr="00B21D35" w:rsidRDefault="006C25E0" w:rsidP="006C25E0">
            <w:pPr>
              <w:rPr>
                <w:b/>
                <w:sz w:val="20"/>
                <w:szCs w:val="20"/>
              </w:rPr>
            </w:pPr>
            <w:r w:rsidRPr="00B21D35">
              <w:rPr>
                <w:rFonts w:ascii="Arial" w:hAnsi="Arial" w:cs="Arial"/>
                <w:b/>
                <w:sz w:val="20"/>
                <w:szCs w:val="20"/>
              </w:rPr>
              <w:t>R20, R21, R22, R36, R37, R38, R43, R62, R63, R65, R66, R67</w:t>
            </w:r>
          </w:p>
        </w:tc>
      </w:tr>
      <w:tr w:rsidR="006C25E0" w:rsidTr="006D4163">
        <w:trPr>
          <w:trHeight w:val="397"/>
        </w:trPr>
        <w:tc>
          <w:tcPr>
            <w:tcW w:w="1843" w:type="dxa"/>
            <w:shd w:val="clear" w:color="auto" w:fill="E5B8B7" w:themeFill="accent2" w:themeFillTint="66"/>
            <w:vAlign w:val="center"/>
          </w:tcPr>
          <w:p w:rsidR="006C25E0" w:rsidRPr="00B21D35" w:rsidRDefault="006C25E0" w:rsidP="006C25E0">
            <w:pPr>
              <w:rPr>
                <w:b/>
              </w:rPr>
            </w:pPr>
            <w:r w:rsidRPr="00B21D35">
              <w:rPr>
                <w:b/>
              </w:rPr>
              <w:t>High</w:t>
            </w:r>
            <w:r>
              <w:rPr>
                <w:b/>
              </w:rPr>
              <w:t xml:space="preserve"> (H)</w:t>
            </w:r>
          </w:p>
        </w:tc>
        <w:tc>
          <w:tcPr>
            <w:tcW w:w="7229" w:type="dxa"/>
            <w:shd w:val="clear" w:color="auto" w:fill="E5B8B7" w:themeFill="accent2" w:themeFillTint="66"/>
            <w:vAlign w:val="center"/>
          </w:tcPr>
          <w:p w:rsidR="006C25E0" w:rsidRPr="00B21D35" w:rsidRDefault="006C25E0" w:rsidP="006C25E0">
            <w:pPr>
              <w:rPr>
                <w:b/>
                <w:sz w:val="20"/>
                <w:szCs w:val="20"/>
              </w:rPr>
            </w:pPr>
            <w:r w:rsidRPr="00B21D35">
              <w:rPr>
                <w:rFonts w:ascii="Arial" w:hAnsi="Arial" w:cs="Arial"/>
                <w:b/>
                <w:sz w:val="20"/>
                <w:szCs w:val="20"/>
              </w:rPr>
              <w:t>R23, R24, R25, R29, R31, R34, R40, R41, R43, R46, R60, R61, R64, R68</w:t>
            </w:r>
          </w:p>
        </w:tc>
      </w:tr>
      <w:tr w:rsidR="006C25E0" w:rsidTr="00E875F3">
        <w:trPr>
          <w:trHeight w:val="397"/>
        </w:trPr>
        <w:tc>
          <w:tcPr>
            <w:tcW w:w="1843" w:type="dxa"/>
            <w:shd w:val="clear" w:color="auto" w:fill="B2A1C7" w:themeFill="accent4" w:themeFillTint="99"/>
            <w:vAlign w:val="center"/>
          </w:tcPr>
          <w:p w:rsidR="006C25E0" w:rsidRPr="00B21D35" w:rsidRDefault="006C25E0" w:rsidP="006C25E0">
            <w:pPr>
              <w:rPr>
                <w:b/>
              </w:rPr>
            </w:pPr>
            <w:r w:rsidRPr="00B21D35">
              <w:rPr>
                <w:b/>
              </w:rPr>
              <w:t>Very High</w:t>
            </w:r>
            <w:r>
              <w:rPr>
                <w:b/>
              </w:rPr>
              <w:t xml:space="preserve"> (VH)</w:t>
            </w:r>
          </w:p>
        </w:tc>
        <w:tc>
          <w:tcPr>
            <w:tcW w:w="7229" w:type="dxa"/>
            <w:shd w:val="clear" w:color="auto" w:fill="B2A1C7" w:themeFill="accent4" w:themeFillTint="99"/>
            <w:vAlign w:val="center"/>
          </w:tcPr>
          <w:p w:rsidR="006C25E0" w:rsidRPr="00B21D35" w:rsidRDefault="006C25E0" w:rsidP="006C25E0">
            <w:pPr>
              <w:rPr>
                <w:b/>
                <w:sz w:val="20"/>
                <w:szCs w:val="20"/>
              </w:rPr>
            </w:pPr>
            <w:r w:rsidRPr="00B21D35">
              <w:rPr>
                <w:rFonts w:ascii="Arial" w:hAnsi="Arial" w:cs="Arial"/>
                <w:b/>
                <w:sz w:val="20"/>
                <w:szCs w:val="20"/>
              </w:rPr>
              <w:t>R26, R27, R28, R32, R33 R35, R39, R42, R45, R48, R49</w:t>
            </w:r>
          </w:p>
        </w:tc>
      </w:tr>
    </w:tbl>
    <w:p w:rsidR="00453DFD" w:rsidRDefault="00453DFD" w:rsidP="00335140">
      <w:pPr>
        <w:spacing w:before="240" w:after="120" w:line="240" w:lineRule="auto"/>
        <w:ind w:left="720" w:hanging="720"/>
        <w:jc w:val="both"/>
        <w:rPr>
          <w:b/>
        </w:rPr>
      </w:pPr>
      <w:r>
        <w:rPr>
          <w:b/>
        </w:rPr>
        <w:t>*Note</w:t>
      </w:r>
      <w:r w:rsidR="001725B9">
        <w:rPr>
          <w:b/>
        </w:rPr>
        <w:t>:</w:t>
      </w:r>
      <w:r w:rsidR="001725B9">
        <w:rPr>
          <w:b/>
        </w:rPr>
        <w:tab/>
      </w:r>
      <w:r w:rsidR="006C25E0" w:rsidRPr="00326DD1">
        <w:t>This table</w:t>
      </w:r>
      <w:r w:rsidRPr="00326DD1">
        <w:t xml:space="preserve"> should be used as a guide to determine the </w:t>
      </w:r>
      <w:r w:rsidR="001725B9" w:rsidRPr="00326DD1">
        <w:t>toxic hazard associated with the substance</w:t>
      </w:r>
      <w:r w:rsidR="006C25E0" w:rsidRPr="00326DD1">
        <w:t xml:space="preserve">. </w:t>
      </w:r>
      <w:r w:rsidR="001725B9" w:rsidRPr="00326DD1">
        <w:t xml:space="preserve"> </w:t>
      </w:r>
      <w:r w:rsidR="00E15DAB" w:rsidRPr="00326DD1">
        <w:t xml:space="preserve">For substances where the risk is not clear compare </w:t>
      </w:r>
      <w:r w:rsidR="00C86763">
        <w:t xml:space="preserve">the expected properties of the substance </w:t>
      </w:r>
      <w:r w:rsidR="00E15DAB" w:rsidRPr="00326DD1">
        <w:t xml:space="preserve">with </w:t>
      </w:r>
      <w:r w:rsidR="006C25E0" w:rsidRPr="00326DD1">
        <w:t>hazards listed in the table to make a determination.</w:t>
      </w:r>
    </w:p>
    <w:p w:rsidR="00335140" w:rsidRPr="00453DFD" w:rsidRDefault="00335140" w:rsidP="00335140">
      <w:pPr>
        <w:spacing w:after="120" w:line="240" w:lineRule="auto"/>
        <w:ind w:left="720" w:hanging="720"/>
        <w:jc w:val="both"/>
        <w:rPr>
          <w:b/>
        </w:rPr>
      </w:pPr>
      <w:r>
        <w:rPr>
          <w:b/>
        </w:rPr>
        <w:t>*Note:</w:t>
      </w:r>
      <w:r>
        <w:rPr>
          <w:b/>
        </w:rPr>
        <w:tab/>
      </w:r>
      <w:r w:rsidRPr="00326DD1">
        <w:t>This assessment covers only the toxicity and health effects associated with a substance, flammable, explosive and pyrophoric properties are not included.</w:t>
      </w:r>
    </w:p>
    <w:p w:rsidR="00326DD1" w:rsidRPr="002A103E" w:rsidRDefault="00326DD1" w:rsidP="006C25E0">
      <w:pPr>
        <w:spacing w:after="120" w:line="240" w:lineRule="auto"/>
        <w:rPr>
          <w:b/>
        </w:rPr>
      </w:pPr>
    </w:p>
    <w:p w:rsidR="006A3ADB" w:rsidRPr="001C66EF" w:rsidRDefault="001C66EF" w:rsidP="006C25E0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3:  </w:t>
      </w:r>
      <w:r w:rsidR="00DB36C7" w:rsidRPr="001C66EF">
        <w:rPr>
          <w:b/>
          <w:sz w:val="28"/>
          <w:szCs w:val="28"/>
        </w:rPr>
        <w:t xml:space="preserve">Risk </w:t>
      </w:r>
      <w:r w:rsidR="005E4E33" w:rsidRPr="001C66EF">
        <w:rPr>
          <w:b/>
          <w:sz w:val="28"/>
          <w:szCs w:val="28"/>
        </w:rPr>
        <w:t xml:space="preserve">Rating, </w:t>
      </w:r>
      <w:r w:rsidR="00DB36C7" w:rsidRPr="001C66EF">
        <w:rPr>
          <w:b/>
          <w:sz w:val="28"/>
          <w:szCs w:val="28"/>
        </w:rPr>
        <w:t>Assessment</w:t>
      </w:r>
      <w:r w:rsidR="005E4E33" w:rsidRPr="001C66EF">
        <w:rPr>
          <w:b/>
          <w:sz w:val="28"/>
          <w:szCs w:val="28"/>
        </w:rPr>
        <w:t xml:space="preserve"> and Control</w:t>
      </w:r>
    </w:p>
    <w:p w:rsidR="005E4E33" w:rsidRDefault="005E4E33" w:rsidP="006C25E0">
      <w:pPr>
        <w:tabs>
          <w:tab w:val="left" w:pos="142"/>
          <w:tab w:val="left" w:pos="284"/>
        </w:tabs>
        <w:spacing w:after="240" w:line="240" w:lineRule="auto"/>
        <w:jc w:val="both"/>
        <w:rPr>
          <w:rFonts w:cstheme="minorHAnsi"/>
        </w:rPr>
      </w:pPr>
      <w:r w:rsidRPr="005E4E33">
        <w:rPr>
          <w:rFonts w:cstheme="minorHAnsi"/>
        </w:rPr>
        <w:t xml:space="preserve">Use the matrix </w:t>
      </w:r>
      <w:r w:rsidR="000B46F2">
        <w:rPr>
          <w:rFonts w:cstheme="minorHAnsi"/>
        </w:rPr>
        <w:t xml:space="preserve">below </w:t>
      </w:r>
      <w:r w:rsidRPr="005E4E33">
        <w:rPr>
          <w:rFonts w:cstheme="minorHAnsi"/>
        </w:rPr>
        <w:t xml:space="preserve">to combine the </w:t>
      </w:r>
      <w:r>
        <w:rPr>
          <w:rFonts w:cstheme="minorHAnsi"/>
        </w:rPr>
        <w:t>exposure potential with the toxic hazard</w:t>
      </w:r>
      <w:r w:rsidRPr="005E4E33">
        <w:rPr>
          <w:rFonts w:cstheme="minorHAnsi"/>
          <w:smallCaps/>
        </w:rPr>
        <w:t xml:space="preserve"> </w:t>
      </w:r>
      <w:r w:rsidRPr="005E4E33">
        <w:rPr>
          <w:rFonts w:cstheme="minorHAnsi"/>
        </w:rPr>
        <w:t xml:space="preserve">of each substance to obtain </w:t>
      </w:r>
      <w:r>
        <w:rPr>
          <w:rFonts w:cstheme="minorHAnsi"/>
        </w:rPr>
        <w:t>a</w:t>
      </w:r>
      <w:r w:rsidR="00C86763">
        <w:rPr>
          <w:rFonts w:cstheme="minorHAnsi"/>
        </w:rPr>
        <w:t>n overall</w:t>
      </w:r>
      <w:r>
        <w:rPr>
          <w:rFonts w:cstheme="minorHAnsi"/>
        </w:rPr>
        <w:t xml:space="preserve"> risk rating. The highest risk rating</w:t>
      </w:r>
      <w:r w:rsidRPr="005E4E33">
        <w:rPr>
          <w:rFonts w:cstheme="minorHAnsi"/>
          <w:smallCaps/>
        </w:rPr>
        <w:t xml:space="preserve"> </w:t>
      </w:r>
      <w:r w:rsidRPr="005E4E33">
        <w:rPr>
          <w:rFonts w:cstheme="minorHAnsi"/>
        </w:rPr>
        <w:t xml:space="preserve">obtained indicates the containment required. 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2"/>
        <w:gridCol w:w="2310"/>
        <w:gridCol w:w="2311"/>
        <w:gridCol w:w="2249"/>
      </w:tblGrid>
      <w:tr w:rsidR="002D729D" w:rsidTr="004D1F74">
        <w:trPr>
          <w:trHeight w:val="397"/>
        </w:trPr>
        <w:tc>
          <w:tcPr>
            <w:tcW w:w="2202" w:type="dxa"/>
            <w:vMerge w:val="restart"/>
            <w:shd w:val="clear" w:color="auto" w:fill="D9D9D9" w:themeFill="background1" w:themeFillShade="D9"/>
            <w:vAlign w:val="bottom"/>
          </w:tcPr>
          <w:p w:rsidR="002D729D" w:rsidRDefault="002D729D" w:rsidP="004D1F74">
            <w:pPr>
              <w:spacing w:after="60"/>
            </w:pPr>
            <w:r w:rsidRPr="006A3ADB">
              <w:rPr>
                <w:b/>
                <w:sz w:val="28"/>
                <w:szCs w:val="28"/>
              </w:rPr>
              <w:t>Toxic Hazard</w:t>
            </w:r>
          </w:p>
        </w:tc>
        <w:tc>
          <w:tcPr>
            <w:tcW w:w="6870" w:type="dxa"/>
            <w:gridSpan w:val="3"/>
            <w:shd w:val="clear" w:color="auto" w:fill="003865"/>
            <w:vAlign w:val="center"/>
          </w:tcPr>
          <w:p w:rsidR="002D729D" w:rsidRPr="006A3ADB" w:rsidRDefault="002D729D" w:rsidP="006C25E0">
            <w:pPr>
              <w:jc w:val="center"/>
              <w:rPr>
                <w:b/>
                <w:sz w:val="28"/>
                <w:szCs w:val="28"/>
              </w:rPr>
            </w:pPr>
            <w:r w:rsidRPr="006A3ADB">
              <w:rPr>
                <w:b/>
                <w:sz w:val="28"/>
                <w:szCs w:val="28"/>
              </w:rPr>
              <w:t>Exposure Potential</w:t>
            </w:r>
            <w:r w:rsidR="00A50505">
              <w:rPr>
                <w:b/>
                <w:sz w:val="28"/>
                <w:szCs w:val="28"/>
              </w:rPr>
              <w:t xml:space="preserve"> (EP)</w:t>
            </w:r>
          </w:p>
        </w:tc>
      </w:tr>
      <w:tr w:rsidR="002D729D" w:rsidTr="001725B9">
        <w:trPr>
          <w:trHeight w:val="397"/>
        </w:trPr>
        <w:tc>
          <w:tcPr>
            <w:tcW w:w="2202" w:type="dxa"/>
            <w:vMerge/>
            <w:shd w:val="clear" w:color="auto" w:fill="D9D9D9" w:themeFill="background1" w:themeFillShade="D9"/>
            <w:vAlign w:val="center"/>
          </w:tcPr>
          <w:p w:rsidR="002D729D" w:rsidRPr="006A3ADB" w:rsidRDefault="002D729D" w:rsidP="006C25E0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003865"/>
            <w:vAlign w:val="center"/>
          </w:tcPr>
          <w:p w:rsidR="002D729D" w:rsidRPr="006A3ADB" w:rsidRDefault="002D729D" w:rsidP="006C25E0">
            <w:pPr>
              <w:jc w:val="center"/>
              <w:rPr>
                <w:b/>
                <w:sz w:val="28"/>
                <w:szCs w:val="28"/>
              </w:rPr>
            </w:pPr>
            <w:r w:rsidRPr="006A3ADB">
              <w:rPr>
                <w:b/>
                <w:sz w:val="28"/>
                <w:szCs w:val="28"/>
              </w:rPr>
              <w:t>Low</w:t>
            </w:r>
          </w:p>
        </w:tc>
        <w:tc>
          <w:tcPr>
            <w:tcW w:w="2311" w:type="dxa"/>
            <w:shd w:val="clear" w:color="auto" w:fill="003865"/>
            <w:vAlign w:val="center"/>
          </w:tcPr>
          <w:p w:rsidR="002D729D" w:rsidRPr="006A3ADB" w:rsidRDefault="002D729D" w:rsidP="006C25E0">
            <w:pPr>
              <w:jc w:val="center"/>
              <w:rPr>
                <w:b/>
                <w:sz w:val="28"/>
                <w:szCs w:val="28"/>
              </w:rPr>
            </w:pPr>
            <w:r w:rsidRPr="006A3ADB">
              <w:rPr>
                <w:b/>
                <w:sz w:val="28"/>
                <w:szCs w:val="28"/>
              </w:rPr>
              <w:t>Medium</w:t>
            </w:r>
          </w:p>
        </w:tc>
        <w:tc>
          <w:tcPr>
            <w:tcW w:w="2249" w:type="dxa"/>
            <w:shd w:val="clear" w:color="auto" w:fill="003865"/>
            <w:vAlign w:val="center"/>
          </w:tcPr>
          <w:p w:rsidR="002D729D" w:rsidRPr="006A3ADB" w:rsidRDefault="002D729D" w:rsidP="006C25E0">
            <w:pPr>
              <w:jc w:val="center"/>
              <w:rPr>
                <w:b/>
                <w:sz w:val="28"/>
                <w:szCs w:val="28"/>
              </w:rPr>
            </w:pPr>
            <w:r w:rsidRPr="006A3ADB">
              <w:rPr>
                <w:b/>
                <w:sz w:val="28"/>
                <w:szCs w:val="28"/>
              </w:rPr>
              <w:t>High</w:t>
            </w:r>
          </w:p>
        </w:tc>
      </w:tr>
      <w:tr w:rsidR="002D729D" w:rsidTr="00B52A8A">
        <w:trPr>
          <w:trHeight w:val="397"/>
        </w:trPr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2D729D" w:rsidRPr="002D729D" w:rsidRDefault="002D729D" w:rsidP="006C25E0">
            <w:pPr>
              <w:rPr>
                <w:b/>
                <w:sz w:val="28"/>
                <w:szCs w:val="28"/>
              </w:rPr>
            </w:pPr>
            <w:r w:rsidRPr="002D729D">
              <w:rPr>
                <w:b/>
                <w:sz w:val="28"/>
                <w:szCs w:val="28"/>
              </w:rPr>
              <w:t>Low</w:t>
            </w:r>
          </w:p>
        </w:tc>
        <w:tc>
          <w:tcPr>
            <w:tcW w:w="2310" w:type="dxa"/>
            <w:shd w:val="clear" w:color="auto" w:fill="C2D69B" w:themeFill="accent3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shd w:val="clear" w:color="auto" w:fill="C2D69B" w:themeFill="accent3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49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2D729D" w:rsidTr="00B52A8A">
        <w:trPr>
          <w:trHeight w:val="397"/>
        </w:trPr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2D729D" w:rsidRPr="002D729D" w:rsidRDefault="002D729D" w:rsidP="006C25E0">
            <w:pPr>
              <w:rPr>
                <w:b/>
                <w:sz w:val="28"/>
                <w:szCs w:val="28"/>
              </w:rPr>
            </w:pPr>
            <w:r w:rsidRPr="002D729D">
              <w:rPr>
                <w:b/>
                <w:sz w:val="28"/>
                <w:szCs w:val="28"/>
              </w:rPr>
              <w:t>Medium</w:t>
            </w:r>
          </w:p>
        </w:tc>
        <w:tc>
          <w:tcPr>
            <w:tcW w:w="2310" w:type="dxa"/>
            <w:shd w:val="clear" w:color="auto" w:fill="C2D69B" w:themeFill="accent3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11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49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2D729D" w:rsidTr="00B52A8A">
        <w:trPr>
          <w:trHeight w:val="397"/>
        </w:trPr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2D729D" w:rsidRPr="002D729D" w:rsidRDefault="002D729D" w:rsidP="006C25E0">
            <w:pPr>
              <w:rPr>
                <w:b/>
                <w:sz w:val="28"/>
                <w:szCs w:val="28"/>
              </w:rPr>
            </w:pPr>
            <w:r w:rsidRPr="002D729D">
              <w:rPr>
                <w:b/>
                <w:sz w:val="28"/>
                <w:szCs w:val="28"/>
              </w:rPr>
              <w:t>High</w:t>
            </w:r>
          </w:p>
        </w:tc>
        <w:tc>
          <w:tcPr>
            <w:tcW w:w="2310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49" w:type="dxa"/>
            <w:shd w:val="clear" w:color="auto" w:fill="D99594" w:themeFill="accent2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2D729D" w:rsidTr="00B52A8A">
        <w:trPr>
          <w:trHeight w:val="397"/>
        </w:trPr>
        <w:tc>
          <w:tcPr>
            <w:tcW w:w="2202" w:type="dxa"/>
            <w:shd w:val="clear" w:color="auto" w:fill="D9D9D9" w:themeFill="background1" w:themeFillShade="D9"/>
            <w:vAlign w:val="center"/>
          </w:tcPr>
          <w:p w:rsidR="002D729D" w:rsidRPr="002D729D" w:rsidRDefault="002D729D" w:rsidP="006C25E0">
            <w:pPr>
              <w:rPr>
                <w:b/>
                <w:sz w:val="28"/>
                <w:szCs w:val="28"/>
              </w:rPr>
            </w:pPr>
            <w:r w:rsidRPr="002D729D">
              <w:rPr>
                <w:b/>
                <w:sz w:val="28"/>
                <w:szCs w:val="28"/>
              </w:rPr>
              <w:t>Very High</w:t>
            </w:r>
          </w:p>
        </w:tc>
        <w:tc>
          <w:tcPr>
            <w:tcW w:w="2310" w:type="dxa"/>
            <w:shd w:val="clear" w:color="auto" w:fill="FABF8F" w:themeFill="accent6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11" w:type="dxa"/>
            <w:shd w:val="clear" w:color="auto" w:fill="D99594" w:themeFill="accent2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D99594" w:themeFill="accent2" w:themeFillTint="99"/>
            <w:vAlign w:val="center"/>
          </w:tcPr>
          <w:p w:rsidR="002D729D" w:rsidRPr="002D729D" w:rsidRDefault="00B52A8A" w:rsidP="006C25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</w:tbl>
    <w:p w:rsidR="006C25E0" w:rsidRPr="001C75F8" w:rsidRDefault="006C25E0" w:rsidP="006C25E0">
      <w:pPr>
        <w:pStyle w:val="ListParagraph"/>
        <w:numPr>
          <w:ilvl w:val="0"/>
          <w:numId w:val="2"/>
        </w:numPr>
        <w:spacing w:before="240" w:after="12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Risk Rating </w:t>
      </w:r>
      <w:r w:rsidRPr="001C75F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Pr="001C75F8">
        <w:rPr>
          <w:b/>
          <w:sz w:val="24"/>
          <w:szCs w:val="24"/>
        </w:rPr>
        <w:t xml:space="preserve">Open bench </w:t>
      </w:r>
      <w:r w:rsidR="00DF54B6">
        <w:rPr>
          <w:b/>
          <w:sz w:val="24"/>
          <w:szCs w:val="24"/>
        </w:rPr>
        <w:t xml:space="preserve">working </w:t>
      </w:r>
      <w:r w:rsidRPr="0036255E">
        <w:rPr>
          <w:b/>
          <w:sz w:val="24"/>
          <w:szCs w:val="24"/>
          <w:u w:val="single"/>
        </w:rPr>
        <w:t>may</w:t>
      </w:r>
      <w:r w:rsidRPr="001C75F8">
        <w:rPr>
          <w:b/>
          <w:sz w:val="24"/>
          <w:szCs w:val="24"/>
        </w:rPr>
        <w:t xml:space="preserve"> be suitable</w:t>
      </w:r>
      <w:r>
        <w:rPr>
          <w:b/>
          <w:sz w:val="24"/>
          <w:szCs w:val="24"/>
        </w:rPr>
        <w:t xml:space="preserve"> for this procedure</w:t>
      </w:r>
    </w:p>
    <w:p w:rsidR="006C25E0" w:rsidRPr="001C75F8" w:rsidRDefault="006C25E0" w:rsidP="006C25E0">
      <w:pPr>
        <w:pStyle w:val="ListParagraph"/>
        <w:numPr>
          <w:ilvl w:val="0"/>
          <w:numId w:val="2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Risk Rating 2</w:t>
      </w:r>
      <w:r>
        <w:rPr>
          <w:b/>
          <w:sz w:val="24"/>
          <w:szCs w:val="24"/>
        </w:rPr>
        <w:tab/>
      </w:r>
      <w:r w:rsidR="00326DD1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se of a fume extraction system is recommended</w:t>
      </w:r>
    </w:p>
    <w:p w:rsidR="006A3ADB" w:rsidRDefault="006C25E0" w:rsidP="001C75F8">
      <w:pPr>
        <w:pStyle w:val="ListParagraph"/>
        <w:numPr>
          <w:ilvl w:val="0"/>
          <w:numId w:val="2"/>
        </w:numPr>
        <w:spacing w:after="120" w:line="240" w:lineRule="auto"/>
      </w:pPr>
      <w:r w:rsidRPr="00335140">
        <w:rPr>
          <w:b/>
          <w:sz w:val="24"/>
          <w:szCs w:val="24"/>
        </w:rPr>
        <w:t>Risk Rating 3</w:t>
      </w:r>
      <w:r w:rsidRPr="00335140">
        <w:rPr>
          <w:b/>
          <w:sz w:val="24"/>
          <w:szCs w:val="24"/>
        </w:rPr>
        <w:tab/>
      </w:r>
      <w:r w:rsidR="00C86763">
        <w:rPr>
          <w:b/>
          <w:sz w:val="24"/>
          <w:szCs w:val="24"/>
        </w:rPr>
        <w:t>Special containment  facilities likely to</w:t>
      </w:r>
      <w:r w:rsidRPr="00335140">
        <w:rPr>
          <w:b/>
          <w:sz w:val="24"/>
          <w:szCs w:val="24"/>
        </w:rPr>
        <w:t xml:space="preserve"> be required for this proce</w:t>
      </w:r>
      <w:r w:rsidR="00C86763">
        <w:rPr>
          <w:b/>
          <w:sz w:val="24"/>
          <w:szCs w:val="24"/>
        </w:rPr>
        <w:t>ss</w:t>
      </w:r>
    </w:p>
    <w:sectPr w:rsidR="006A3AD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34" w:rsidRDefault="001B2434" w:rsidP="00EB6ACD">
      <w:pPr>
        <w:spacing w:after="0" w:line="240" w:lineRule="auto"/>
      </w:pPr>
      <w:r>
        <w:separator/>
      </w:r>
    </w:p>
  </w:endnote>
  <w:endnote w:type="continuationSeparator" w:id="0">
    <w:p w:rsidR="001B2434" w:rsidRDefault="001B2434" w:rsidP="00EB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D1" w:rsidRPr="00326DD1" w:rsidRDefault="00326DD1" w:rsidP="00326DD1">
    <w:pPr>
      <w:pStyle w:val="Footer"/>
      <w:tabs>
        <w:tab w:val="clear" w:pos="9026"/>
        <w:tab w:val="right" w:pos="9639"/>
      </w:tabs>
      <w:jc w:val="right"/>
      <w:rPr>
        <w:color w:val="808080" w:themeColor="background1" w:themeShade="80"/>
      </w:rPr>
    </w:pPr>
    <w:r w:rsidRPr="00326DD1">
      <w:rPr>
        <w:color w:val="808080" w:themeColor="background1" w:themeShade="80"/>
      </w:rPr>
      <w:t>Safety and Environmental Protection Services</w:t>
    </w:r>
  </w:p>
  <w:p w:rsidR="00326DD1" w:rsidRPr="00326DD1" w:rsidRDefault="00326DD1" w:rsidP="00326DD1">
    <w:pPr>
      <w:pStyle w:val="Footer"/>
      <w:tabs>
        <w:tab w:val="clear" w:pos="9026"/>
        <w:tab w:val="right" w:pos="9639"/>
      </w:tabs>
      <w:jc w:val="right"/>
      <w:rPr>
        <w:color w:val="808080" w:themeColor="background1" w:themeShade="80"/>
      </w:rPr>
    </w:pPr>
    <w:r w:rsidRPr="00326DD1">
      <w:rPr>
        <w:color w:val="808080" w:themeColor="background1" w:themeShade="80"/>
      </w:rPr>
      <w:t>CoSHH Assessment Reference Guide v1.0 (23/05/17)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34" w:rsidRDefault="001B2434" w:rsidP="00EB6ACD">
      <w:pPr>
        <w:spacing w:after="0" w:line="240" w:lineRule="auto"/>
      </w:pPr>
      <w:r>
        <w:separator/>
      </w:r>
    </w:p>
  </w:footnote>
  <w:footnote w:type="continuationSeparator" w:id="0">
    <w:p w:rsidR="001B2434" w:rsidRDefault="001B2434" w:rsidP="00EB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CD" w:rsidRDefault="00326D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margin">
                <wp:posOffset>3626485</wp:posOffset>
              </wp:positionH>
              <wp:positionV relativeFrom="paragraph">
                <wp:posOffset>-162560</wp:posOffset>
              </wp:positionV>
              <wp:extent cx="2828925" cy="59626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DD1" w:rsidRPr="00326DD1" w:rsidRDefault="00326DD1" w:rsidP="00326DD1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26DD1">
                            <w:rPr>
                              <w:b/>
                              <w:sz w:val="32"/>
                              <w:szCs w:val="32"/>
                            </w:rPr>
                            <w:t>Safety and Environmental</w:t>
                          </w:r>
                        </w:p>
                        <w:p w:rsidR="00326DD1" w:rsidRPr="00326DD1" w:rsidRDefault="00326DD1" w:rsidP="00326DD1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26DD1">
                            <w:rPr>
                              <w:b/>
                              <w:sz w:val="32"/>
                              <w:szCs w:val="32"/>
                            </w:rPr>
                            <w:t>Protection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55pt;margin-top:-12.8pt;width:222.75pt;height:4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lRIgIAAB0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" stroked="f">
              <v:textbox style="mso-fit-shape-to-text:t">
                <w:txbxContent>
                  <w:p w:rsidR="00326DD1" w:rsidRPr="00326DD1" w:rsidRDefault="00326DD1" w:rsidP="00326DD1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326DD1">
                      <w:rPr>
                        <w:b/>
                        <w:sz w:val="32"/>
                        <w:szCs w:val="32"/>
                      </w:rPr>
                      <w:t>Safety and Environmental</w:t>
                    </w:r>
                  </w:p>
                  <w:p w:rsidR="00326DD1" w:rsidRPr="00326DD1" w:rsidRDefault="00326DD1" w:rsidP="00326DD1">
                    <w:pPr>
                      <w:spacing w:after="0" w:line="240" w:lineRule="auto"/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326DD1">
                      <w:rPr>
                        <w:b/>
                        <w:sz w:val="32"/>
                        <w:szCs w:val="32"/>
                      </w:rPr>
                      <w:t>Protection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-733425</wp:posOffset>
          </wp:positionH>
          <wp:positionV relativeFrom="paragraph">
            <wp:posOffset>-314960</wp:posOffset>
          </wp:positionV>
          <wp:extent cx="2099945" cy="899795"/>
          <wp:effectExtent l="0" t="0" r="0" b="0"/>
          <wp:wrapSquare wrapText="bothSides"/>
          <wp:docPr id="1" name="Picture 1" descr="Colour 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 marq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46F"/>
    <w:multiLevelType w:val="hybridMultilevel"/>
    <w:tmpl w:val="7C76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5AE3"/>
    <w:multiLevelType w:val="hybridMultilevel"/>
    <w:tmpl w:val="1ADE24E8"/>
    <w:lvl w:ilvl="0" w:tplc="55E8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A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0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D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85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20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2D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2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175563"/>
    <w:multiLevelType w:val="hybridMultilevel"/>
    <w:tmpl w:val="E8D4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124FA"/>
    <w:multiLevelType w:val="hybridMultilevel"/>
    <w:tmpl w:val="7FCAF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8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01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D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85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20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2D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2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C1"/>
    <w:rsid w:val="00053325"/>
    <w:rsid w:val="000B46F2"/>
    <w:rsid w:val="0013787F"/>
    <w:rsid w:val="00166C0F"/>
    <w:rsid w:val="001725B9"/>
    <w:rsid w:val="0019554A"/>
    <w:rsid w:val="001B2434"/>
    <w:rsid w:val="001C66EF"/>
    <w:rsid w:val="001C75F8"/>
    <w:rsid w:val="002431CB"/>
    <w:rsid w:val="002776D0"/>
    <w:rsid w:val="002A103E"/>
    <w:rsid w:val="002A4F38"/>
    <w:rsid w:val="002D729D"/>
    <w:rsid w:val="003255F4"/>
    <w:rsid w:val="00326DD1"/>
    <w:rsid w:val="00335140"/>
    <w:rsid w:val="0036255E"/>
    <w:rsid w:val="003A7D3B"/>
    <w:rsid w:val="00444A5D"/>
    <w:rsid w:val="00453DFD"/>
    <w:rsid w:val="004D1F74"/>
    <w:rsid w:val="005E4E33"/>
    <w:rsid w:val="006946D5"/>
    <w:rsid w:val="00694E5B"/>
    <w:rsid w:val="006A3ADB"/>
    <w:rsid w:val="006C25E0"/>
    <w:rsid w:val="006E07EE"/>
    <w:rsid w:val="006F76E9"/>
    <w:rsid w:val="00897BEA"/>
    <w:rsid w:val="00985422"/>
    <w:rsid w:val="00A50505"/>
    <w:rsid w:val="00AA584E"/>
    <w:rsid w:val="00AA60F9"/>
    <w:rsid w:val="00AD0FA4"/>
    <w:rsid w:val="00B21D35"/>
    <w:rsid w:val="00B52A8A"/>
    <w:rsid w:val="00BC6F04"/>
    <w:rsid w:val="00BF0B1E"/>
    <w:rsid w:val="00C83A6C"/>
    <w:rsid w:val="00C86763"/>
    <w:rsid w:val="00CC2CE0"/>
    <w:rsid w:val="00D0531E"/>
    <w:rsid w:val="00D20C64"/>
    <w:rsid w:val="00DB36C7"/>
    <w:rsid w:val="00DF54B6"/>
    <w:rsid w:val="00E064DC"/>
    <w:rsid w:val="00E15DAB"/>
    <w:rsid w:val="00E875F3"/>
    <w:rsid w:val="00EB6ACD"/>
    <w:rsid w:val="00EC1BA3"/>
    <w:rsid w:val="00FC5EC1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53A1F8"/>
  <w15:docId w15:val="{F25347DA-93E1-40B9-8FFC-199AA8B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4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CD"/>
  </w:style>
  <w:style w:type="paragraph" w:styleId="Footer">
    <w:name w:val="footer"/>
    <w:basedOn w:val="Normal"/>
    <w:link w:val="FooterChar"/>
    <w:uiPriority w:val="99"/>
    <w:unhideWhenUsed/>
    <w:rsid w:val="00EB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CD"/>
  </w:style>
  <w:style w:type="paragraph" w:styleId="BalloonText">
    <w:name w:val="Balloon Text"/>
    <w:basedOn w:val="Normal"/>
    <w:link w:val="BalloonTextChar"/>
    <w:uiPriority w:val="99"/>
    <w:semiHidden/>
    <w:unhideWhenUsed/>
    <w:rsid w:val="0032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6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5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1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9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EC88-CCD3-4E5F-ABA8-13C4CC21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31</cp:revision>
  <cp:lastPrinted>2017-05-24T09:28:00Z</cp:lastPrinted>
  <dcterms:created xsi:type="dcterms:W3CDTF">2017-05-23T13:09:00Z</dcterms:created>
  <dcterms:modified xsi:type="dcterms:W3CDTF">2017-09-27T08:53:00Z</dcterms:modified>
</cp:coreProperties>
</file>