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B530" w14:textId="77777777" w:rsidR="00BD0DE3" w:rsidRPr="00BD0DE3" w:rsidRDefault="00BD0DE3" w:rsidP="00CD67DC">
      <w:pPr>
        <w:pStyle w:val="Heading1"/>
        <w:spacing w:before="0" w:after="20" w:line="240" w:lineRule="auto"/>
        <w:rPr>
          <w:b/>
          <w:bCs/>
        </w:rPr>
      </w:pPr>
      <w:r w:rsidRPr="00BD0DE3">
        <w:rPr>
          <w:b/>
          <w:bCs/>
        </w:rPr>
        <w:t>JWSE Academic Line Management Framework</w:t>
      </w:r>
    </w:p>
    <w:p w14:paraId="2207D186" w14:textId="56ED7AD7" w:rsidR="00BD0DE3" w:rsidRPr="00494946" w:rsidRDefault="00BD0DE3" w:rsidP="00494946">
      <w:pPr>
        <w:pStyle w:val="Heading2"/>
        <w:rPr>
          <w:b/>
          <w:bCs/>
        </w:rPr>
      </w:pPr>
      <w:r w:rsidRPr="00494946">
        <w:rPr>
          <w:b/>
          <w:bCs/>
        </w:rPr>
        <w:t xml:space="preserve">Executive summary  </w:t>
      </w:r>
    </w:p>
    <w:p w14:paraId="12913E6F" w14:textId="166E221E" w:rsidR="00D956B8" w:rsidRPr="00CD67DC" w:rsidRDefault="00BD0DE3" w:rsidP="00D956B8">
      <w:pPr>
        <w:rPr>
          <w:rFonts w:ascii="Arial" w:hAnsi="Arial" w:cs="Arial"/>
          <w:sz w:val="22"/>
          <w:szCs w:val="22"/>
        </w:rPr>
      </w:pPr>
      <w:r w:rsidRPr="00BD0DE3">
        <w:rPr>
          <w:rStyle w:val="Heading3Char"/>
        </w:rPr>
        <w:t>Why we have a new framework</w:t>
      </w:r>
      <w:r w:rsidRPr="00BD0DE3">
        <w:rPr>
          <w:rStyle w:val="Heading3Char"/>
        </w:rPr>
        <w:br/>
      </w:r>
      <w:r w:rsidR="00010EFC" w:rsidRPr="00CD67DC">
        <w:rPr>
          <w:rFonts w:ascii="Arial" w:hAnsi="Arial" w:cs="Arial"/>
          <w:sz w:val="22"/>
          <w:szCs w:val="22"/>
        </w:rPr>
        <w:t>Our School has grown significantly in size, scale and international reach</w:t>
      </w:r>
      <w:r w:rsidR="001A02D0" w:rsidRPr="00CD67DC">
        <w:rPr>
          <w:rFonts w:ascii="Arial" w:hAnsi="Arial" w:cs="Arial"/>
          <w:sz w:val="22"/>
          <w:szCs w:val="22"/>
        </w:rPr>
        <w:t xml:space="preserve"> — </w:t>
      </w:r>
      <w:r w:rsidR="009E0A8D" w:rsidRPr="00CD67DC">
        <w:rPr>
          <w:rFonts w:ascii="Arial" w:hAnsi="Arial" w:cs="Arial"/>
          <w:sz w:val="22"/>
          <w:szCs w:val="22"/>
        </w:rPr>
        <w:t xml:space="preserve">and </w:t>
      </w:r>
      <w:r w:rsidR="003C5B1C" w:rsidRPr="00CD67DC">
        <w:rPr>
          <w:rFonts w:ascii="Arial" w:hAnsi="Arial" w:cs="Arial"/>
          <w:sz w:val="22"/>
          <w:szCs w:val="22"/>
        </w:rPr>
        <w:t xml:space="preserve">so too </w:t>
      </w:r>
      <w:r w:rsidR="001A02D0" w:rsidRPr="00CD67DC">
        <w:rPr>
          <w:rFonts w:ascii="Arial" w:hAnsi="Arial" w:cs="Arial"/>
          <w:sz w:val="22"/>
          <w:szCs w:val="22"/>
        </w:rPr>
        <w:t>has</w:t>
      </w:r>
      <w:r w:rsidR="003C5B1C" w:rsidRPr="00CD67DC">
        <w:rPr>
          <w:rFonts w:ascii="Arial" w:hAnsi="Arial" w:cs="Arial"/>
          <w:sz w:val="22"/>
          <w:szCs w:val="22"/>
        </w:rPr>
        <w:t xml:space="preserve"> our ambition</w:t>
      </w:r>
      <w:r w:rsidR="00010EFC" w:rsidRPr="00CD67DC">
        <w:rPr>
          <w:rFonts w:ascii="Arial" w:hAnsi="Arial" w:cs="Arial"/>
          <w:sz w:val="22"/>
          <w:szCs w:val="22"/>
        </w:rPr>
        <w:t xml:space="preserve">. </w:t>
      </w:r>
      <w:r w:rsidR="002E4E7B" w:rsidRPr="00CD67DC">
        <w:rPr>
          <w:rFonts w:ascii="Arial" w:hAnsi="Arial" w:cs="Arial"/>
          <w:sz w:val="22"/>
          <w:szCs w:val="22"/>
        </w:rPr>
        <w:t>We are a vibrant, diverse academic community, united by a commitment to outstanding research, teaching and impact. T</w:t>
      </w:r>
      <w:r w:rsidR="00D956B8" w:rsidRPr="00CD67DC">
        <w:rPr>
          <w:rFonts w:ascii="Arial" w:hAnsi="Arial" w:cs="Arial"/>
          <w:sz w:val="22"/>
          <w:szCs w:val="22"/>
        </w:rPr>
        <w:t>o nurture the culture that enables this excellence, we need leadership that is clear, coordinated and grounded in shared purpose.</w:t>
      </w:r>
    </w:p>
    <w:p w14:paraId="6966B078" w14:textId="46791F2C" w:rsidR="005E7B56" w:rsidRPr="00CD67DC" w:rsidRDefault="001C7239" w:rsidP="005E7B56">
      <w:pPr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This framework strengthens how we work together</w:t>
      </w:r>
      <w:r w:rsidR="00835A0B" w:rsidRPr="00CD67DC">
        <w:rPr>
          <w:rFonts w:ascii="Arial" w:hAnsi="Arial" w:cs="Arial"/>
          <w:sz w:val="22"/>
          <w:szCs w:val="22"/>
        </w:rPr>
        <w:t xml:space="preserve"> </w:t>
      </w:r>
      <w:r w:rsidR="005E7B56" w:rsidRPr="00CD67DC">
        <w:rPr>
          <w:rFonts w:ascii="Arial" w:hAnsi="Arial" w:cs="Arial"/>
          <w:sz w:val="22"/>
          <w:szCs w:val="22"/>
        </w:rPr>
        <w:t xml:space="preserve">by clarifying responsibilities, reinforcing shared accountability and ensuring our academic community is supported in a </w:t>
      </w:r>
      <w:r w:rsidR="0008162F" w:rsidRPr="00CD67DC">
        <w:rPr>
          <w:rFonts w:ascii="Arial" w:hAnsi="Arial" w:cs="Arial"/>
          <w:sz w:val="22"/>
          <w:szCs w:val="22"/>
        </w:rPr>
        <w:t>joined-up</w:t>
      </w:r>
      <w:r w:rsidR="005E7B56" w:rsidRPr="00CD67DC">
        <w:rPr>
          <w:rFonts w:ascii="Arial" w:hAnsi="Arial" w:cs="Arial"/>
          <w:sz w:val="22"/>
          <w:szCs w:val="22"/>
        </w:rPr>
        <w:t xml:space="preserve"> way.</w:t>
      </w:r>
      <w:r w:rsidR="00CD67DC">
        <w:rPr>
          <w:rFonts w:ascii="Arial" w:hAnsi="Arial" w:cs="Arial"/>
          <w:sz w:val="22"/>
          <w:szCs w:val="22"/>
        </w:rPr>
        <w:br/>
      </w:r>
    </w:p>
    <w:p w14:paraId="156720DA" w14:textId="77777777" w:rsidR="00BD0DE3" w:rsidRDefault="00BD0DE3" w:rsidP="00494946">
      <w:pPr>
        <w:pStyle w:val="Heading3"/>
      </w:pPr>
      <w:r w:rsidRPr="00BD0DE3">
        <w:t>What the framework does</w:t>
      </w:r>
    </w:p>
    <w:p w14:paraId="6D4A6113" w14:textId="77777777" w:rsidR="00010EFC" w:rsidRPr="00CD67DC" w:rsidRDefault="00010EFC" w:rsidP="005E7B5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The framework:</w:t>
      </w:r>
    </w:p>
    <w:p w14:paraId="597B16DA" w14:textId="697A9A8D" w:rsidR="00010EFC" w:rsidRPr="00CD67DC" w:rsidRDefault="005E7B56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introduces</w:t>
      </w:r>
      <w:r w:rsidR="00010EFC" w:rsidRPr="00CD67DC">
        <w:rPr>
          <w:rFonts w:ascii="Arial" w:hAnsi="Arial" w:cs="Arial"/>
          <w:sz w:val="22"/>
          <w:szCs w:val="22"/>
        </w:rPr>
        <w:t xml:space="preserve"> a </w:t>
      </w:r>
      <w:r w:rsidR="0008162F" w:rsidRPr="00CD67DC">
        <w:rPr>
          <w:rFonts w:ascii="Arial" w:hAnsi="Arial" w:cs="Arial"/>
          <w:b/>
          <w:bCs/>
          <w:sz w:val="22"/>
          <w:szCs w:val="22"/>
        </w:rPr>
        <w:t>dual model</w:t>
      </w:r>
      <w:r w:rsidR="00010EFC" w:rsidRPr="00CD67DC">
        <w:rPr>
          <w:rFonts w:ascii="Arial" w:hAnsi="Arial" w:cs="Arial"/>
          <w:sz w:val="22"/>
          <w:szCs w:val="22"/>
        </w:rPr>
        <w:t xml:space="preserve">, where all academic staff </w:t>
      </w:r>
      <w:r w:rsidR="0012237B" w:rsidRPr="00CD67DC">
        <w:rPr>
          <w:rFonts w:ascii="Arial" w:hAnsi="Arial" w:cs="Arial"/>
          <w:sz w:val="22"/>
          <w:szCs w:val="22"/>
        </w:rPr>
        <w:t xml:space="preserve">on R&amp;T and LTS career tracks </w:t>
      </w:r>
      <w:r w:rsidR="00010EFC" w:rsidRPr="00CD67DC">
        <w:rPr>
          <w:rFonts w:ascii="Arial" w:hAnsi="Arial" w:cs="Arial"/>
          <w:sz w:val="22"/>
          <w:szCs w:val="22"/>
        </w:rPr>
        <w:t xml:space="preserve">have a </w:t>
      </w:r>
      <w:r w:rsidR="00010EFC" w:rsidRPr="00CD67DC">
        <w:rPr>
          <w:rFonts w:ascii="Arial" w:hAnsi="Arial" w:cs="Arial"/>
          <w:b/>
          <w:bCs/>
          <w:sz w:val="22"/>
          <w:szCs w:val="22"/>
        </w:rPr>
        <w:t>research line manager (</w:t>
      </w:r>
      <w:proofErr w:type="spellStart"/>
      <w:r w:rsidR="00010EFC" w:rsidRPr="00CD67DC">
        <w:rPr>
          <w:rFonts w:ascii="Arial" w:hAnsi="Arial" w:cs="Arial"/>
          <w:b/>
          <w:bCs/>
          <w:sz w:val="22"/>
          <w:szCs w:val="22"/>
        </w:rPr>
        <w:t>HoRD</w:t>
      </w:r>
      <w:proofErr w:type="spellEnd"/>
      <w:r w:rsidR="00010EFC" w:rsidRPr="00CD67DC">
        <w:rPr>
          <w:rFonts w:ascii="Arial" w:hAnsi="Arial" w:cs="Arial"/>
          <w:b/>
          <w:bCs/>
          <w:sz w:val="22"/>
          <w:szCs w:val="22"/>
        </w:rPr>
        <w:t>)</w:t>
      </w:r>
      <w:r w:rsidR="00010EFC" w:rsidRPr="00CD67DC">
        <w:rPr>
          <w:rFonts w:ascii="Arial" w:hAnsi="Arial" w:cs="Arial"/>
          <w:sz w:val="22"/>
          <w:szCs w:val="22"/>
        </w:rPr>
        <w:t xml:space="preserve"> and a </w:t>
      </w:r>
      <w:r w:rsidR="00010EFC" w:rsidRPr="00CD67DC">
        <w:rPr>
          <w:rFonts w:ascii="Arial" w:hAnsi="Arial" w:cs="Arial"/>
          <w:b/>
          <w:bCs/>
          <w:sz w:val="22"/>
          <w:szCs w:val="22"/>
        </w:rPr>
        <w:t>teaching line manager (</w:t>
      </w:r>
      <w:proofErr w:type="spellStart"/>
      <w:r w:rsidR="00010EFC" w:rsidRPr="00CD67DC"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="00010EFC" w:rsidRPr="00CD67DC">
        <w:rPr>
          <w:rFonts w:ascii="Arial" w:hAnsi="Arial" w:cs="Arial"/>
          <w:b/>
          <w:bCs/>
          <w:sz w:val="22"/>
          <w:szCs w:val="22"/>
        </w:rPr>
        <w:t>)</w:t>
      </w:r>
      <w:r w:rsidR="00010EFC" w:rsidRPr="00CD67DC">
        <w:rPr>
          <w:rFonts w:ascii="Arial" w:hAnsi="Arial" w:cs="Arial"/>
          <w:sz w:val="22"/>
          <w:szCs w:val="22"/>
        </w:rPr>
        <w:t>;</w:t>
      </w:r>
    </w:p>
    <w:p w14:paraId="62289A43" w14:textId="77777777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clarifies who to contact for support, development and day</w:t>
      </w:r>
      <w:r w:rsidRPr="00CD67DC">
        <w:rPr>
          <w:rFonts w:ascii="Arial" w:hAnsi="Arial" w:cs="Arial"/>
          <w:sz w:val="22"/>
          <w:szCs w:val="22"/>
        </w:rPr>
        <w:noBreakHyphen/>
        <w:t>to</w:t>
      </w:r>
      <w:r w:rsidRPr="00CD67DC">
        <w:rPr>
          <w:rFonts w:ascii="Arial" w:hAnsi="Arial" w:cs="Arial"/>
          <w:sz w:val="22"/>
          <w:szCs w:val="22"/>
        </w:rPr>
        <w:noBreakHyphen/>
        <w:t>day guidance;</w:t>
      </w:r>
    </w:p>
    <w:p w14:paraId="4AB2D9DA" w14:textId="77777777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 xml:space="preserve">sets out </w:t>
      </w:r>
      <w:r w:rsidRPr="00CD67DC">
        <w:rPr>
          <w:rFonts w:ascii="Arial" w:hAnsi="Arial" w:cs="Arial"/>
          <w:b/>
          <w:bCs/>
          <w:sz w:val="22"/>
          <w:szCs w:val="22"/>
        </w:rPr>
        <w:t>clear routing</w:t>
      </w:r>
      <w:r w:rsidRPr="00CD67DC">
        <w:rPr>
          <w:rFonts w:ascii="Arial" w:hAnsi="Arial" w:cs="Arial"/>
          <w:sz w:val="22"/>
          <w:szCs w:val="22"/>
        </w:rPr>
        <w:t xml:space="preserve"> for HR processes (e.g., probation, promotion, leave);</w:t>
      </w:r>
    </w:p>
    <w:p w14:paraId="4A5C4E0C" w14:textId="77777777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 xml:space="preserve">strengthens </w:t>
      </w:r>
      <w:r w:rsidRPr="00CD67DC">
        <w:rPr>
          <w:rFonts w:ascii="Arial" w:hAnsi="Arial" w:cs="Arial"/>
          <w:b/>
          <w:bCs/>
          <w:sz w:val="22"/>
          <w:szCs w:val="22"/>
        </w:rPr>
        <w:t>performance, wellbeing and EDI</w:t>
      </w:r>
      <w:r w:rsidRPr="00CD67DC">
        <w:rPr>
          <w:rFonts w:ascii="Arial" w:hAnsi="Arial" w:cs="Arial"/>
          <w:sz w:val="22"/>
          <w:szCs w:val="22"/>
        </w:rPr>
        <w:t xml:space="preserve"> support for staff;</w:t>
      </w:r>
    </w:p>
    <w:p w14:paraId="522AF1A2" w14:textId="55530E32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626BE660">
        <w:rPr>
          <w:rFonts w:ascii="Arial" w:hAnsi="Arial" w:cs="Arial"/>
          <w:sz w:val="22"/>
          <w:szCs w:val="22"/>
        </w:rPr>
        <w:t xml:space="preserve">explains how line management works for </w:t>
      </w:r>
      <w:r w:rsidRPr="626BE660">
        <w:rPr>
          <w:rFonts w:ascii="Arial" w:hAnsi="Arial" w:cs="Arial"/>
          <w:b/>
          <w:bCs/>
          <w:sz w:val="22"/>
          <w:szCs w:val="22"/>
        </w:rPr>
        <w:t>fly</w:t>
      </w:r>
      <w:r>
        <w:noBreakHyphen/>
      </w:r>
      <w:r w:rsidRPr="626BE660">
        <w:rPr>
          <w:rFonts w:ascii="Arial" w:hAnsi="Arial" w:cs="Arial"/>
          <w:b/>
          <w:bCs/>
          <w:sz w:val="22"/>
          <w:szCs w:val="22"/>
        </w:rPr>
        <w:t>in-fly-out (FIFO) staff teaching in China</w:t>
      </w:r>
      <w:r w:rsidRPr="626BE660">
        <w:rPr>
          <w:rFonts w:ascii="Arial" w:hAnsi="Arial" w:cs="Arial"/>
          <w:sz w:val="22"/>
          <w:szCs w:val="22"/>
        </w:rPr>
        <w:t xml:space="preserve">, where the </w:t>
      </w:r>
      <w:r w:rsidRPr="626BE660">
        <w:rPr>
          <w:rFonts w:ascii="Arial" w:hAnsi="Arial" w:cs="Arial"/>
          <w:b/>
          <w:bCs/>
          <w:sz w:val="22"/>
          <w:szCs w:val="22"/>
        </w:rPr>
        <w:t>Executive Dean</w:t>
      </w:r>
      <w:r w:rsidR="00D84057">
        <w:rPr>
          <w:rFonts w:ascii="Arial" w:hAnsi="Arial" w:cs="Arial"/>
          <w:b/>
          <w:bCs/>
          <w:sz w:val="22"/>
          <w:szCs w:val="22"/>
        </w:rPr>
        <w:t xml:space="preserve"> (Academic)</w:t>
      </w:r>
      <w:r w:rsidR="5838434C" w:rsidRPr="626BE660">
        <w:rPr>
          <w:rFonts w:ascii="Arial" w:hAnsi="Arial" w:cs="Arial"/>
          <w:b/>
          <w:bCs/>
          <w:sz w:val="22"/>
          <w:szCs w:val="22"/>
        </w:rPr>
        <w:t xml:space="preserve">, Director of TNE </w:t>
      </w:r>
      <w:r w:rsidR="5838434C" w:rsidRPr="626BE660">
        <w:rPr>
          <w:rFonts w:ascii="Arial" w:hAnsi="Arial" w:cs="Arial"/>
          <w:sz w:val="22"/>
          <w:szCs w:val="22"/>
        </w:rPr>
        <w:t xml:space="preserve">or </w:t>
      </w:r>
      <w:r w:rsidR="5838434C" w:rsidRPr="626BE660">
        <w:rPr>
          <w:rFonts w:ascii="Arial" w:hAnsi="Arial" w:cs="Arial"/>
          <w:b/>
          <w:bCs/>
          <w:sz w:val="22"/>
          <w:szCs w:val="22"/>
        </w:rPr>
        <w:t xml:space="preserve">Associate Director of TNE </w:t>
      </w:r>
      <w:r w:rsidRPr="626BE660">
        <w:rPr>
          <w:rFonts w:ascii="Arial" w:hAnsi="Arial" w:cs="Arial"/>
          <w:sz w:val="22"/>
          <w:szCs w:val="22"/>
        </w:rPr>
        <w:t>acts as the teaching line manager;</w:t>
      </w:r>
    </w:p>
    <w:p w14:paraId="5484B46F" w14:textId="77777777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enables more consistent PDR, workload and induction discussions across the School;</w:t>
      </w:r>
    </w:p>
    <w:p w14:paraId="020AE556" w14:textId="2FADAC82" w:rsidR="00010EFC" w:rsidRPr="00CD67DC" w:rsidRDefault="00010EFC" w:rsidP="00E93F7C">
      <w:pPr>
        <w:numPr>
          <w:ilvl w:val="0"/>
          <w:numId w:val="22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improves coordination between Divisions and Disciplines.</w:t>
      </w:r>
      <w:r w:rsidR="00CD67DC">
        <w:rPr>
          <w:rFonts w:ascii="Arial" w:hAnsi="Arial" w:cs="Arial"/>
          <w:sz w:val="22"/>
          <w:szCs w:val="22"/>
        </w:rPr>
        <w:br/>
      </w:r>
    </w:p>
    <w:p w14:paraId="76CDB238" w14:textId="77777777" w:rsidR="005E7B56" w:rsidRDefault="005E7B56" w:rsidP="000F5491">
      <w:pPr>
        <w:pStyle w:val="Heading3"/>
      </w:pPr>
      <w:r>
        <w:rPr>
          <w:rStyle w:val="Strong"/>
          <w:rFonts w:ascii="Segoe UI" w:hAnsi="Segoe UI" w:cs="Segoe UI"/>
          <w:b w:val="0"/>
          <w:bCs w:val="0"/>
        </w:rPr>
        <w:t>How the framework works</w:t>
      </w:r>
    </w:p>
    <w:p w14:paraId="4C3AFB84" w14:textId="3482F6F6" w:rsidR="005E7B56" w:rsidRPr="00CD67DC" w:rsidRDefault="005E7B56" w:rsidP="005E7B56">
      <w:pPr>
        <w:pStyle w:val="NormalWeb"/>
        <w:keepNext/>
        <w:keepLines/>
        <w:spacing w:before="0" w:beforeAutospacing="0" w:after="80" w:afterAutospacing="0"/>
        <w:outlineLvl w:val="0"/>
        <w:rPr>
          <w:rFonts w:asciiTheme="minorHAnsi" w:hAnsiTheme="minorHAnsi" w:cs="Segoe UI"/>
          <w:sz w:val="6"/>
          <w:szCs w:val="6"/>
        </w:rPr>
      </w:pPr>
      <w:r w:rsidRPr="00CD67DC">
        <w:rPr>
          <w:rFonts w:asciiTheme="minorHAnsi" w:hAnsiTheme="minorHAnsi" w:cs="Segoe UI"/>
        </w:rPr>
        <w:t>The framework operates through aligned expectations, shared processes and coordinated decision</w:t>
      </w:r>
      <w:r w:rsidRPr="00CD67DC">
        <w:rPr>
          <w:rFonts w:asciiTheme="minorHAnsi" w:hAnsiTheme="minorHAnsi" w:cs="Segoe UI"/>
        </w:rPr>
        <w:noBreakHyphen/>
        <w:t xml:space="preserve">making between research and teaching leaders. Structured interactions between </w:t>
      </w:r>
      <w:proofErr w:type="spellStart"/>
      <w:r w:rsidRPr="00CD67DC">
        <w:rPr>
          <w:rFonts w:asciiTheme="minorHAnsi" w:hAnsiTheme="minorHAnsi" w:cs="Segoe UI"/>
        </w:rPr>
        <w:t>HoRDs</w:t>
      </w:r>
      <w:proofErr w:type="spellEnd"/>
      <w:r w:rsidRPr="00CD67DC">
        <w:rPr>
          <w:rFonts w:asciiTheme="minorHAnsi" w:hAnsiTheme="minorHAnsi" w:cs="Segoe UI"/>
        </w:rPr>
        <w:t xml:space="preserve"> and </w:t>
      </w:r>
      <w:proofErr w:type="spellStart"/>
      <w:r w:rsidRPr="00CD67DC">
        <w:rPr>
          <w:rFonts w:asciiTheme="minorHAnsi" w:hAnsiTheme="minorHAnsi" w:cs="Segoe UI"/>
        </w:rPr>
        <w:t>HoTDs</w:t>
      </w:r>
      <w:proofErr w:type="spellEnd"/>
      <w:r w:rsidRPr="00CD67DC">
        <w:rPr>
          <w:rFonts w:asciiTheme="minorHAnsi" w:hAnsiTheme="minorHAnsi" w:cs="Segoe UI"/>
        </w:rPr>
        <w:t>, shared tools and consistent workflows ensure that staff receive timely, coherent and transparent support wherever they work in the School.</w:t>
      </w:r>
      <w:r w:rsidR="00E93F7C" w:rsidRPr="00CD67DC">
        <w:rPr>
          <w:rFonts w:asciiTheme="minorHAnsi" w:hAnsiTheme="minorHAnsi" w:cs="Segoe UI"/>
        </w:rPr>
        <w:br/>
      </w:r>
    </w:p>
    <w:p w14:paraId="5FA3140C" w14:textId="77777777" w:rsidR="00010EFC" w:rsidRPr="00010EFC" w:rsidRDefault="00010EFC" w:rsidP="005E7B56">
      <w:pPr>
        <w:pStyle w:val="Heading3"/>
        <w:keepNext w:val="0"/>
        <w:keepLines w:val="0"/>
        <w:spacing w:before="0" w:after="120" w:line="240" w:lineRule="auto"/>
      </w:pPr>
      <w:r w:rsidRPr="00010EFC">
        <w:t>What this means for you</w:t>
      </w:r>
    </w:p>
    <w:p w14:paraId="0E450088" w14:textId="1B639708" w:rsidR="00010EFC" w:rsidRPr="00CD67DC" w:rsidRDefault="00010EFC" w:rsidP="00E93F7C">
      <w:pPr>
        <w:numPr>
          <w:ilvl w:val="0"/>
          <w:numId w:val="23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You will have</w:t>
      </w:r>
      <w:r w:rsidR="005E7B56" w:rsidRPr="00CD67DC">
        <w:rPr>
          <w:rFonts w:ascii="Arial" w:hAnsi="Arial" w:cs="Arial"/>
          <w:sz w:val="22"/>
          <w:szCs w:val="22"/>
        </w:rPr>
        <w:t xml:space="preserve"> a </w:t>
      </w:r>
      <w:r w:rsidR="005E7B56" w:rsidRPr="00CD67DC">
        <w:rPr>
          <w:rFonts w:ascii="Arial" w:hAnsi="Arial" w:cs="Arial"/>
          <w:b/>
          <w:bCs/>
          <w:sz w:val="22"/>
          <w:szCs w:val="22"/>
        </w:rPr>
        <w:t>clear point of contact</w:t>
      </w:r>
      <w:r w:rsidR="005E7B56" w:rsidRPr="00CD67DC">
        <w:rPr>
          <w:rFonts w:ascii="Arial" w:hAnsi="Arial" w:cs="Arial"/>
          <w:sz w:val="22"/>
          <w:szCs w:val="22"/>
        </w:rPr>
        <w:t xml:space="preserve"> for any query</w:t>
      </w:r>
      <w:r w:rsidRPr="00CD67DC">
        <w:rPr>
          <w:rFonts w:ascii="Arial" w:hAnsi="Arial" w:cs="Arial"/>
          <w:sz w:val="22"/>
          <w:szCs w:val="22"/>
        </w:rPr>
        <w:t>, depending on whether your query relates to research, teaching, or your role type (R&amp;T, LTS, FIFO).</w:t>
      </w:r>
    </w:p>
    <w:p w14:paraId="083211AA" w14:textId="77777777" w:rsidR="00010EFC" w:rsidRPr="00CD67DC" w:rsidRDefault="00010EFC" w:rsidP="00E93F7C">
      <w:pPr>
        <w:numPr>
          <w:ilvl w:val="0"/>
          <w:numId w:val="23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 xml:space="preserve">Your line managers work together to support your </w:t>
      </w:r>
      <w:r w:rsidRPr="00CD67DC">
        <w:rPr>
          <w:rFonts w:ascii="Arial" w:hAnsi="Arial" w:cs="Arial"/>
          <w:b/>
          <w:bCs/>
          <w:sz w:val="22"/>
          <w:szCs w:val="22"/>
        </w:rPr>
        <w:t>career development</w:t>
      </w:r>
      <w:r w:rsidRPr="00CD67DC">
        <w:rPr>
          <w:rFonts w:ascii="Arial" w:hAnsi="Arial" w:cs="Arial"/>
          <w:sz w:val="22"/>
          <w:szCs w:val="22"/>
        </w:rPr>
        <w:t xml:space="preserve">, </w:t>
      </w:r>
      <w:r w:rsidRPr="00CD67DC">
        <w:rPr>
          <w:rFonts w:ascii="Arial" w:hAnsi="Arial" w:cs="Arial"/>
          <w:b/>
          <w:bCs/>
          <w:sz w:val="22"/>
          <w:szCs w:val="22"/>
        </w:rPr>
        <w:t>wellbeing</w:t>
      </w:r>
      <w:r w:rsidRPr="00CD67DC">
        <w:rPr>
          <w:rFonts w:ascii="Arial" w:hAnsi="Arial" w:cs="Arial"/>
          <w:sz w:val="22"/>
          <w:szCs w:val="22"/>
        </w:rPr>
        <w:t xml:space="preserve">, </w:t>
      </w:r>
      <w:r w:rsidRPr="00CD67DC">
        <w:rPr>
          <w:rFonts w:ascii="Arial" w:hAnsi="Arial" w:cs="Arial"/>
          <w:b/>
          <w:bCs/>
          <w:sz w:val="22"/>
          <w:szCs w:val="22"/>
        </w:rPr>
        <w:t>performance</w:t>
      </w:r>
      <w:r w:rsidRPr="00CD67DC">
        <w:rPr>
          <w:rFonts w:ascii="Arial" w:hAnsi="Arial" w:cs="Arial"/>
          <w:sz w:val="22"/>
          <w:szCs w:val="22"/>
        </w:rPr>
        <w:t xml:space="preserve"> </w:t>
      </w:r>
      <w:r w:rsidRPr="00CD67DC">
        <w:rPr>
          <w:rFonts w:ascii="Arial" w:hAnsi="Arial" w:cs="Arial"/>
          <w:b/>
          <w:bCs/>
          <w:sz w:val="22"/>
          <w:szCs w:val="22"/>
        </w:rPr>
        <w:t>and</w:t>
      </w:r>
      <w:r w:rsidRPr="00CD67DC">
        <w:rPr>
          <w:rFonts w:ascii="Arial" w:hAnsi="Arial" w:cs="Arial"/>
          <w:sz w:val="22"/>
          <w:szCs w:val="22"/>
        </w:rPr>
        <w:t xml:space="preserve"> </w:t>
      </w:r>
      <w:r w:rsidRPr="00CD67DC">
        <w:rPr>
          <w:rFonts w:ascii="Arial" w:hAnsi="Arial" w:cs="Arial"/>
          <w:b/>
          <w:bCs/>
          <w:sz w:val="22"/>
          <w:szCs w:val="22"/>
        </w:rPr>
        <w:t>progression</w:t>
      </w:r>
      <w:r w:rsidRPr="00CD67DC">
        <w:rPr>
          <w:rFonts w:ascii="Arial" w:hAnsi="Arial" w:cs="Arial"/>
          <w:sz w:val="22"/>
          <w:szCs w:val="22"/>
        </w:rPr>
        <w:t xml:space="preserve"> in a coherent way.</w:t>
      </w:r>
    </w:p>
    <w:p w14:paraId="03DC5957" w14:textId="20196D1C" w:rsidR="00010EFC" w:rsidRPr="00CD67DC" w:rsidRDefault="00C61A66" w:rsidP="00E93F7C">
      <w:pPr>
        <w:numPr>
          <w:ilvl w:val="0"/>
          <w:numId w:val="23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 xml:space="preserve">Processes </w:t>
      </w:r>
      <w:r w:rsidR="00010EFC" w:rsidRPr="00CD67DC">
        <w:rPr>
          <w:rFonts w:ascii="Arial" w:hAnsi="Arial" w:cs="Arial"/>
          <w:sz w:val="22"/>
          <w:szCs w:val="22"/>
        </w:rPr>
        <w:t xml:space="preserve">such as </w:t>
      </w:r>
      <w:r w:rsidR="00010EFC" w:rsidRPr="00CD67DC">
        <w:rPr>
          <w:rFonts w:ascii="Arial" w:hAnsi="Arial" w:cs="Arial"/>
          <w:b/>
          <w:bCs/>
          <w:sz w:val="22"/>
          <w:szCs w:val="22"/>
        </w:rPr>
        <w:t>PDR, probation, promotion</w:t>
      </w:r>
      <w:r w:rsidR="00010EFC" w:rsidRPr="00CD67DC">
        <w:rPr>
          <w:rFonts w:ascii="Arial" w:hAnsi="Arial" w:cs="Arial"/>
          <w:sz w:val="22"/>
          <w:szCs w:val="22"/>
        </w:rPr>
        <w:t xml:space="preserve"> </w:t>
      </w:r>
      <w:r w:rsidR="00010EFC" w:rsidRPr="00CD67DC">
        <w:rPr>
          <w:rFonts w:ascii="Arial" w:hAnsi="Arial" w:cs="Arial"/>
          <w:b/>
          <w:bCs/>
          <w:sz w:val="22"/>
          <w:szCs w:val="22"/>
        </w:rPr>
        <w:t>and</w:t>
      </w:r>
      <w:r w:rsidR="00010EFC" w:rsidRPr="00CD67DC">
        <w:rPr>
          <w:rFonts w:ascii="Arial" w:hAnsi="Arial" w:cs="Arial"/>
          <w:sz w:val="22"/>
          <w:szCs w:val="22"/>
        </w:rPr>
        <w:t xml:space="preserve"> </w:t>
      </w:r>
      <w:r w:rsidR="00010EFC" w:rsidRPr="00CD67DC">
        <w:rPr>
          <w:rFonts w:ascii="Arial" w:hAnsi="Arial" w:cs="Arial"/>
          <w:b/>
          <w:bCs/>
          <w:sz w:val="22"/>
          <w:szCs w:val="22"/>
        </w:rPr>
        <w:t>leave</w:t>
      </w:r>
      <w:r w:rsidR="00010EFC" w:rsidRPr="00CD67DC">
        <w:rPr>
          <w:rFonts w:ascii="Arial" w:hAnsi="Arial" w:cs="Arial"/>
          <w:sz w:val="22"/>
          <w:szCs w:val="22"/>
        </w:rPr>
        <w:t xml:space="preserve"> follow clear and transparent routing.</w:t>
      </w:r>
    </w:p>
    <w:p w14:paraId="51AA7BF7" w14:textId="04261B69" w:rsidR="00494946" w:rsidRPr="00CD67DC" w:rsidRDefault="00010EFC" w:rsidP="00E93F7C">
      <w:pPr>
        <w:numPr>
          <w:ilvl w:val="0"/>
          <w:numId w:val="23"/>
        </w:numPr>
        <w:spacing w:after="8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CD67DC">
        <w:rPr>
          <w:rFonts w:ascii="Arial" w:hAnsi="Arial" w:cs="Arial"/>
          <w:sz w:val="22"/>
          <w:szCs w:val="22"/>
        </w:rPr>
        <w:t>You will receive consistent guidance and expectations wherever you work within the School.</w:t>
      </w:r>
    </w:p>
    <w:p w14:paraId="341EAA98" w14:textId="77777777" w:rsidR="00494946" w:rsidRDefault="00494946" w:rsidP="005E7B56">
      <w:pPr>
        <w:pStyle w:val="Heading1"/>
        <w:keepNext w:val="0"/>
        <w:keepLines w:val="0"/>
        <w:spacing w:before="0" w:after="120" w:line="240" w:lineRule="auto"/>
        <w:rPr>
          <w:b/>
          <w:bCs/>
        </w:rPr>
        <w:sectPr w:rsidR="00494946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6E4170" w14:textId="693133E9" w:rsidR="005C4660" w:rsidRPr="00361FA4" w:rsidRDefault="00A06A7A" w:rsidP="00494946">
      <w:pPr>
        <w:pStyle w:val="Heading1"/>
        <w:spacing w:before="120"/>
        <w:rPr>
          <w:i/>
          <w:iCs/>
          <w:sz w:val="28"/>
          <w:szCs w:val="28"/>
        </w:rPr>
      </w:pPr>
      <w:r w:rsidRPr="00711AF1">
        <w:rPr>
          <w:b/>
          <w:bCs/>
        </w:rPr>
        <w:lastRenderedPageBreak/>
        <w:t>JWSE Academic Line Management Framework</w:t>
      </w:r>
      <w:r w:rsidR="005A4496" w:rsidRPr="00711AF1">
        <w:rPr>
          <w:b/>
          <w:bCs/>
        </w:rPr>
        <w:t xml:space="preserve"> </w:t>
      </w:r>
      <w:r w:rsidR="005C4660">
        <w:rPr>
          <w:b/>
          <w:bCs/>
        </w:rPr>
        <w:br/>
      </w:r>
      <w:r w:rsidR="005C4660" w:rsidRPr="00361FA4">
        <w:rPr>
          <w:i/>
          <w:iCs/>
          <w:sz w:val="28"/>
          <w:szCs w:val="28"/>
        </w:rPr>
        <w:t>March 2026 — School Executive Board</w:t>
      </w:r>
    </w:p>
    <w:p w14:paraId="379119D2" w14:textId="714EBD7B" w:rsidR="00512855" w:rsidRPr="00711AF1" w:rsidRDefault="00A06A7A" w:rsidP="005C4660">
      <w:pPr>
        <w:pStyle w:val="Heading2"/>
        <w:ind w:left="426" w:hanging="426"/>
        <w:rPr>
          <w:b/>
          <w:bCs/>
        </w:rPr>
      </w:pPr>
      <w:r w:rsidRPr="00711AF1">
        <w:rPr>
          <w:b/>
          <w:bCs/>
        </w:rPr>
        <w:t>1.</w:t>
      </w:r>
      <w:r w:rsidR="00512855" w:rsidRPr="00711AF1">
        <w:rPr>
          <w:b/>
          <w:bCs/>
        </w:rPr>
        <w:t xml:space="preserve"> </w:t>
      </w:r>
      <w:r w:rsidR="005C4660">
        <w:rPr>
          <w:b/>
          <w:bCs/>
        </w:rPr>
        <w:tab/>
      </w:r>
      <w:r w:rsidR="007C789B">
        <w:rPr>
          <w:b/>
          <w:bCs/>
        </w:rPr>
        <w:t>Purpose and rationale</w:t>
      </w:r>
    </w:p>
    <w:p w14:paraId="69D30BC8" w14:textId="74C81E7A" w:rsidR="00BC4486" w:rsidRPr="00BC4486" w:rsidRDefault="005C4660" w:rsidP="005C4660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>The School’s academic environment integrates world-leading research, high-quality teaching, and international delivery across multiple campuses. To support excellence across this breadth of activity, we require a line management structure that:</w:t>
      </w:r>
    </w:p>
    <w:p w14:paraId="6077DD55" w14:textId="00CA2C17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C4486" w:rsidRPr="00BC4486">
        <w:rPr>
          <w:rFonts w:ascii="Arial" w:hAnsi="Arial" w:cs="Arial"/>
          <w:sz w:val="22"/>
          <w:szCs w:val="22"/>
        </w:rPr>
        <w:t xml:space="preserve">rovides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clear accountability</w:t>
      </w:r>
      <w:r w:rsidR="00BC4486" w:rsidRPr="00BC4486">
        <w:rPr>
          <w:rFonts w:ascii="Arial" w:hAnsi="Arial" w:cs="Arial"/>
          <w:sz w:val="22"/>
          <w:szCs w:val="22"/>
        </w:rPr>
        <w:t xml:space="preserve"> for research and teaching</w:t>
      </w:r>
      <w:r>
        <w:rPr>
          <w:rFonts w:ascii="Arial" w:hAnsi="Arial" w:cs="Arial"/>
          <w:sz w:val="22"/>
          <w:szCs w:val="22"/>
        </w:rPr>
        <w:t>;</w:t>
      </w:r>
    </w:p>
    <w:p w14:paraId="7172F25F" w14:textId="078A9F0B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C4486" w:rsidRPr="00BC4486">
        <w:rPr>
          <w:rFonts w:ascii="Arial" w:hAnsi="Arial" w:cs="Arial"/>
          <w:sz w:val="22"/>
          <w:szCs w:val="22"/>
        </w:rPr>
        <w:t xml:space="preserve">nsures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transparent and equitable leadership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61C92750" w14:textId="74D37EFB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C4486" w:rsidRPr="00BC4486">
        <w:rPr>
          <w:rFonts w:ascii="Arial" w:hAnsi="Arial" w:cs="Arial"/>
          <w:sz w:val="22"/>
          <w:szCs w:val="22"/>
        </w:rPr>
        <w:t xml:space="preserve">upports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consistent staff development and performance management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7CF60B30" w14:textId="5CBBC2EC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C4486" w:rsidRPr="00BC4486">
        <w:rPr>
          <w:rFonts w:ascii="Arial" w:hAnsi="Arial" w:cs="Arial"/>
          <w:sz w:val="22"/>
          <w:szCs w:val="22"/>
        </w:rPr>
        <w:t>educes ambiguity in day-to-day decision making</w:t>
      </w:r>
      <w:r>
        <w:rPr>
          <w:rFonts w:ascii="Arial" w:hAnsi="Arial" w:cs="Arial"/>
          <w:sz w:val="22"/>
          <w:szCs w:val="22"/>
        </w:rPr>
        <w:t>;</w:t>
      </w:r>
    </w:p>
    <w:p w14:paraId="06183C8F" w14:textId="50E61585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C4486" w:rsidRPr="00BC4486">
        <w:rPr>
          <w:rFonts w:ascii="Arial" w:hAnsi="Arial" w:cs="Arial"/>
          <w:sz w:val="22"/>
          <w:szCs w:val="22"/>
        </w:rPr>
        <w:t xml:space="preserve">nables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collaboration</w:t>
      </w:r>
      <w:r w:rsidR="00BC4486" w:rsidRPr="00BC4486">
        <w:rPr>
          <w:rFonts w:ascii="Arial" w:hAnsi="Arial" w:cs="Arial"/>
          <w:sz w:val="22"/>
          <w:szCs w:val="22"/>
        </w:rPr>
        <w:t xml:space="preserve"> between research and teaching leadership</w:t>
      </w:r>
      <w:r>
        <w:rPr>
          <w:rFonts w:ascii="Arial" w:hAnsi="Arial" w:cs="Arial"/>
          <w:sz w:val="22"/>
          <w:szCs w:val="22"/>
        </w:rPr>
        <w:t>;</w:t>
      </w:r>
    </w:p>
    <w:p w14:paraId="6AD7E0D6" w14:textId="6231A56C" w:rsidR="00BC4486" w:rsidRPr="00BC4486" w:rsidRDefault="00003CD2" w:rsidP="005A14C3">
      <w:pPr>
        <w:numPr>
          <w:ilvl w:val="0"/>
          <w:numId w:val="1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4486" w:rsidRPr="00BC4486">
        <w:rPr>
          <w:rFonts w:ascii="Arial" w:hAnsi="Arial" w:cs="Arial"/>
          <w:sz w:val="22"/>
          <w:szCs w:val="22"/>
        </w:rPr>
        <w:t>ligns academic activity with School and University strategy</w:t>
      </w:r>
      <w:r>
        <w:rPr>
          <w:rFonts w:ascii="Arial" w:hAnsi="Arial" w:cs="Arial"/>
          <w:sz w:val="22"/>
          <w:szCs w:val="22"/>
        </w:rPr>
        <w:t>.</w:t>
      </w:r>
    </w:p>
    <w:p w14:paraId="16B8362F" w14:textId="29623865" w:rsidR="00D81CFA" w:rsidRDefault="005C4660" w:rsidP="005C4660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 xml:space="preserve">The </w:t>
      </w:r>
      <w:r w:rsidR="00D81CFA" w:rsidRPr="00D81CFA">
        <w:rPr>
          <w:rFonts w:ascii="Arial" w:hAnsi="Arial" w:cs="Arial"/>
          <w:b/>
          <w:bCs/>
          <w:sz w:val="22"/>
          <w:szCs w:val="22"/>
        </w:rPr>
        <w:t>dual</w:t>
      </w:r>
      <w:r w:rsidR="00D81CFA">
        <w:rPr>
          <w:rFonts w:ascii="Arial" w:hAnsi="Arial" w:cs="Arial"/>
          <w:sz w:val="22"/>
          <w:szCs w:val="22"/>
        </w:rPr>
        <w:t xml:space="preserve">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 xml:space="preserve">solid-line </w:t>
      </w:r>
      <w:r w:rsidR="00D81CFA">
        <w:rPr>
          <w:rFonts w:ascii="Arial" w:hAnsi="Arial" w:cs="Arial"/>
          <w:b/>
          <w:bCs/>
          <w:sz w:val="22"/>
          <w:szCs w:val="22"/>
        </w:rPr>
        <w:t xml:space="preserve">matrix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management model</w:t>
      </w:r>
      <w:r w:rsidR="00BC4486" w:rsidRPr="00BC4486">
        <w:rPr>
          <w:rFonts w:ascii="Arial" w:hAnsi="Arial" w:cs="Arial"/>
          <w:sz w:val="22"/>
          <w:szCs w:val="22"/>
        </w:rPr>
        <w:t xml:space="preserve"> ensures that every academic </w:t>
      </w:r>
      <w:r w:rsidR="00D00B8A">
        <w:rPr>
          <w:rFonts w:ascii="Arial" w:hAnsi="Arial" w:cs="Arial"/>
          <w:sz w:val="22"/>
          <w:szCs w:val="22"/>
        </w:rPr>
        <w:t xml:space="preserve">on R&amp;T and LTS career tracks </w:t>
      </w:r>
      <w:r w:rsidR="00BC4486" w:rsidRPr="00BC4486">
        <w:rPr>
          <w:rFonts w:ascii="Arial" w:hAnsi="Arial" w:cs="Arial"/>
          <w:sz w:val="22"/>
          <w:szCs w:val="22"/>
        </w:rPr>
        <w:t xml:space="preserve">has structured </w:t>
      </w:r>
      <w:r w:rsidR="00D81CFA">
        <w:rPr>
          <w:rFonts w:ascii="Arial" w:hAnsi="Arial" w:cs="Arial"/>
          <w:sz w:val="22"/>
          <w:szCs w:val="22"/>
        </w:rPr>
        <w:t>leadership aligned to both research and teaching responsibilities</w:t>
      </w:r>
      <w:r w:rsidR="00BC4486" w:rsidRPr="00BC4486">
        <w:rPr>
          <w:rFonts w:ascii="Arial" w:hAnsi="Arial" w:cs="Arial"/>
          <w:sz w:val="22"/>
          <w:szCs w:val="22"/>
        </w:rPr>
        <w:t>:</w:t>
      </w:r>
    </w:p>
    <w:p w14:paraId="46ECC381" w14:textId="77777777" w:rsidR="00D81CFA" w:rsidRPr="005C4660" w:rsidRDefault="00D81CFA" w:rsidP="005A14C3">
      <w:pPr>
        <w:pStyle w:val="ListParagraph"/>
        <w:numPr>
          <w:ilvl w:val="0"/>
          <w:numId w:val="9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 w:rsidRPr="005C4660">
        <w:rPr>
          <w:rFonts w:ascii="Arial" w:hAnsi="Arial" w:cs="Arial"/>
          <w:sz w:val="22"/>
          <w:szCs w:val="22"/>
        </w:rPr>
        <w:t xml:space="preserve">Research leadership (Head of Research Division – </w:t>
      </w:r>
      <w:proofErr w:type="spellStart"/>
      <w:r w:rsidRPr="005C4660">
        <w:rPr>
          <w:rFonts w:ascii="Arial" w:hAnsi="Arial" w:cs="Arial"/>
          <w:sz w:val="22"/>
          <w:szCs w:val="22"/>
        </w:rPr>
        <w:t>HoRD</w:t>
      </w:r>
      <w:proofErr w:type="spellEnd"/>
      <w:r w:rsidRPr="005C4660">
        <w:rPr>
          <w:rFonts w:ascii="Arial" w:hAnsi="Arial" w:cs="Arial"/>
          <w:sz w:val="22"/>
          <w:szCs w:val="22"/>
        </w:rPr>
        <w:t xml:space="preserve">) </w:t>
      </w:r>
    </w:p>
    <w:p w14:paraId="561FAC36" w14:textId="0412239C" w:rsidR="00D81CFA" w:rsidRPr="005C4660" w:rsidRDefault="00D81CFA" w:rsidP="005A14C3">
      <w:pPr>
        <w:pStyle w:val="ListParagraph"/>
        <w:numPr>
          <w:ilvl w:val="0"/>
          <w:numId w:val="9"/>
        </w:numPr>
        <w:tabs>
          <w:tab w:val="left" w:pos="426"/>
        </w:tabs>
        <w:ind w:left="426" w:firstLine="0"/>
        <w:rPr>
          <w:rFonts w:ascii="Arial" w:hAnsi="Arial" w:cs="Arial"/>
          <w:sz w:val="22"/>
          <w:szCs w:val="22"/>
        </w:rPr>
      </w:pPr>
      <w:r w:rsidRPr="005C4660">
        <w:rPr>
          <w:rFonts w:ascii="Arial" w:hAnsi="Arial" w:cs="Arial"/>
          <w:sz w:val="22"/>
          <w:szCs w:val="22"/>
        </w:rPr>
        <w:t xml:space="preserve">Teaching leadership (Head of Teaching Discipline – </w:t>
      </w:r>
      <w:proofErr w:type="spellStart"/>
      <w:r w:rsidRPr="005C4660">
        <w:rPr>
          <w:rFonts w:ascii="Arial" w:hAnsi="Arial" w:cs="Arial"/>
          <w:sz w:val="22"/>
          <w:szCs w:val="22"/>
        </w:rPr>
        <w:t>HoTD</w:t>
      </w:r>
      <w:proofErr w:type="spellEnd"/>
      <w:r w:rsidRPr="005C4660">
        <w:rPr>
          <w:rFonts w:ascii="Arial" w:hAnsi="Arial" w:cs="Arial"/>
          <w:sz w:val="22"/>
          <w:szCs w:val="22"/>
        </w:rPr>
        <w:t>)</w:t>
      </w:r>
    </w:p>
    <w:p w14:paraId="1BCC1571" w14:textId="6A262B6D" w:rsidR="00BC4486" w:rsidRPr="009C5944" w:rsidRDefault="005C4660" w:rsidP="005C4660">
      <w:pPr>
        <w:tabs>
          <w:tab w:val="left" w:pos="426"/>
        </w:tabs>
        <w:ind w:left="426" w:hanging="426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 xml:space="preserve">This model reflects the integrated nature of our academic work and ensures </w:t>
      </w:r>
      <w:r w:rsidR="00D81CFA">
        <w:rPr>
          <w:rFonts w:ascii="Arial" w:hAnsi="Arial" w:cs="Arial"/>
          <w:sz w:val="22"/>
          <w:szCs w:val="22"/>
        </w:rPr>
        <w:t>coherent management of</w:t>
      </w:r>
      <w:r w:rsidR="00BC4486" w:rsidRPr="00BC4486">
        <w:rPr>
          <w:rFonts w:ascii="Arial" w:hAnsi="Arial" w:cs="Arial"/>
          <w:sz w:val="22"/>
          <w:szCs w:val="22"/>
        </w:rPr>
        <w:t xml:space="preserve"> performance, workload, communication, and support across the School.</w:t>
      </w:r>
      <w:r w:rsidR="00D81CFA">
        <w:rPr>
          <w:rFonts w:ascii="Arial" w:hAnsi="Arial" w:cs="Arial"/>
          <w:sz w:val="22"/>
          <w:szCs w:val="22"/>
        </w:rPr>
        <w:br/>
      </w:r>
    </w:p>
    <w:p w14:paraId="30822408" w14:textId="625A59B0" w:rsidR="00C0227D" w:rsidRPr="00C0227D" w:rsidRDefault="00CD1A02" w:rsidP="00C0227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6068B529">
          <v:rect id="Horizontal Line 1" o:spid="_x0000_s1032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06285AA9" w14:textId="5B7EF4CC" w:rsidR="00BC4486" w:rsidRPr="00454FCA" w:rsidRDefault="00BC4486" w:rsidP="005C4660">
      <w:pPr>
        <w:pStyle w:val="Heading2"/>
        <w:tabs>
          <w:tab w:val="left" w:pos="426"/>
        </w:tabs>
        <w:ind w:left="426" w:hanging="426"/>
        <w:rPr>
          <w:b/>
          <w:bCs/>
        </w:rPr>
      </w:pPr>
      <w:r w:rsidRPr="00454FCA">
        <w:rPr>
          <w:b/>
          <w:bCs/>
        </w:rPr>
        <w:t xml:space="preserve">2. </w:t>
      </w:r>
      <w:r w:rsidR="005C4660">
        <w:rPr>
          <w:b/>
          <w:bCs/>
        </w:rPr>
        <w:tab/>
      </w:r>
      <w:r w:rsidRPr="00454FCA">
        <w:rPr>
          <w:b/>
          <w:bCs/>
        </w:rPr>
        <w:t>Principles</w:t>
      </w:r>
    </w:p>
    <w:p w14:paraId="552AAFE1" w14:textId="601847F9" w:rsidR="00BC4486" w:rsidRPr="0080467C" w:rsidRDefault="00BC4486" w:rsidP="0080467C">
      <w:pPr>
        <w:pStyle w:val="Heading5"/>
        <w:ind w:left="993" w:hanging="567"/>
        <w:rPr>
          <w:sz w:val="28"/>
          <w:szCs w:val="28"/>
        </w:rPr>
      </w:pPr>
      <w:r w:rsidRPr="0080467C">
        <w:rPr>
          <w:sz w:val="28"/>
          <w:szCs w:val="28"/>
        </w:rPr>
        <w:t xml:space="preserve">2.1 </w:t>
      </w:r>
      <w:r w:rsidR="005C4660" w:rsidRPr="0080467C">
        <w:rPr>
          <w:sz w:val="28"/>
          <w:szCs w:val="28"/>
        </w:rPr>
        <w:tab/>
      </w:r>
      <w:r w:rsidRPr="0080467C">
        <w:rPr>
          <w:sz w:val="28"/>
          <w:szCs w:val="28"/>
        </w:rPr>
        <w:t xml:space="preserve">Dual </w:t>
      </w:r>
      <w:r w:rsidR="00D81CFA" w:rsidRPr="0080467C">
        <w:rPr>
          <w:sz w:val="28"/>
          <w:szCs w:val="28"/>
        </w:rPr>
        <w:t>s</w:t>
      </w:r>
      <w:r w:rsidRPr="0080467C">
        <w:rPr>
          <w:sz w:val="28"/>
          <w:szCs w:val="28"/>
        </w:rPr>
        <w:t>olid-</w:t>
      </w:r>
      <w:r w:rsidR="00D81CFA" w:rsidRPr="0080467C">
        <w:rPr>
          <w:sz w:val="28"/>
          <w:szCs w:val="28"/>
        </w:rPr>
        <w:t>l</w:t>
      </w:r>
      <w:r w:rsidRPr="0080467C">
        <w:rPr>
          <w:sz w:val="28"/>
          <w:szCs w:val="28"/>
        </w:rPr>
        <w:t xml:space="preserve">ine </w:t>
      </w:r>
      <w:r w:rsidR="00D81CFA" w:rsidRPr="0080467C">
        <w:rPr>
          <w:sz w:val="28"/>
          <w:szCs w:val="28"/>
        </w:rPr>
        <w:t>structure</w:t>
      </w:r>
    </w:p>
    <w:p w14:paraId="61AA2433" w14:textId="77777777" w:rsidR="00BC4486" w:rsidRPr="00BC4486" w:rsidRDefault="00BC4486" w:rsidP="0080467C">
      <w:p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r w:rsidRPr="00BC4486">
        <w:rPr>
          <w:rFonts w:ascii="Arial" w:hAnsi="Arial" w:cs="Arial"/>
          <w:sz w:val="22"/>
          <w:szCs w:val="22"/>
        </w:rPr>
        <w:t>Every academic is jointly line-managed by:</w:t>
      </w:r>
    </w:p>
    <w:p w14:paraId="573BB415" w14:textId="7B165C46" w:rsidR="00BC4486" w:rsidRPr="00BC4486" w:rsidRDefault="00D81CFA" w:rsidP="005A14C3">
      <w:pPr>
        <w:numPr>
          <w:ilvl w:val="0"/>
          <w:numId w:val="2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HoRD</w:t>
      </w:r>
      <w:proofErr w:type="spellEnd"/>
      <w:r w:rsidR="00BC4486" w:rsidRPr="00BC4486">
        <w:rPr>
          <w:rFonts w:ascii="Arial" w:hAnsi="Arial" w:cs="Arial"/>
          <w:sz w:val="22"/>
          <w:szCs w:val="22"/>
        </w:rPr>
        <w:t xml:space="preserve"> — research leadership</w:t>
      </w:r>
    </w:p>
    <w:p w14:paraId="287877A0" w14:textId="71D351D1" w:rsidR="00BC4486" w:rsidRPr="00BC4486" w:rsidRDefault="00D81CFA" w:rsidP="005A14C3">
      <w:pPr>
        <w:numPr>
          <w:ilvl w:val="0"/>
          <w:numId w:val="2"/>
        </w:numPr>
        <w:tabs>
          <w:tab w:val="left" w:pos="1276"/>
        </w:tabs>
        <w:ind w:left="1276" w:hanging="283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="00BC4486" w:rsidRPr="00BC4486">
        <w:rPr>
          <w:rFonts w:ascii="Arial" w:hAnsi="Arial" w:cs="Arial"/>
          <w:sz w:val="22"/>
          <w:szCs w:val="22"/>
        </w:rPr>
        <w:t xml:space="preserve"> — teaching leadership</w:t>
      </w:r>
    </w:p>
    <w:p w14:paraId="3092017A" w14:textId="6CD07BC4" w:rsidR="00BC4486" w:rsidRPr="00BC4486" w:rsidRDefault="00BC4486" w:rsidP="0080467C">
      <w:pPr>
        <w:ind w:left="993"/>
        <w:rPr>
          <w:rFonts w:ascii="Arial" w:hAnsi="Arial" w:cs="Arial"/>
          <w:sz w:val="22"/>
          <w:szCs w:val="22"/>
        </w:rPr>
      </w:pPr>
      <w:r w:rsidRPr="00BC4486">
        <w:rPr>
          <w:rFonts w:ascii="Arial" w:hAnsi="Arial" w:cs="Arial"/>
          <w:sz w:val="22"/>
          <w:szCs w:val="22"/>
        </w:rPr>
        <w:t>These two solid</w:t>
      </w:r>
      <w:r w:rsidRPr="00BC4486">
        <w:rPr>
          <w:rFonts w:ascii="Arial" w:hAnsi="Arial" w:cs="Arial"/>
          <w:sz w:val="22"/>
          <w:szCs w:val="22"/>
        </w:rPr>
        <w:noBreakHyphen/>
        <w:t>line managers share accountability for performance, workload,</w:t>
      </w:r>
      <w:r w:rsidR="005C4660">
        <w:rPr>
          <w:rFonts w:ascii="Arial" w:hAnsi="Arial" w:cs="Arial"/>
          <w:sz w:val="22"/>
          <w:szCs w:val="22"/>
        </w:rPr>
        <w:t xml:space="preserve"> </w:t>
      </w:r>
      <w:r w:rsidR="00D81CFA">
        <w:rPr>
          <w:rFonts w:ascii="Arial" w:hAnsi="Arial" w:cs="Arial"/>
          <w:sz w:val="22"/>
          <w:szCs w:val="22"/>
        </w:rPr>
        <w:t xml:space="preserve">standards, development, and culture.   </w:t>
      </w:r>
    </w:p>
    <w:p w14:paraId="7EF2DFFB" w14:textId="6CCD97C1" w:rsidR="005C4660" w:rsidRPr="005C4660" w:rsidRDefault="005C4660" w:rsidP="0080467C">
      <w:pPr>
        <w:ind w:left="993"/>
        <w:rPr>
          <w:rFonts w:ascii="Arial" w:hAnsi="Arial" w:cs="Arial"/>
          <w:b/>
          <w:bCs/>
          <w:sz w:val="22"/>
          <w:szCs w:val="22"/>
        </w:rPr>
      </w:pPr>
      <w:r w:rsidRPr="005C4660">
        <w:rPr>
          <w:rFonts w:ascii="Arial" w:hAnsi="Arial" w:cs="Arial"/>
          <w:b/>
          <w:bCs/>
          <w:sz w:val="22"/>
          <w:szCs w:val="22"/>
        </w:rPr>
        <w:t>Staff delivering teaching in China</w:t>
      </w:r>
    </w:p>
    <w:p w14:paraId="36D39C22" w14:textId="7ACCB866" w:rsidR="00D84057" w:rsidRDefault="005C4660" w:rsidP="009C5944">
      <w:pPr>
        <w:ind w:left="993"/>
        <w:rPr>
          <w:rFonts w:ascii="Arial" w:hAnsi="Arial" w:cs="Arial"/>
          <w:sz w:val="22"/>
          <w:szCs w:val="22"/>
        </w:rPr>
      </w:pPr>
      <w:r w:rsidRPr="005C4660">
        <w:rPr>
          <w:rFonts w:ascii="Arial" w:hAnsi="Arial" w:cs="Arial"/>
          <w:sz w:val="22"/>
          <w:szCs w:val="22"/>
        </w:rPr>
        <w:t xml:space="preserve">For </w:t>
      </w:r>
      <w:r w:rsidRPr="005C4660">
        <w:rPr>
          <w:rFonts w:ascii="Arial" w:hAnsi="Arial" w:cs="Arial"/>
          <w:i/>
          <w:iCs/>
          <w:sz w:val="22"/>
          <w:szCs w:val="22"/>
        </w:rPr>
        <w:t>fly</w:t>
      </w:r>
      <w:r w:rsidRPr="005C4660">
        <w:rPr>
          <w:rFonts w:ascii="Arial" w:hAnsi="Arial" w:cs="Arial"/>
          <w:i/>
          <w:iCs/>
          <w:sz w:val="22"/>
          <w:szCs w:val="22"/>
        </w:rPr>
        <w:noBreakHyphen/>
        <w:t>in</w:t>
      </w:r>
      <w:r w:rsidRPr="00025CC0">
        <w:rPr>
          <w:rFonts w:ascii="Arial" w:hAnsi="Arial" w:cs="Arial"/>
          <w:i/>
          <w:iCs/>
          <w:sz w:val="22"/>
          <w:szCs w:val="22"/>
        </w:rPr>
        <w:t>-fly-out</w:t>
      </w:r>
      <w:r w:rsidRPr="005C4660">
        <w:rPr>
          <w:rFonts w:ascii="Arial" w:hAnsi="Arial" w:cs="Arial"/>
          <w:sz w:val="22"/>
          <w:szCs w:val="22"/>
        </w:rPr>
        <w:t xml:space="preserve"> </w:t>
      </w:r>
      <w:r w:rsidR="00DE2B6E">
        <w:rPr>
          <w:rFonts w:ascii="Arial" w:hAnsi="Arial" w:cs="Arial"/>
          <w:sz w:val="22"/>
          <w:szCs w:val="22"/>
        </w:rPr>
        <w:t xml:space="preserve">(FIFO) </w:t>
      </w:r>
      <w:r w:rsidRPr="005C4660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teaching </w:t>
      </w:r>
      <w:r w:rsidRPr="005C4660">
        <w:rPr>
          <w:rFonts w:ascii="Arial" w:hAnsi="Arial" w:cs="Arial"/>
          <w:sz w:val="22"/>
          <w:szCs w:val="22"/>
        </w:rPr>
        <w:t xml:space="preserve">in China, </w:t>
      </w:r>
      <w:r w:rsidR="00025CC0">
        <w:rPr>
          <w:rFonts w:ascii="Arial" w:hAnsi="Arial" w:cs="Arial"/>
          <w:sz w:val="22"/>
          <w:szCs w:val="22"/>
        </w:rPr>
        <w:t>t</w:t>
      </w:r>
      <w:r w:rsidR="00025CC0" w:rsidRPr="00025CC0">
        <w:rPr>
          <w:rFonts w:ascii="Arial" w:hAnsi="Arial" w:cs="Arial"/>
          <w:sz w:val="22"/>
          <w:szCs w:val="22"/>
        </w:rPr>
        <w:t>he Executive Dean</w:t>
      </w:r>
      <w:r w:rsidR="00B81B83">
        <w:rPr>
          <w:rFonts w:ascii="Arial" w:hAnsi="Arial" w:cs="Arial"/>
          <w:sz w:val="22"/>
          <w:szCs w:val="22"/>
        </w:rPr>
        <w:t xml:space="preserve"> (Academic</w:t>
      </w:r>
      <w:r w:rsidR="00D84057">
        <w:rPr>
          <w:rFonts w:ascii="Arial" w:hAnsi="Arial" w:cs="Arial"/>
          <w:sz w:val="22"/>
          <w:szCs w:val="22"/>
        </w:rPr>
        <w:t>)</w:t>
      </w:r>
      <w:r w:rsidR="00B81B83">
        <w:rPr>
          <w:rFonts w:ascii="Arial" w:hAnsi="Arial" w:cs="Arial"/>
          <w:sz w:val="22"/>
          <w:szCs w:val="22"/>
        </w:rPr>
        <w:t>, Director of T</w:t>
      </w:r>
      <w:r w:rsidR="00897360">
        <w:rPr>
          <w:rFonts w:ascii="Arial" w:hAnsi="Arial" w:cs="Arial"/>
          <w:sz w:val="22"/>
          <w:szCs w:val="22"/>
        </w:rPr>
        <w:t>ransnational Education (T</w:t>
      </w:r>
      <w:r w:rsidR="00B81B83">
        <w:rPr>
          <w:rFonts w:ascii="Arial" w:hAnsi="Arial" w:cs="Arial"/>
          <w:sz w:val="22"/>
          <w:szCs w:val="22"/>
        </w:rPr>
        <w:t>NE</w:t>
      </w:r>
      <w:r w:rsidR="00897360">
        <w:rPr>
          <w:rFonts w:ascii="Arial" w:hAnsi="Arial" w:cs="Arial"/>
          <w:sz w:val="22"/>
          <w:szCs w:val="22"/>
        </w:rPr>
        <w:t>)</w:t>
      </w:r>
      <w:r w:rsidR="00B81B83">
        <w:rPr>
          <w:rFonts w:ascii="Arial" w:hAnsi="Arial" w:cs="Arial"/>
          <w:sz w:val="22"/>
          <w:szCs w:val="22"/>
        </w:rPr>
        <w:t xml:space="preserve"> or Associate Director of </w:t>
      </w:r>
      <w:r w:rsidR="00783880">
        <w:rPr>
          <w:rFonts w:ascii="Arial" w:hAnsi="Arial" w:cs="Arial"/>
          <w:sz w:val="22"/>
          <w:szCs w:val="22"/>
        </w:rPr>
        <w:t>Transnational Education (TNE)</w:t>
      </w:r>
      <w:r w:rsidR="00025CC0" w:rsidRPr="00025CC0">
        <w:rPr>
          <w:rFonts w:ascii="Arial" w:hAnsi="Arial" w:cs="Arial"/>
          <w:sz w:val="22"/>
          <w:szCs w:val="22"/>
        </w:rPr>
        <w:t xml:space="preserve"> acts as the </w:t>
      </w:r>
      <w:r w:rsidR="00025CC0" w:rsidRPr="00025CC0">
        <w:rPr>
          <w:rFonts w:ascii="Arial" w:hAnsi="Arial" w:cs="Arial"/>
          <w:i/>
          <w:iCs/>
          <w:sz w:val="22"/>
          <w:szCs w:val="22"/>
        </w:rPr>
        <w:t>teaching solid</w:t>
      </w:r>
      <w:r w:rsidR="00025CC0" w:rsidRPr="00025CC0">
        <w:rPr>
          <w:rFonts w:ascii="Arial" w:hAnsi="Arial" w:cs="Arial"/>
          <w:i/>
          <w:iCs/>
          <w:sz w:val="22"/>
          <w:szCs w:val="22"/>
        </w:rPr>
        <w:noBreakHyphen/>
        <w:t>line manager</w:t>
      </w:r>
      <w:r w:rsidR="00025CC0" w:rsidRPr="00025CC0">
        <w:rPr>
          <w:rFonts w:ascii="Arial" w:hAnsi="Arial" w:cs="Arial"/>
          <w:sz w:val="22"/>
          <w:szCs w:val="22"/>
        </w:rPr>
        <w:t xml:space="preserve"> for all teaching line</w:t>
      </w:r>
      <w:r w:rsidR="00025CC0" w:rsidRPr="00025CC0">
        <w:rPr>
          <w:rFonts w:ascii="Arial" w:hAnsi="Arial" w:cs="Arial"/>
          <w:sz w:val="22"/>
          <w:szCs w:val="22"/>
        </w:rPr>
        <w:noBreakHyphen/>
        <w:t>management responsibilities (e.g., teaching</w:t>
      </w:r>
      <w:r w:rsidR="00025CC0" w:rsidRPr="00025CC0">
        <w:rPr>
          <w:rFonts w:ascii="Arial" w:hAnsi="Arial" w:cs="Arial"/>
          <w:sz w:val="22"/>
          <w:szCs w:val="22"/>
        </w:rPr>
        <w:noBreakHyphen/>
        <w:t>related PDR inputs, annual leave approvals, day</w:t>
      </w:r>
      <w:r w:rsidR="00025CC0" w:rsidRPr="00025CC0">
        <w:rPr>
          <w:rFonts w:ascii="Arial" w:hAnsi="Arial" w:cs="Arial"/>
          <w:sz w:val="22"/>
          <w:szCs w:val="22"/>
        </w:rPr>
        <w:noBreakHyphen/>
        <w:t>to</w:t>
      </w:r>
      <w:r w:rsidR="00025CC0" w:rsidRPr="00025CC0">
        <w:rPr>
          <w:rFonts w:ascii="Arial" w:hAnsi="Arial" w:cs="Arial"/>
          <w:sz w:val="22"/>
          <w:szCs w:val="22"/>
        </w:rPr>
        <w:noBreakHyphen/>
        <w:t>day oversight of delivery, student experience).</w:t>
      </w:r>
      <w:r w:rsidR="009C5944">
        <w:rPr>
          <w:rFonts w:ascii="Arial" w:hAnsi="Arial" w:cs="Arial"/>
          <w:sz w:val="22"/>
          <w:szCs w:val="22"/>
        </w:rPr>
        <w:br/>
      </w:r>
      <w:r w:rsidR="009C5944" w:rsidRPr="009C5944">
        <w:rPr>
          <w:rFonts w:ascii="Arial" w:hAnsi="Arial" w:cs="Arial"/>
          <w:sz w:val="14"/>
          <w:szCs w:val="14"/>
        </w:rPr>
        <w:br/>
      </w:r>
    </w:p>
    <w:p w14:paraId="5BE4514E" w14:textId="77777777" w:rsidR="00F107ED" w:rsidRDefault="00176138" w:rsidP="009C5944">
      <w:pPr>
        <w:ind w:left="993"/>
        <w:rPr>
          <w:rFonts w:ascii="Arial" w:hAnsi="Arial" w:cs="Arial"/>
          <w:sz w:val="22"/>
          <w:szCs w:val="22"/>
        </w:rPr>
      </w:pPr>
      <w:r w:rsidRPr="00176138"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spellStart"/>
      <w:r w:rsidRPr="00176138">
        <w:rPr>
          <w:rFonts w:ascii="Arial" w:hAnsi="Arial" w:cs="Arial"/>
          <w:sz w:val="22"/>
          <w:szCs w:val="22"/>
        </w:rPr>
        <w:t>HoTD</w:t>
      </w:r>
      <w:proofErr w:type="spellEnd"/>
      <w:r w:rsidRPr="00176138">
        <w:rPr>
          <w:rFonts w:ascii="Arial" w:hAnsi="Arial" w:cs="Arial"/>
          <w:sz w:val="22"/>
          <w:szCs w:val="22"/>
        </w:rPr>
        <w:t xml:space="preserve"> retains responsibility for curriculum leadership, academic standards, assessment integrity, and overarching teaching expectations across the Discipline. </w:t>
      </w:r>
    </w:p>
    <w:p w14:paraId="002AC88E" w14:textId="344459C7" w:rsidR="00176138" w:rsidRPr="00176138" w:rsidRDefault="00143D77" w:rsidP="009C5944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76138" w:rsidRPr="00176138">
        <w:rPr>
          <w:rFonts w:ascii="Arial" w:hAnsi="Arial" w:cs="Arial"/>
          <w:sz w:val="22"/>
          <w:szCs w:val="22"/>
        </w:rPr>
        <w:t>For TNE delivery in China, the Director of TNE</w:t>
      </w:r>
      <w:r w:rsidR="00650541">
        <w:rPr>
          <w:rFonts w:ascii="Arial" w:hAnsi="Arial" w:cs="Arial"/>
          <w:sz w:val="22"/>
          <w:szCs w:val="22"/>
        </w:rPr>
        <w:t xml:space="preserve"> holds overall </w:t>
      </w:r>
      <w:r>
        <w:rPr>
          <w:rFonts w:ascii="Arial" w:hAnsi="Arial" w:cs="Arial"/>
          <w:sz w:val="22"/>
          <w:szCs w:val="22"/>
        </w:rPr>
        <w:t>accountability</w:t>
      </w:r>
      <w:r w:rsidR="00650541">
        <w:rPr>
          <w:rFonts w:ascii="Arial" w:hAnsi="Arial" w:cs="Arial"/>
          <w:sz w:val="22"/>
          <w:szCs w:val="22"/>
        </w:rPr>
        <w:t xml:space="preserve"> for academic quality and programme delivery, working with </w:t>
      </w:r>
      <w:r w:rsidR="00783880">
        <w:rPr>
          <w:rFonts w:ascii="Arial" w:hAnsi="Arial" w:cs="Arial"/>
          <w:sz w:val="22"/>
          <w:szCs w:val="22"/>
        </w:rPr>
        <w:t xml:space="preserve">the Associate Director of TNE, </w:t>
      </w:r>
      <w:r w:rsidR="00650541">
        <w:rPr>
          <w:rFonts w:ascii="Arial" w:hAnsi="Arial" w:cs="Arial"/>
          <w:sz w:val="22"/>
          <w:szCs w:val="22"/>
        </w:rPr>
        <w:t xml:space="preserve">Executive Deans and </w:t>
      </w:r>
      <w:proofErr w:type="spellStart"/>
      <w:r w:rsidR="00650541">
        <w:rPr>
          <w:rFonts w:ascii="Arial" w:hAnsi="Arial" w:cs="Arial"/>
          <w:sz w:val="22"/>
          <w:szCs w:val="22"/>
        </w:rPr>
        <w:t>HoTDs</w:t>
      </w:r>
      <w:proofErr w:type="spellEnd"/>
      <w:r w:rsidR="00650541">
        <w:rPr>
          <w:rFonts w:ascii="Arial" w:hAnsi="Arial" w:cs="Arial"/>
          <w:sz w:val="22"/>
          <w:szCs w:val="22"/>
        </w:rPr>
        <w:t xml:space="preserve"> to ensure curriculum alignment and standards are maintained across all campuses. </w:t>
      </w:r>
    </w:p>
    <w:p w14:paraId="28B1AAC8" w14:textId="77777777" w:rsidR="005C4660" w:rsidRPr="005C4660" w:rsidRDefault="005C4660" w:rsidP="0080467C">
      <w:pPr>
        <w:ind w:left="993"/>
        <w:rPr>
          <w:rFonts w:ascii="Arial" w:hAnsi="Arial" w:cs="Arial"/>
          <w:b/>
          <w:bCs/>
          <w:sz w:val="22"/>
          <w:szCs w:val="22"/>
        </w:rPr>
      </w:pPr>
      <w:r w:rsidRPr="005C4660">
        <w:rPr>
          <w:rFonts w:ascii="Arial" w:hAnsi="Arial" w:cs="Arial"/>
          <w:b/>
          <w:bCs/>
          <w:sz w:val="22"/>
          <w:szCs w:val="22"/>
        </w:rPr>
        <w:t>Leadership reporting lines</w:t>
      </w:r>
    </w:p>
    <w:p w14:paraId="7F152250" w14:textId="4100AB73" w:rsidR="00454FCA" w:rsidRPr="00454FCA" w:rsidRDefault="00454FCA" w:rsidP="0080467C">
      <w:pPr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454FCA">
        <w:rPr>
          <w:rFonts w:ascii="Arial" w:hAnsi="Arial" w:cs="Arial"/>
          <w:sz w:val="22"/>
          <w:szCs w:val="22"/>
        </w:rPr>
        <w:t xml:space="preserve">small number of academic leaders (e.g., Associate Heads of School, </w:t>
      </w:r>
      <w:r>
        <w:rPr>
          <w:rFonts w:ascii="Arial" w:hAnsi="Arial" w:cs="Arial"/>
          <w:sz w:val="22"/>
          <w:szCs w:val="22"/>
        </w:rPr>
        <w:t xml:space="preserve">Directors, </w:t>
      </w:r>
      <w:r w:rsidRPr="00454FCA">
        <w:rPr>
          <w:rFonts w:ascii="Arial" w:hAnsi="Arial" w:cs="Arial"/>
          <w:sz w:val="22"/>
          <w:szCs w:val="22"/>
        </w:rPr>
        <w:t xml:space="preserve">Executive Deans) have defined leadership reporting lines that differ from this typical arrangement. </w:t>
      </w:r>
    </w:p>
    <w:p w14:paraId="41718203" w14:textId="771AA954" w:rsidR="00BC4486" w:rsidRPr="0080467C" w:rsidRDefault="00BC4486" w:rsidP="0080467C">
      <w:pPr>
        <w:pStyle w:val="Heading3"/>
        <w:tabs>
          <w:tab w:val="left" w:pos="993"/>
        </w:tabs>
        <w:ind w:left="993" w:hanging="567"/>
      </w:pPr>
      <w:r w:rsidRPr="0080467C">
        <w:t xml:space="preserve">2.2 </w:t>
      </w:r>
      <w:r w:rsidR="0080467C">
        <w:tab/>
      </w:r>
      <w:r w:rsidRPr="0080467C">
        <w:t xml:space="preserve">Accountability and </w:t>
      </w:r>
      <w:r w:rsidR="005C4660" w:rsidRPr="0080467C">
        <w:t>r</w:t>
      </w:r>
      <w:r w:rsidRPr="0080467C">
        <w:t xml:space="preserve">ole </w:t>
      </w:r>
      <w:r w:rsidR="005C4660" w:rsidRPr="0080467C">
        <w:t>cl</w:t>
      </w:r>
      <w:r w:rsidRPr="0080467C">
        <w:t>arity</w:t>
      </w:r>
    </w:p>
    <w:p w14:paraId="3A95794B" w14:textId="18802F2B" w:rsidR="00BC4486" w:rsidRPr="00BC4486" w:rsidRDefault="0080467C" w:rsidP="006F2329">
      <w:pPr>
        <w:tabs>
          <w:tab w:val="left" w:pos="993"/>
        </w:tabs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00BAB">
        <w:rPr>
          <w:rFonts w:ascii="Arial" w:hAnsi="Arial" w:cs="Arial"/>
          <w:sz w:val="22"/>
          <w:szCs w:val="22"/>
        </w:rPr>
        <w:t xml:space="preserve">Typically, </w:t>
      </w:r>
      <w:proofErr w:type="spellStart"/>
      <w:r w:rsidR="00300BAB">
        <w:rPr>
          <w:rFonts w:ascii="Arial" w:hAnsi="Arial" w:cs="Arial"/>
          <w:sz w:val="22"/>
          <w:szCs w:val="22"/>
        </w:rPr>
        <w:t>HoRD</w:t>
      </w:r>
      <w:proofErr w:type="spellEnd"/>
      <w:r w:rsidR="00300BA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300BAB">
        <w:rPr>
          <w:rFonts w:ascii="Arial" w:hAnsi="Arial" w:cs="Arial"/>
          <w:sz w:val="22"/>
          <w:szCs w:val="22"/>
        </w:rPr>
        <w:t>HoTD</w:t>
      </w:r>
      <w:proofErr w:type="spellEnd"/>
      <w:r w:rsidR="00300BAB">
        <w:rPr>
          <w:rFonts w:ascii="Arial" w:hAnsi="Arial" w:cs="Arial"/>
          <w:sz w:val="22"/>
          <w:szCs w:val="22"/>
        </w:rPr>
        <w:t xml:space="preserve"> </w:t>
      </w:r>
      <w:r w:rsidR="00263213">
        <w:rPr>
          <w:rFonts w:ascii="Arial" w:hAnsi="Arial" w:cs="Arial"/>
          <w:sz w:val="22"/>
          <w:szCs w:val="22"/>
        </w:rPr>
        <w:t>are paired in a consistent way</w:t>
      </w:r>
      <w:r w:rsidR="00895542">
        <w:rPr>
          <w:rFonts w:ascii="Arial" w:hAnsi="Arial" w:cs="Arial"/>
          <w:sz w:val="22"/>
          <w:szCs w:val="22"/>
        </w:rPr>
        <w:t xml:space="preserve"> (see Appendix A)</w:t>
      </w:r>
      <w:r w:rsidR="00300BAB">
        <w:rPr>
          <w:rFonts w:ascii="Arial" w:hAnsi="Arial" w:cs="Arial"/>
          <w:sz w:val="22"/>
          <w:szCs w:val="22"/>
        </w:rPr>
        <w:t xml:space="preserve">.  </w:t>
      </w:r>
      <w:r w:rsidR="00895542">
        <w:rPr>
          <w:rFonts w:ascii="Arial" w:hAnsi="Arial" w:cs="Arial"/>
          <w:sz w:val="22"/>
          <w:szCs w:val="22"/>
        </w:rPr>
        <w:t>In</w:t>
      </w:r>
      <w:r w:rsidR="00263213">
        <w:rPr>
          <w:rFonts w:ascii="Arial" w:hAnsi="Arial" w:cs="Arial"/>
          <w:sz w:val="22"/>
          <w:szCs w:val="22"/>
        </w:rPr>
        <w:t xml:space="preserve"> some cases</w:t>
      </w:r>
      <w:r w:rsidR="00895542">
        <w:rPr>
          <w:rFonts w:ascii="Arial" w:hAnsi="Arial" w:cs="Arial"/>
          <w:sz w:val="22"/>
          <w:szCs w:val="22"/>
        </w:rPr>
        <w:t xml:space="preserve">, </w:t>
      </w:r>
      <w:r w:rsidR="00263213">
        <w:rPr>
          <w:rFonts w:ascii="Arial" w:hAnsi="Arial" w:cs="Arial"/>
          <w:sz w:val="22"/>
          <w:szCs w:val="22"/>
        </w:rPr>
        <w:t xml:space="preserve">an academic </w:t>
      </w:r>
      <w:r w:rsidR="00300BAB">
        <w:rPr>
          <w:rFonts w:ascii="Arial" w:hAnsi="Arial" w:cs="Arial"/>
          <w:sz w:val="22"/>
          <w:szCs w:val="22"/>
        </w:rPr>
        <w:t xml:space="preserve">member of staff may have </w:t>
      </w:r>
      <w:r w:rsidR="00263213">
        <w:rPr>
          <w:rFonts w:ascii="Arial" w:hAnsi="Arial" w:cs="Arial"/>
          <w:sz w:val="22"/>
          <w:szCs w:val="22"/>
        </w:rPr>
        <w:t>a</w:t>
      </w:r>
      <w:r w:rsidR="00872ECA">
        <w:rPr>
          <w:rFonts w:ascii="Arial" w:hAnsi="Arial" w:cs="Arial"/>
          <w:sz w:val="22"/>
          <w:szCs w:val="22"/>
        </w:rPr>
        <w:t xml:space="preserve"> different</w:t>
      </w:r>
      <w:r w:rsidR="00300BAB">
        <w:rPr>
          <w:rFonts w:ascii="Arial" w:hAnsi="Arial" w:cs="Arial"/>
          <w:sz w:val="22"/>
          <w:szCs w:val="22"/>
        </w:rPr>
        <w:t xml:space="preserve"> teaching line manager</w:t>
      </w:r>
      <w:r w:rsidR="00263213">
        <w:rPr>
          <w:rFonts w:ascii="Arial" w:hAnsi="Arial" w:cs="Arial"/>
          <w:sz w:val="22"/>
          <w:szCs w:val="22"/>
        </w:rPr>
        <w:t xml:space="preserve"> </w:t>
      </w:r>
      <w:r w:rsidR="00FC5932">
        <w:rPr>
          <w:rFonts w:ascii="Arial" w:hAnsi="Arial" w:cs="Arial"/>
          <w:sz w:val="22"/>
          <w:szCs w:val="22"/>
        </w:rPr>
        <w:t xml:space="preserve">outside the standard pairing </w:t>
      </w:r>
      <w:r w:rsidR="00EF205B">
        <w:rPr>
          <w:rFonts w:ascii="Arial" w:hAnsi="Arial" w:cs="Arial"/>
          <w:sz w:val="22"/>
          <w:szCs w:val="22"/>
        </w:rPr>
        <w:t>where this better reflects their activity profile</w:t>
      </w:r>
      <w:r w:rsidR="00263213">
        <w:rPr>
          <w:rFonts w:ascii="Arial" w:hAnsi="Arial" w:cs="Arial"/>
          <w:sz w:val="22"/>
          <w:szCs w:val="22"/>
        </w:rPr>
        <w:t>.</w:t>
      </w:r>
      <w:r w:rsidR="00300BAB" w:rsidRPr="00BC4486">
        <w:rPr>
          <w:rFonts w:ascii="Arial" w:hAnsi="Arial" w:cs="Arial"/>
          <w:sz w:val="22"/>
          <w:szCs w:val="22"/>
        </w:rPr>
        <w:t xml:space="preserve"> </w:t>
      </w:r>
      <w:r w:rsidR="00EF205B">
        <w:rPr>
          <w:rFonts w:ascii="Arial" w:hAnsi="Arial" w:cs="Arial"/>
          <w:sz w:val="22"/>
          <w:szCs w:val="22"/>
        </w:rPr>
        <w:t xml:space="preserve">This approach maintains clear </w:t>
      </w:r>
      <w:r w:rsidR="000757CD">
        <w:rPr>
          <w:rFonts w:ascii="Arial" w:hAnsi="Arial" w:cs="Arial"/>
          <w:sz w:val="22"/>
          <w:szCs w:val="22"/>
        </w:rPr>
        <w:t>accountability and keeps c</w:t>
      </w:r>
      <w:r w:rsidR="00F61C88">
        <w:rPr>
          <w:rFonts w:ascii="Arial" w:hAnsi="Arial" w:cs="Arial"/>
          <w:sz w:val="22"/>
          <w:szCs w:val="22"/>
        </w:rPr>
        <w:t>ommunication between research and teaching leaders</w:t>
      </w:r>
      <w:r w:rsidR="000757CD">
        <w:rPr>
          <w:rFonts w:ascii="Arial" w:hAnsi="Arial" w:cs="Arial"/>
          <w:sz w:val="22"/>
          <w:szCs w:val="22"/>
        </w:rPr>
        <w:t xml:space="preserve"> straightforward</w:t>
      </w:r>
      <w:r w:rsidR="00F61C88">
        <w:rPr>
          <w:rFonts w:ascii="Arial" w:hAnsi="Arial" w:cs="Arial"/>
          <w:sz w:val="22"/>
          <w:szCs w:val="22"/>
        </w:rPr>
        <w:t xml:space="preserve">.  </w:t>
      </w:r>
    </w:p>
    <w:p w14:paraId="135B01AC" w14:textId="060FC471" w:rsidR="00BC4486" w:rsidRPr="00BC4486" w:rsidRDefault="00BC4486" w:rsidP="0080467C">
      <w:pPr>
        <w:pStyle w:val="Heading3"/>
        <w:tabs>
          <w:tab w:val="left" w:pos="993"/>
        </w:tabs>
        <w:ind w:left="993" w:hanging="567"/>
      </w:pPr>
      <w:r w:rsidRPr="00BC4486">
        <w:t xml:space="preserve">2.3 </w:t>
      </w:r>
      <w:r w:rsidR="0080467C">
        <w:tab/>
      </w:r>
      <w:r w:rsidRPr="00BC4486">
        <w:t xml:space="preserve">Management </w:t>
      </w:r>
      <w:r w:rsidR="00E924FD">
        <w:t>a</w:t>
      </w:r>
      <w:r w:rsidRPr="00BC4486">
        <w:t>ccountabilities</w:t>
      </w:r>
    </w:p>
    <w:p w14:paraId="06A87B3E" w14:textId="4187F784" w:rsidR="00171BEE" w:rsidRPr="009C5944" w:rsidRDefault="00171BEE" w:rsidP="005A14C3">
      <w:pPr>
        <w:pStyle w:val="ListParagraph"/>
        <w:numPr>
          <w:ilvl w:val="1"/>
          <w:numId w:val="20"/>
        </w:numPr>
        <w:ind w:left="1276" w:hanging="283"/>
        <w:rPr>
          <w:rFonts w:ascii="Arial" w:hAnsi="Arial" w:cs="Arial"/>
          <w:sz w:val="12"/>
          <w:szCs w:val="12"/>
        </w:rPr>
      </w:pPr>
      <w:r w:rsidRPr="4E273951">
        <w:rPr>
          <w:rFonts w:ascii="Arial" w:hAnsi="Arial" w:cs="Arial"/>
          <w:b/>
          <w:bCs/>
          <w:sz w:val="22"/>
          <w:szCs w:val="22"/>
        </w:rPr>
        <w:t>Head of Research Division (</w:t>
      </w:r>
      <w:proofErr w:type="spellStart"/>
      <w:r w:rsidRPr="4E273951">
        <w:rPr>
          <w:rFonts w:ascii="Arial" w:hAnsi="Arial" w:cs="Arial"/>
          <w:b/>
          <w:bCs/>
          <w:sz w:val="22"/>
          <w:szCs w:val="22"/>
        </w:rPr>
        <w:t>HoRD</w:t>
      </w:r>
      <w:proofErr w:type="spellEnd"/>
      <w:r w:rsidRPr="4E273951">
        <w:rPr>
          <w:rFonts w:ascii="Arial" w:hAnsi="Arial" w:cs="Arial"/>
          <w:b/>
          <w:bCs/>
          <w:sz w:val="22"/>
          <w:szCs w:val="22"/>
        </w:rPr>
        <w:t>)</w:t>
      </w:r>
      <w:r>
        <w:br/>
      </w:r>
      <w:r w:rsidRPr="4E273951">
        <w:rPr>
          <w:rFonts w:ascii="Arial" w:hAnsi="Arial" w:cs="Arial"/>
          <w:sz w:val="22"/>
          <w:szCs w:val="22"/>
        </w:rPr>
        <w:t xml:space="preserve">Accountable for research priorities, research culture, and alignment with </w:t>
      </w:r>
      <w:r w:rsidR="134F2C9C" w:rsidRPr="4E273951">
        <w:rPr>
          <w:rFonts w:ascii="Arial" w:hAnsi="Arial" w:cs="Arial"/>
          <w:sz w:val="22"/>
          <w:szCs w:val="22"/>
        </w:rPr>
        <w:t>School level</w:t>
      </w:r>
      <w:r w:rsidRPr="4E273951">
        <w:rPr>
          <w:rFonts w:ascii="Arial" w:hAnsi="Arial" w:cs="Arial"/>
          <w:sz w:val="22"/>
          <w:szCs w:val="22"/>
        </w:rPr>
        <w:t xml:space="preserve"> research strategy.</w:t>
      </w:r>
      <w:r>
        <w:br/>
      </w:r>
      <w:r w:rsidRPr="4E273951">
        <w:rPr>
          <w:rFonts w:ascii="Arial" w:hAnsi="Arial" w:cs="Arial"/>
          <w:sz w:val="22"/>
          <w:szCs w:val="22"/>
        </w:rPr>
        <w:t xml:space="preserve">Reports to the </w:t>
      </w:r>
      <w:r w:rsidRPr="4E273951">
        <w:rPr>
          <w:rFonts w:ascii="Arial" w:hAnsi="Arial" w:cs="Arial"/>
          <w:b/>
          <w:bCs/>
          <w:sz w:val="22"/>
          <w:szCs w:val="22"/>
        </w:rPr>
        <w:t>Director of Research</w:t>
      </w:r>
      <w:r w:rsidRPr="4E273951">
        <w:rPr>
          <w:rFonts w:ascii="Arial" w:hAnsi="Arial" w:cs="Arial"/>
          <w:sz w:val="22"/>
          <w:szCs w:val="22"/>
        </w:rPr>
        <w:t xml:space="preserve"> </w:t>
      </w:r>
      <w:r w:rsidR="00361FA4" w:rsidRPr="4E273951">
        <w:rPr>
          <w:rFonts w:ascii="Arial" w:hAnsi="Arial" w:cs="Arial"/>
          <w:b/>
          <w:bCs/>
          <w:sz w:val="22"/>
          <w:szCs w:val="22"/>
        </w:rPr>
        <w:t>/</w:t>
      </w:r>
      <w:r w:rsidRPr="4E273951">
        <w:rPr>
          <w:rFonts w:ascii="Arial" w:hAnsi="Arial" w:cs="Arial"/>
          <w:sz w:val="22"/>
          <w:szCs w:val="22"/>
        </w:rPr>
        <w:t xml:space="preserve"> </w:t>
      </w:r>
      <w:r w:rsidRPr="4E273951">
        <w:rPr>
          <w:rFonts w:ascii="Arial" w:hAnsi="Arial" w:cs="Arial"/>
          <w:b/>
          <w:bCs/>
          <w:sz w:val="22"/>
          <w:szCs w:val="22"/>
        </w:rPr>
        <w:t>Associate Head of School</w:t>
      </w:r>
      <w:r w:rsidR="00361FA4" w:rsidRPr="4E273951">
        <w:rPr>
          <w:rFonts w:ascii="Arial" w:hAnsi="Arial" w:cs="Arial"/>
          <w:b/>
          <w:bCs/>
          <w:sz w:val="22"/>
          <w:szCs w:val="22"/>
        </w:rPr>
        <w:t>.</w:t>
      </w:r>
      <w:r>
        <w:br/>
      </w:r>
    </w:p>
    <w:p w14:paraId="088C9FAA" w14:textId="275DFA85" w:rsidR="00171BEE" w:rsidRPr="009C5944" w:rsidRDefault="00171BEE" w:rsidP="005A14C3">
      <w:pPr>
        <w:pStyle w:val="ListParagraph"/>
        <w:numPr>
          <w:ilvl w:val="1"/>
          <w:numId w:val="20"/>
        </w:numPr>
        <w:ind w:left="1276" w:hanging="283"/>
        <w:rPr>
          <w:rFonts w:ascii="Arial" w:hAnsi="Arial" w:cs="Arial"/>
          <w:sz w:val="14"/>
          <w:szCs w:val="14"/>
        </w:rPr>
      </w:pPr>
      <w:r w:rsidRPr="00361FA4">
        <w:rPr>
          <w:rFonts w:ascii="Arial" w:hAnsi="Arial" w:cs="Arial"/>
          <w:b/>
          <w:bCs/>
          <w:sz w:val="22"/>
          <w:szCs w:val="22"/>
        </w:rPr>
        <w:t>Head of Teaching Discipline (</w:t>
      </w:r>
      <w:proofErr w:type="spellStart"/>
      <w:r w:rsidRPr="00361FA4"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Pr="00361FA4">
        <w:rPr>
          <w:rFonts w:ascii="Arial" w:hAnsi="Arial" w:cs="Arial"/>
          <w:b/>
          <w:bCs/>
          <w:sz w:val="22"/>
          <w:szCs w:val="22"/>
        </w:rPr>
        <w:t>)</w:t>
      </w:r>
      <w:r w:rsidRPr="00361FA4">
        <w:rPr>
          <w:rFonts w:ascii="Arial" w:hAnsi="Arial" w:cs="Arial"/>
          <w:sz w:val="22"/>
          <w:szCs w:val="22"/>
        </w:rPr>
        <w:br/>
        <w:t>Leads curriculum, pedagogy, assessment and academic standards, and is accountable for overall teaching quality across the Discipline.</w:t>
      </w:r>
      <w:r w:rsidRPr="00361FA4">
        <w:rPr>
          <w:rFonts w:ascii="Arial" w:hAnsi="Arial" w:cs="Arial"/>
          <w:sz w:val="22"/>
          <w:szCs w:val="22"/>
        </w:rPr>
        <w:br/>
        <w:t xml:space="preserve">Reports to the </w:t>
      </w:r>
      <w:r w:rsidRPr="00361FA4">
        <w:rPr>
          <w:rFonts w:ascii="Arial" w:hAnsi="Arial" w:cs="Arial"/>
          <w:b/>
          <w:bCs/>
          <w:sz w:val="22"/>
          <w:szCs w:val="22"/>
        </w:rPr>
        <w:t>Director of Learning &amp; Teaching</w:t>
      </w:r>
      <w:r w:rsidRPr="00361FA4">
        <w:rPr>
          <w:rFonts w:ascii="Arial" w:hAnsi="Arial" w:cs="Arial"/>
          <w:sz w:val="22"/>
          <w:szCs w:val="22"/>
        </w:rPr>
        <w:t xml:space="preserve"> </w:t>
      </w:r>
      <w:r w:rsidR="00361FA4">
        <w:rPr>
          <w:rFonts w:ascii="Arial" w:hAnsi="Arial" w:cs="Arial"/>
          <w:b/>
          <w:bCs/>
          <w:sz w:val="22"/>
          <w:szCs w:val="22"/>
        </w:rPr>
        <w:t>/</w:t>
      </w:r>
      <w:r w:rsidRPr="00361FA4">
        <w:rPr>
          <w:rFonts w:ascii="Arial" w:hAnsi="Arial" w:cs="Arial"/>
          <w:sz w:val="22"/>
          <w:szCs w:val="22"/>
        </w:rPr>
        <w:t xml:space="preserve"> </w:t>
      </w:r>
      <w:r w:rsidRPr="00361FA4">
        <w:rPr>
          <w:rFonts w:ascii="Arial" w:hAnsi="Arial" w:cs="Arial"/>
          <w:b/>
          <w:bCs/>
          <w:sz w:val="22"/>
          <w:szCs w:val="22"/>
        </w:rPr>
        <w:t>Associate Head of School</w:t>
      </w:r>
      <w:r w:rsidR="00361FA4" w:rsidRPr="00361FA4">
        <w:rPr>
          <w:rFonts w:ascii="Arial" w:hAnsi="Arial" w:cs="Arial"/>
          <w:b/>
          <w:bCs/>
          <w:sz w:val="22"/>
          <w:szCs w:val="22"/>
        </w:rPr>
        <w:t>.</w:t>
      </w:r>
      <w:r w:rsidR="00361FA4">
        <w:rPr>
          <w:rFonts w:ascii="Arial" w:hAnsi="Arial" w:cs="Arial"/>
          <w:b/>
          <w:bCs/>
          <w:sz w:val="22"/>
          <w:szCs w:val="22"/>
        </w:rPr>
        <w:br/>
      </w:r>
    </w:p>
    <w:p w14:paraId="15D601B2" w14:textId="4AD750EB" w:rsidR="00171BEE" w:rsidRPr="009C5944" w:rsidRDefault="00171BEE" w:rsidP="005A14C3">
      <w:pPr>
        <w:pStyle w:val="ListParagraph"/>
        <w:numPr>
          <w:ilvl w:val="1"/>
          <w:numId w:val="20"/>
        </w:numPr>
        <w:ind w:left="1276" w:hanging="283"/>
        <w:rPr>
          <w:rFonts w:ascii="Arial" w:hAnsi="Arial" w:cs="Arial"/>
          <w:sz w:val="14"/>
          <w:szCs w:val="14"/>
        </w:rPr>
      </w:pPr>
      <w:r w:rsidRPr="4E273951">
        <w:rPr>
          <w:rFonts w:ascii="Arial" w:hAnsi="Arial" w:cs="Arial"/>
          <w:b/>
          <w:bCs/>
          <w:sz w:val="22"/>
          <w:szCs w:val="22"/>
        </w:rPr>
        <w:t>Executive Deans (China)</w:t>
      </w:r>
      <w:r>
        <w:br/>
      </w:r>
      <w:r w:rsidRPr="4E273951">
        <w:rPr>
          <w:rFonts w:ascii="Arial" w:hAnsi="Arial" w:cs="Arial"/>
          <w:sz w:val="22"/>
          <w:szCs w:val="22"/>
        </w:rPr>
        <w:t xml:space="preserve">Provide </w:t>
      </w:r>
      <w:r w:rsidR="423BE766" w:rsidRPr="4E273951">
        <w:rPr>
          <w:rFonts w:ascii="Arial" w:hAnsi="Arial" w:cs="Arial"/>
          <w:sz w:val="22"/>
          <w:szCs w:val="22"/>
        </w:rPr>
        <w:t>in country</w:t>
      </w:r>
      <w:r w:rsidRPr="4E273951">
        <w:rPr>
          <w:rFonts w:ascii="Arial" w:hAnsi="Arial" w:cs="Arial"/>
          <w:sz w:val="22"/>
          <w:szCs w:val="22"/>
        </w:rPr>
        <w:t xml:space="preserve"> academic leadership for TNE delivery </w:t>
      </w:r>
      <w:r w:rsidR="006C1E07">
        <w:rPr>
          <w:rFonts w:ascii="Arial" w:hAnsi="Arial" w:cs="Arial"/>
          <w:sz w:val="22"/>
          <w:szCs w:val="22"/>
        </w:rPr>
        <w:t>with the Executive Dean (Academic)</w:t>
      </w:r>
      <w:r w:rsidRPr="4E273951">
        <w:rPr>
          <w:rFonts w:ascii="Arial" w:hAnsi="Arial" w:cs="Arial"/>
          <w:sz w:val="22"/>
          <w:szCs w:val="22"/>
        </w:rPr>
        <w:t xml:space="preserve"> </w:t>
      </w:r>
      <w:r w:rsidR="006C1E07">
        <w:rPr>
          <w:rFonts w:ascii="Arial" w:hAnsi="Arial" w:cs="Arial"/>
          <w:sz w:val="22"/>
          <w:szCs w:val="22"/>
        </w:rPr>
        <w:t>act</w:t>
      </w:r>
      <w:r w:rsidR="00897360">
        <w:rPr>
          <w:rFonts w:ascii="Arial" w:hAnsi="Arial" w:cs="Arial"/>
          <w:sz w:val="22"/>
          <w:szCs w:val="22"/>
        </w:rPr>
        <w:t>ing</w:t>
      </w:r>
      <w:r w:rsidRPr="4E273951">
        <w:rPr>
          <w:rFonts w:ascii="Arial" w:hAnsi="Arial" w:cs="Arial"/>
          <w:sz w:val="22"/>
          <w:szCs w:val="22"/>
        </w:rPr>
        <w:t xml:space="preserve"> as the </w:t>
      </w:r>
      <w:r w:rsidRPr="4E273951">
        <w:rPr>
          <w:rFonts w:ascii="Arial" w:hAnsi="Arial" w:cs="Arial"/>
          <w:b/>
          <w:bCs/>
          <w:sz w:val="22"/>
          <w:szCs w:val="22"/>
        </w:rPr>
        <w:t>teaching solid</w:t>
      </w:r>
      <w:r w:rsidR="0683B13B" w:rsidRPr="4E273951">
        <w:rPr>
          <w:rFonts w:ascii="Arial" w:hAnsi="Arial" w:cs="Arial"/>
          <w:b/>
          <w:bCs/>
          <w:sz w:val="22"/>
          <w:szCs w:val="22"/>
        </w:rPr>
        <w:t>-</w:t>
      </w:r>
      <w:r w:rsidRPr="4E273951">
        <w:rPr>
          <w:rFonts w:ascii="Arial" w:hAnsi="Arial" w:cs="Arial"/>
          <w:b/>
          <w:bCs/>
          <w:sz w:val="22"/>
          <w:szCs w:val="22"/>
        </w:rPr>
        <w:t>line manager</w:t>
      </w:r>
      <w:r w:rsidRPr="4E273951">
        <w:rPr>
          <w:rFonts w:ascii="Arial" w:hAnsi="Arial" w:cs="Arial"/>
          <w:sz w:val="22"/>
          <w:szCs w:val="22"/>
        </w:rPr>
        <w:t xml:space="preserve"> for </w:t>
      </w:r>
      <w:r w:rsidR="00897360">
        <w:rPr>
          <w:rFonts w:ascii="Arial" w:hAnsi="Arial" w:cs="Arial"/>
          <w:sz w:val="22"/>
          <w:szCs w:val="22"/>
        </w:rPr>
        <w:t xml:space="preserve">some </w:t>
      </w:r>
      <w:r w:rsidRPr="4E273951">
        <w:rPr>
          <w:rFonts w:ascii="Arial" w:hAnsi="Arial" w:cs="Arial"/>
          <w:sz w:val="22"/>
          <w:szCs w:val="22"/>
        </w:rPr>
        <w:t>fly</w:t>
      </w:r>
      <w:r w:rsidR="4378387C" w:rsidRPr="4E273951">
        <w:rPr>
          <w:rFonts w:ascii="Arial" w:hAnsi="Arial" w:cs="Arial"/>
          <w:sz w:val="22"/>
          <w:szCs w:val="22"/>
        </w:rPr>
        <w:t>-</w:t>
      </w:r>
      <w:r w:rsidRPr="4E273951">
        <w:rPr>
          <w:rFonts w:ascii="Arial" w:hAnsi="Arial" w:cs="Arial"/>
          <w:sz w:val="22"/>
          <w:szCs w:val="22"/>
        </w:rPr>
        <w:t>in staff delivering in China.</w:t>
      </w:r>
      <w:r>
        <w:br/>
      </w:r>
      <w:r w:rsidRPr="4E273951">
        <w:rPr>
          <w:rFonts w:ascii="Arial" w:hAnsi="Arial" w:cs="Arial"/>
          <w:sz w:val="22"/>
          <w:szCs w:val="22"/>
        </w:rPr>
        <w:t xml:space="preserve">Report to the </w:t>
      </w:r>
      <w:r w:rsidRPr="4E273951">
        <w:rPr>
          <w:rFonts w:ascii="Arial" w:hAnsi="Arial" w:cs="Arial"/>
          <w:b/>
          <w:bCs/>
          <w:sz w:val="22"/>
          <w:szCs w:val="22"/>
        </w:rPr>
        <w:t>Director of Transnational Education (TNE)</w:t>
      </w:r>
      <w:r w:rsidRPr="4E273951">
        <w:rPr>
          <w:rFonts w:ascii="Arial" w:hAnsi="Arial" w:cs="Arial"/>
          <w:sz w:val="22"/>
          <w:szCs w:val="22"/>
        </w:rPr>
        <w:t xml:space="preserve"> for strategic oversight.</w:t>
      </w:r>
      <w:r>
        <w:br/>
      </w:r>
    </w:p>
    <w:p w14:paraId="4E0BC156" w14:textId="168EA7D8" w:rsidR="00171BEE" w:rsidRPr="00361FA4" w:rsidRDefault="00171BEE" w:rsidP="005A14C3">
      <w:pPr>
        <w:pStyle w:val="ListParagraph"/>
        <w:numPr>
          <w:ilvl w:val="1"/>
          <w:numId w:val="20"/>
        </w:numPr>
        <w:ind w:left="1276" w:hanging="283"/>
        <w:rPr>
          <w:rFonts w:ascii="Arial" w:hAnsi="Arial" w:cs="Arial"/>
          <w:sz w:val="22"/>
          <w:szCs w:val="22"/>
        </w:rPr>
      </w:pPr>
      <w:r w:rsidRPr="4E273951">
        <w:rPr>
          <w:rFonts w:ascii="Arial" w:hAnsi="Arial" w:cs="Arial"/>
          <w:b/>
          <w:bCs/>
          <w:sz w:val="22"/>
          <w:szCs w:val="22"/>
        </w:rPr>
        <w:t xml:space="preserve">Director of TNE </w:t>
      </w:r>
      <w:r>
        <w:br/>
      </w:r>
      <w:r w:rsidRPr="4E273951">
        <w:rPr>
          <w:rFonts w:ascii="Arial" w:hAnsi="Arial" w:cs="Arial"/>
          <w:sz w:val="22"/>
          <w:szCs w:val="22"/>
        </w:rPr>
        <w:t>Provides strategic leadership of TNE provision and line</w:t>
      </w:r>
      <w:r w:rsidR="4BB3CD00" w:rsidRPr="4E273951">
        <w:rPr>
          <w:rFonts w:ascii="Arial" w:hAnsi="Arial" w:cs="Arial"/>
          <w:sz w:val="22"/>
          <w:szCs w:val="22"/>
        </w:rPr>
        <w:t xml:space="preserve"> </w:t>
      </w:r>
      <w:r w:rsidRPr="4E273951">
        <w:rPr>
          <w:rFonts w:ascii="Arial" w:hAnsi="Arial" w:cs="Arial"/>
          <w:sz w:val="22"/>
          <w:szCs w:val="22"/>
        </w:rPr>
        <w:t>manages the Executive Deans.</w:t>
      </w:r>
      <w:r w:rsidR="00361FA4" w:rsidRPr="4E273951">
        <w:rPr>
          <w:rFonts w:ascii="Arial" w:hAnsi="Arial" w:cs="Arial"/>
          <w:sz w:val="22"/>
          <w:szCs w:val="22"/>
        </w:rPr>
        <w:t xml:space="preserve"> </w:t>
      </w:r>
    </w:p>
    <w:p w14:paraId="115E59D0" w14:textId="28E3AFF8" w:rsidR="00BC4486" w:rsidRPr="00BC4486" w:rsidRDefault="00BC4486" w:rsidP="0080467C">
      <w:pPr>
        <w:pStyle w:val="Heading3"/>
        <w:tabs>
          <w:tab w:val="left" w:pos="993"/>
        </w:tabs>
        <w:ind w:left="993" w:hanging="567"/>
      </w:pPr>
      <w:r w:rsidRPr="00BC4486">
        <w:t xml:space="preserve">2.4 </w:t>
      </w:r>
      <w:r w:rsidR="0080467C">
        <w:tab/>
      </w:r>
      <w:r w:rsidRPr="00BC4486">
        <w:t>Shared Leadership</w:t>
      </w:r>
    </w:p>
    <w:p w14:paraId="6BA82979" w14:textId="0609BEF8" w:rsidR="00BC4486" w:rsidRPr="00BC4486" w:rsidRDefault="0080467C" w:rsidP="009C5944">
      <w:pPr>
        <w:tabs>
          <w:tab w:val="left" w:pos="426"/>
          <w:tab w:val="left" w:pos="993"/>
        </w:tabs>
        <w:spacing w:after="120"/>
        <w:ind w:left="99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C4486" w:rsidRPr="00BC4486">
        <w:rPr>
          <w:rFonts w:ascii="Arial" w:hAnsi="Arial" w:cs="Arial"/>
          <w:sz w:val="22"/>
          <w:szCs w:val="22"/>
        </w:rPr>
        <w:t>HoRD</w:t>
      </w:r>
      <w:proofErr w:type="spellEnd"/>
      <w:r w:rsidR="00BC4486" w:rsidRPr="00BC448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C4486" w:rsidRPr="00BC4486">
        <w:rPr>
          <w:rFonts w:ascii="Arial" w:hAnsi="Arial" w:cs="Arial"/>
          <w:sz w:val="22"/>
          <w:szCs w:val="22"/>
        </w:rPr>
        <w:t>HoTD</w:t>
      </w:r>
      <w:proofErr w:type="spellEnd"/>
      <w:r w:rsidR="00BC4486" w:rsidRPr="00BC4486">
        <w:rPr>
          <w:rFonts w:ascii="Arial" w:hAnsi="Arial" w:cs="Arial"/>
          <w:sz w:val="22"/>
          <w:szCs w:val="22"/>
        </w:rPr>
        <w:t xml:space="preserve"> must work collectively to ensure:</w:t>
      </w:r>
    </w:p>
    <w:p w14:paraId="2D4BE78B" w14:textId="25A41BF1" w:rsidR="00BC4486" w:rsidRPr="00BC4486" w:rsidRDefault="00BC4486" w:rsidP="009C5944">
      <w:pPr>
        <w:numPr>
          <w:ilvl w:val="0"/>
          <w:numId w:val="3"/>
        </w:numPr>
        <w:tabs>
          <w:tab w:val="clear" w:pos="720"/>
          <w:tab w:val="left" w:pos="1276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 w:rsidRPr="00BC4486">
        <w:rPr>
          <w:rFonts w:ascii="Arial" w:hAnsi="Arial" w:cs="Arial"/>
          <w:sz w:val="22"/>
          <w:szCs w:val="22"/>
        </w:rPr>
        <w:t>PDR consistency and performance oversight</w:t>
      </w:r>
      <w:r w:rsidR="00003CD2">
        <w:rPr>
          <w:rFonts w:ascii="Arial" w:hAnsi="Arial" w:cs="Arial"/>
          <w:sz w:val="22"/>
          <w:szCs w:val="22"/>
        </w:rPr>
        <w:t>;</w:t>
      </w:r>
    </w:p>
    <w:p w14:paraId="53FE7837" w14:textId="1CAD6000" w:rsidR="00BC4486" w:rsidRPr="00BC4486" w:rsidRDefault="00003CD2" w:rsidP="009C5944">
      <w:pPr>
        <w:numPr>
          <w:ilvl w:val="0"/>
          <w:numId w:val="3"/>
        </w:numPr>
        <w:tabs>
          <w:tab w:val="clear" w:pos="720"/>
          <w:tab w:val="left" w:pos="1276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C4486" w:rsidRPr="00BC4486">
        <w:rPr>
          <w:rFonts w:ascii="Arial" w:hAnsi="Arial" w:cs="Arial"/>
          <w:sz w:val="22"/>
          <w:szCs w:val="22"/>
        </w:rPr>
        <w:t>orkload planning and redistribution</w:t>
      </w:r>
      <w:r>
        <w:rPr>
          <w:rFonts w:ascii="Arial" w:hAnsi="Arial" w:cs="Arial"/>
          <w:sz w:val="22"/>
          <w:szCs w:val="22"/>
        </w:rPr>
        <w:t>;</w:t>
      </w:r>
    </w:p>
    <w:p w14:paraId="6456C313" w14:textId="748840EA" w:rsidR="00BC4486" w:rsidRPr="00BC4486" w:rsidRDefault="00003CD2" w:rsidP="009C5944">
      <w:pPr>
        <w:numPr>
          <w:ilvl w:val="0"/>
          <w:numId w:val="3"/>
        </w:numPr>
        <w:tabs>
          <w:tab w:val="clear" w:pos="720"/>
          <w:tab w:val="left" w:pos="1276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BC4486" w:rsidRPr="00BC4486">
        <w:rPr>
          <w:rFonts w:ascii="Arial" w:hAnsi="Arial" w:cs="Arial"/>
          <w:sz w:val="22"/>
          <w:szCs w:val="22"/>
        </w:rPr>
        <w:t>robation and promotion support</w:t>
      </w:r>
      <w:r>
        <w:rPr>
          <w:rFonts w:ascii="Arial" w:hAnsi="Arial" w:cs="Arial"/>
          <w:sz w:val="22"/>
          <w:szCs w:val="22"/>
        </w:rPr>
        <w:t>;</w:t>
      </w:r>
    </w:p>
    <w:p w14:paraId="6F869BB9" w14:textId="3857CCF6" w:rsidR="00BC4486" w:rsidRPr="00BC4486" w:rsidRDefault="00003CD2" w:rsidP="009C5944">
      <w:pPr>
        <w:numPr>
          <w:ilvl w:val="0"/>
          <w:numId w:val="3"/>
        </w:numPr>
        <w:tabs>
          <w:tab w:val="clear" w:pos="720"/>
          <w:tab w:val="left" w:pos="1276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C4486" w:rsidRPr="00BC4486">
        <w:rPr>
          <w:rFonts w:ascii="Arial" w:hAnsi="Arial" w:cs="Arial"/>
          <w:sz w:val="22"/>
          <w:szCs w:val="22"/>
        </w:rPr>
        <w:t>uccession planning and talent development</w:t>
      </w:r>
      <w:r>
        <w:rPr>
          <w:rFonts w:ascii="Arial" w:hAnsi="Arial" w:cs="Arial"/>
          <w:sz w:val="22"/>
          <w:szCs w:val="22"/>
        </w:rPr>
        <w:t>;</w:t>
      </w:r>
    </w:p>
    <w:p w14:paraId="1A10F0A9" w14:textId="383D6B4A" w:rsidR="00BC4486" w:rsidRPr="00BC4486" w:rsidRDefault="00003CD2" w:rsidP="009C5944">
      <w:pPr>
        <w:numPr>
          <w:ilvl w:val="0"/>
          <w:numId w:val="3"/>
        </w:numPr>
        <w:tabs>
          <w:tab w:val="clear" w:pos="720"/>
          <w:tab w:val="left" w:pos="1276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C4486" w:rsidRPr="00BC4486">
        <w:rPr>
          <w:rFonts w:ascii="Arial" w:hAnsi="Arial" w:cs="Arial"/>
          <w:sz w:val="22"/>
          <w:szCs w:val="22"/>
        </w:rPr>
        <w:t>anagement of complex cases</w:t>
      </w:r>
      <w:r>
        <w:rPr>
          <w:rFonts w:ascii="Arial" w:hAnsi="Arial" w:cs="Arial"/>
          <w:sz w:val="22"/>
          <w:szCs w:val="22"/>
        </w:rPr>
        <w:t>.</w:t>
      </w:r>
    </w:p>
    <w:p w14:paraId="16ED3EF7" w14:textId="4C21D14C" w:rsidR="00BC4486" w:rsidRPr="00BC4486" w:rsidRDefault="00BC4486" w:rsidP="0080467C">
      <w:pPr>
        <w:pStyle w:val="Heading3"/>
        <w:tabs>
          <w:tab w:val="left" w:pos="993"/>
        </w:tabs>
        <w:ind w:left="993" w:hanging="567"/>
      </w:pPr>
      <w:r w:rsidRPr="00BC4486">
        <w:t xml:space="preserve">2.5 </w:t>
      </w:r>
      <w:r w:rsidR="0080467C">
        <w:tab/>
      </w:r>
      <w:r w:rsidR="00716FCD">
        <w:t xml:space="preserve">PDR </w:t>
      </w:r>
      <w:r w:rsidR="004626E9">
        <w:t>reviewer allocation</w:t>
      </w:r>
    </w:p>
    <w:p w14:paraId="26954CB8" w14:textId="2D3C3414" w:rsidR="00BC4486" w:rsidRPr="00BC4486" w:rsidRDefault="00EF532F" w:rsidP="0080467C">
      <w:pPr>
        <w:tabs>
          <w:tab w:val="left" w:pos="426"/>
          <w:tab w:val="left" w:pos="993"/>
        </w:tabs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>An annual School-level review:</w:t>
      </w:r>
    </w:p>
    <w:p w14:paraId="48ACF128" w14:textId="493FF434" w:rsidR="00BC4486" w:rsidRPr="00BC4486" w:rsidRDefault="00003CD2" w:rsidP="009C5944">
      <w:pPr>
        <w:numPr>
          <w:ilvl w:val="0"/>
          <w:numId w:val="4"/>
        </w:numPr>
        <w:tabs>
          <w:tab w:val="clear" w:pos="720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C4486" w:rsidRPr="00BC4486">
        <w:rPr>
          <w:rFonts w:ascii="Arial" w:hAnsi="Arial" w:cs="Arial"/>
          <w:sz w:val="22"/>
          <w:szCs w:val="22"/>
        </w:rPr>
        <w:t>nsures equitable PDR workloads</w:t>
      </w:r>
      <w:r>
        <w:rPr>
          <w:rFonts w:ascii="Arial" w:hAnsi="Arial" w:cs="Arial"/>
          <w:sz w:val="22"/>
          <w:szCs w:val="22"/>
        </w:rPr>
        <w:t>;</w:t>
      </w:r>
    </w:p>
    <w:p w14:paraId="2DAC5BDB" w14:textId="358843EF" w:rsidR="00BC4486" w:rsidRPr="00BC4486" w:rsidRDefault="00003CD2" w:rsidP="009C5944">
      <w:pPr>
        <w:numPr>
          <w:ilvl w:val="0"/>
          <w:numId w:val="4"/>
        </w:numPr>
        <w:tabs>
          <w:tab w:val="clear" w:pos="720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4486" w:rsidRPr="00BC4486">
        <w:rPr>
          <w:rFonts w:ascii="Arial" w:hAnsi="Arial" w:cs="Arial"/>
          <w:sz w:val="22"/>
          <w:szCs w:val="22"/>
        </w:rPr>
        <w:t>llocates reviewers (who may not be the solid-line manager)</w:t>
      </w:r>
      <w:r>
        <w:rPr>
          <w:rFonts w:ascii="Arial" w:hAnsi="Arial" w:cs="Arial"/>
          <w:sz w:val="22"/>
          <w:szCs w:val="22"/>
        </w:rPr>
        <w:t>;</w:t>
      </w:r>
    </w:p>
    <w:p w14:paraId="484CAF9C" w14:textId="47A307E2" w:rsidR="00BC4486" w:rsidRPr="00BC4486" w:rsidRDefault="00003CD2" w:rsidP="009C5944">
      <w:pPr>
        <w:numPr>
          <w:ilvl w:val="0"/>
          <w:numId w:val="4"/>
        </w:numPr>
        <w:tabs>
          <w:tab w:val="clear" w:pos="720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4486" w:rsidRPr="00BC4486">
        <w:rPr>
          <w:rFonts w:ascii="Arial" w:hAnsi="Arial" w:cs="Arial"/>
          <w:sz w:val="22"/>
          <w:szCs w:val="22"/>
        </w:rPr>
        <w:t xml:space="preserve">oes </w:t>
      </w:r>
      <w:r w:rsidR="00BC4486" w:rsidRPr="00BC4486">
        <w:rPr>
          <w:rFonts w:ascii="Arial" w:hAnsi="Arial" w:cs="Arial"/>
          <w:i/>
          <w:iCs/>
          <w:sz w:val="22"/>
          <w:szCs w:val="22"/>
        </w:rPr>
        <w:t>not</w:t>
      </w:r>
      <w:r w:rsidR="00BC4486" w:rsidRPr="00BC4486">
        <w:rPr>
          <w:rFonts w:ascii="Arial" w:hAnsi="Arial" w:cs="Arial"/>
          <w:sz w:val="22"/>
          <w:szCs w:val="22"/>
        </w:rPr>
        <w:t xml:space="preserve"> change solid-line relationships</w:t>
      </w:r>
      <w:r>
        <w:rPr>
          <w:rFonts w:ascii="Arial" w:hAnsi="Arial" w:cs="Arial"/>
          <w:sz w:val="22"/>
          <w:szCs w:val="22"/>
        </w:rPr>
        <w:t>;</w:t>
      </w:r>
    </w:p>
    <w:p w14:paraId="40F9BF5A" w14:textId="54723DB2" w:rsidR="00BC4486" w:rsidRPr="00BC4486" w:rsidRDefault="00003CD2" w:rsidP="009C5944">
      <w:pPr>
        <w:numPr>
          <w:ilvl w:val="0"/>
          <w:numId w:val="4"/>
        </w:numPr>
        <w:tabs>
          <w:tab w:val="clear" w:pos="720"/>
        </w:tabs>
        <w:spacing w:after="120"/>
        <w:ind w:left="127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BC4486" w:rsidRPr="00BC4486">
        <w:rPr>
          <w:rFonts w:ascii="Arial" w:hAnsi="Arial" w:cs="Arial"/>
          <w:sz w:val="22"/>
          <w:szCs w:val="22"/>
        </w:rPr>
        <w:t>equires calibration meetings for consistency</w:t>
      </w:r>
      <w:r>
        <w:rPr>
          <w:rFonts w:ascii="Arial" w:hAnsi="Arial" w:cs="Arial"/>
          <w:sz w:val="22"/>
          <w:szCs w:val="22"/>
        </w:rPr>
        <w:t>.</w:t>
      </w:r>
    </w:p>
    <w:p w14:paraId="482EA4B4" w14:textId="7E8514BF" w:rsidR="00BC4486" w:rsidRPr="00BC4486" w:rsidRDefault="00BC4486" w:rsidP="0080467C">
      <w:pPr>
        <w:pStyle w:val="Heading3"/>
        <w:tabs>
          <w:tab w:val="left" w:pos="993"/>
        </w:tabs>
        <w:ind w:left="993" w:hanging="567"/>
      </w:pPr>
      <w:r w:rsidRPr="00BC4486">
        <w:t xml:space="preserve">2.6 </w:t>
      </w:r>
      <w:r w:rsidR="00EF532F">
        <w:tab/>
      </w:r>
      <w:r w:rsidRPr="00BC4486">
        <w:t xml:space="preserve">Dispute </w:t>
      </w:r>
      <w:r w:rsidR="00003CD2">
        <w:t>r</w:t>
      </w:r>
      <w:r w:rsidRPr="00BC4486">
        <w:t>esolution</w:t>
      </w:r>
    </w:p>
    <w:p w14:paraId="40717265" w14:textId="4A656CF7" w:rsidR="00BC4486" w:rsidRPr="00BC4486" w:rsidRDefault="00EF532F" w:rsidP="009C5944">
      <w:pPr>
        <w:tabs>
          <w:tab w:val="left" w:pos="426"/>
          <w:tab w:val="left" w:pos="993"/>
        </w:tabs>
        <w:spacing w:after="0"/>
        <w:ind w:left="99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 xml:space="preserve">If agreement cannot be reached between </w:t>
      </w:r>
      <w:proofErr w:type="spellStart"/>
      <w:r w:rsidR="00BC4486" w:rsidRPr="00BC4486">
        <w:rPr>
          <w:rFonts w:ascii="Arial" w:hAnsi="Arial" w:cs="Arial"/>
          <w:sz w:val="22"/>
          <w:szCs w:val="22"/>
        </w:rPr>
        <w:t>HoRD</w:t>
      </w:r>
      <w:proofErr w:type="spellEnd"/>
      <w:r w:rsidR="00BC4486" w:rsidRPr="00BC448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C4486" w:rsidRPr="00BC4486">
        <w:rPr>
          <w:rFonts w:ascii="Arial" w:hAnsi="Arial" w:cs="Arial"/>
          <w:sz w:val="22"/>
          <w:szCs w:val="22"/>
        </w:rPr>
        <w:t>HoT</w:t>
      </w:r>
      <w:r w:rsidR="00F36344">
        <w:rPr>
          <w:rFonts w:ascii="Arial" w:hAnsi="Arial" w:cs="Arial"/>
          <w:sz w:val="22"/>
          <w:szCs w:val="22"/>
        </w:rPr>
        <w:t>D</w:t>
      </w:r>
      <w:proofErr w:type="spellEnd"/>
      <w:r w:rsidR="00F36344">
        <w:rPr>
          <w:rFonts w:ascii="Arial" w:hAnsi="Arial" w:cs="Arial"/>
          <w:sz w:val="22"/>
          <w:szCs w:val="22"/>
        </w:rPr>
        <w:t xml:space="preserve"> following escalation to the Director of Research and Director of Learning &amp; Teaching,</w:t>
      </w:r>
      <w:r w:rsidR="00BC4486" w:rsidRPr="00BC4486">
        <w:rPr>
          <w:rFonts w:ascii="Arial" w:hAnsi="Arial" w:cs="Arial"/>
          <w:sz w:val="22"/>
          <w:szCs w:val="22"/>
        </w:rPr>
        <w:t xml:space="preserve"> cases are escalated to the School Executive Board.</w:t>
      </w:r>
    </w:p>
    <w:p w14:paraId="5B3E60D6" w14:textId="38449A8B" w:rsidR="00BC4486" w:rsidRPr="00BC4486" w:rsidRDefault="00CD1A02" w:rsidP="00BC448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47250A62">
          <v:rect id="Horizontal Line 2" o:spid="_x0000_s1031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0315CAE9" w14:textId="4974AAC0" w:rsidR="00BC4486" w:rsidRPr="00EF532F" w:rsidRDefault="00BC4486" w:rsidP="00EF532F">
      <w:pPr>
        <w:pStyle w:val="Heading2"/>
        <w:ind w:left="426" w:hanging="426"/>
        <w:rPr>
          <w:b/>
          <w:bCs/>
        </w:rPr>
      </w:pPr>
      <w:r w:rsidRPr="00EF532F">
        <w:rPr>
          <w:b/>
          <w:bCs/>
        </w:rPr>
        <w:t xml:space="preserve">3. </w:t>
      </w:r>
      <w:r w:rsidR="00EF532F">
        <w:rPr>
          <w:b/>
          <w:bCs/>
        </w:rPr>
        <w:tab/>
      </w:r>
      <w:r w:rsidRPr="00EF532F">
        <w:rPr>
          <w:b/>
          <w:bCs/>
        </w:rPr>
        <w:t xml:space="preserve">Operational </w:t>
      </w:r>
      <w:r w:rsidR="00003CD2">
        <w:rPr>
          <w:b/>
          <w:bCs/>
        </w:rPr>
        <w:t>r</w:t>
      </w:r>
      <w:r w:rsidRPr="00EF532F">
        <w:rPr>
          <w:b/>
          <w:bCs/>
        </w:rPr>
        <w:t xml:space="preserve">esponsibilities </w:t>
      </w:r>
      <w:r w:rsidR="00003CD2">
        <w:rPr>
          <w:b/>
          <w:bCs/>
        </w:rPr>
        <w:t>s</w:t>
      </w:r>
      <w:r w:rsidRPr="00EF532F">
        <w:rPr>
          <w:b/>
          <w:bCs/>
        </w:rPr>
        <w:t>ummary</w:t>
      </w:r>
    </w:p>
    <w:p w14:paraId="5C318197" w14:textId="4DF67389" w:rsidR="00DE2B6E" w:rsidRPr="00DE2B6E" w:rsidRDefault="00BC4486" w:rsidP="009C5944">
      <w:pPr>
        <w:pStyle w:val="Heading3"/>
        <w:spacing w:before="80" w:after="40"/>
        <w:ind w:left="992" w:hanging="567"/>
      </w:pPr>
      <w:r w:rsidRPr="00BC4486">
        <w:t xml:space="preserve">3.1 </w:t>
      </w:r>
      <w:r w:rsidR="00EF532F">
        <w:tab/>
      </w:r>
      <w:r w:rsidRPr="00BC4486">
        <w:t>Approvals</w:t>
      </w:r>
    </w:p>
    <w:tbl>
      <w:tblPr>
        <w:tblW w:w="8079" w:type="dxa"/>
        <w:tblCellSpacing w:w="15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935"/>
        <w:gridCol w:w="1844"/>
        <w:gridCol w:w="2032"/>
      </w:tblGrid>
      <w:tr w:rsidR="00886E95" w:rsidRPr="00DE2B6E" w14:paraId="230E2440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2456182" w14:textId="77777777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Process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BAA864" w14:textId="3942AC90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Typical </w:t>
            </w:r>
            <w:r w:rsidR="00003CD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R&amp;T </w:t>
            </w:r>
            <w:r w:rsidR="00003CD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taff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5DB0163" w14:textId="163D8055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Typical </w:t>
            </w:r>
            <w:r w:rsidR="00003CD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LTS </w:t>
            </w:r>
            <w:r w:rsidR="00003CD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taff</w:t>
            </w:r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DD0EC83" w14:textId="1A372869" w:rsidR="00DE2B6E" w:rsidRPr="00DE2B6E" w:rsidRDefault="004A2263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FA4">
              <w:rPr>
                <w:rFonts w:ascii="Arial" w:hAnsi="Arial" w:cs="Arial"/>
                <w:b/>
                <w:bCs/>
                <w:sz w:val="22"/>
                <w:szCs w:val="22"/>
              </w:rPr>
              <w:t>FIFO</w:t>
            </w:r>
            <w:r w:rsidR="00DE2B6E"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3CD2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E2B6E" w:rsidRPr="00DE2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taff </w:t>
            </w:r>
            <w:r w:rsidRPr="00361F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86E95" w:rsidRPr="00DE2B6E" w14:paraId="65018FAE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9169BD" w14:textId="77777777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Expenses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92643C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1C0CEB" w14:textId="026A6D9E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</w:t>
            </w:r>
            <w:r w:rsidR="004A2263" w:rsidRPr="00361FA4">
              <w:rPr>
                <w:rFonts w:ascii="Arial" w:hAnsi="Arial" w:cs="Arial"/>
                <w:sz w:val="22"/>
                <w:szCs w:val="22"/>
              </w:rPr>
              <w:t>T</w:t>
            </w:r>
            <w:r w:rsidRPr="00DE2B6E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2852E9" w14:textId="4C8A4662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 w:rsidR="00897360"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360"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 w:rsidR="00B86682">
              <w:rPr>
                <w:rFonts w:ascii="Arial" w:hAnsi="Arial" w:cs="Arial"/>
                <w:sz w:val="22"/>
                <w:szCs w:val="22"/>
              </w:rPr>
              <w:t>A</w:t>
            </w:r>
            <w:r w:rsidR="00897360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="00897360">
              <w:rPr>
                <w:rFonts w:ascii="Arial" w:hAnsi="Arial" w:cs="Arial"/>
                <w:sz w:val="22"/>
                <w:szCs w:val="22"/>
              </w:rPr>
              <w:t xml:space="preserve"> of TNE</w:t>
            </w:r>
          </w:p>
        </w:tc>
      </w:tr>
      <w:tr w:rsidR="00886E95" w:rsidRPr="00DE2B6E" w14:paraId="5F1C1C61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7F1FAA7" w14:textId="3EB19623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Leave</w:t>
            </w:r>
            <w:r w:rsidR="00077D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D40" w:rsidRPr="00077D40">
              <w:rPr>
                <w:rFonts w:ascii="Arial" w:hAnsi="Arial" w:cs="Arial"/>
                <w:sz w:val="22"/>
                <w:szCs w:val="22"/>
              </w:rPr>
              <w:t>(e.g., annual, business leave)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29967B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7EE743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7AFBD6" w14:textId="6FBB0380" w:rsidR="00DE2B6E" w:rsidRPr="00DE2B6E" w:rsidRDefault="00B86682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</w:t>
            </w:r>
            <w:r w:rsidR="00DE2B6E"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6E95" w:rsidRPr="00DE2B6E" w14:paraId="3DC242B3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7994B2" w14:textId="45D56861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850E44F">
              <w:rPr>
                <w:rFonts w:ascii="Arial" w:hAnsi="Arial" w:cs="Arial"/>
                <w:b/>
                <w:bCs/>
                <w:sz w:val="22"/>
                <w:szCs w:val="22"/>
              </w:rPr>
              <w:t>Teaching</w:t>
            </w:r>
            <w:r w:rsidR="1ED177F4" w:rsidRPr="7850E4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850E44F">
              <w:rPr>
                <w:rFonts w:ascii="Arial" w:hAnsi="Arial" w:cs="Arial"/>
                <w:b/>
                <w:bCs/>
                <w:sz w:val="22"/>
                <w:szCs w:val="22"/>
              </w:rPr>
              <w:t>related matters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4A5A3D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74AD60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2C2633" w14:textId="748246E6" w:rsidR="00DE2B6E" w:rsidRPr="00DE2B6E" w:rsidRDefault="00B86682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</w:t>
            </w:r>
          </w:p>
        </w:tc>
      </w:tr>
      <w:tr w:rsidR="00886E95" w:rsidRPr="00DE2B6E" w14:paraId="04ADF91A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85B480" w14:textId="68CFD0DA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E273951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  <w:r w:rsidR="24CA55A7" w:rsidRPr="4E2739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4E273951">
              <w:rPr>
                <w:rFonts w:ascii="Arial" w:hAnsi="Arial" w:cs="Arial"/>
                <w:b/>
                <w:bCs/>
                <w:sz w:val="22"/>
                <w:szCs w:val="22"/>
              </w:rPr>
              <w:t>related matters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6A8CC9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A7BF48" w14:textId="3E09F48A" w:rsidR="00DE2B6E" w:rsidRPr="00DE2B6E" w:rsidRDefault="00BC00AC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61F2D6" w14:textId="44E6DA11" w:rsidR="00DE2B6E" w:rsidRPr="00DE2B6E" w:rsidRDefault="00B86682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 </w:t>
            </w:r>
            <w:r w:rsidR="005913F4">
              <w:rPr>
                <w:rFonts w:ascii="Arial" w:hAnsi="Arial" w:cs="Arial"/>
                <w:sz w:val="22"/>
                <w:szCs w:val="22"/>
              </w:rPr>
              <w:t>(LTS)</w:t>
            </w:r>
            <w:r w:rsidR="005913F4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DE2B6E"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  <w:r w:rsidR="005913F4">
              <w:rPr>
                <w:rFonts w:ascii="Arial" w:hAnsi="Arial" w:cs="Arial"/>
                <w:sz w:val="22"/>
                <w:szCs w:val="22"/>
              </w:rPr>
              <w:t xml:space="preserve"> (R&amp;T)</w:t>
            </w:r>
          </w:p>
        </w:tc>
      </w:tr>
    </w:tbl>
    <w:p w14:paraId="33823DA8" w14:textId="77777777" w:rsidR="00783880" w:rsidRDefault="00783880">
      <w:r>
        <w:br w:type="page"/>
      </w:r>
    </w:p>
    <w:tbl>
      <w:tblPr>
        <w:tblW w:w="8079" w:type="dxa"/>
        <w:tblCellSpacing w:w="15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966"/>
        <w:gridCol w:w="1813"/>
        <w:gridCol w:w="2032"/>
      </w:tblGrid>
      <w:tr w:rsidR="00886E95" w:rsidRPr="00DE2B6E" w14:paraId="7414617D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FC9FB60" w14:textId="038E42BF" w:rsidR="00106A57" w:rsidRPr="00361FA4" w:rsidRDefault="00106A57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FA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Flexible working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BD438E" w14:textId="096E0F45" w:rsidR="00106A57" w:rsidRPr="00361FA4" w:rsidRDefault="00265469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106A57" w:rsidRPr="00361FA4">
              <w:rPr>
                <w:rFonts w:ascii="Arial" w:hAnsi="Arial" w:cs="Arial"/>
                <w:sz w:val="22"/>
                <w:szCs w:val="22"/>
              </w:rPr>
              <w:t>Ho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06A57" w:rsidRPr="00361FA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1D56278" w14:textId="7700CCB0" w:rsidR="00106A57" w:rsidRPr="00361FA4" w:rsidRDefault="00106A57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FA4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22F852B" w14:textId="6748A965" w:rsidR="00106A57" w:rsidRPr="00361FA4" w:rsidRDefault="00B86682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</w:t>
            </w:r>
            <w:r w:rsidRPr="00361F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6A57" w:rsidRPr="00361FA4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106A57" w:rsidRPr="00361FA4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</w:tr>
      <w:tr w:rsidR="00886E95" w:rsidRPr="00DE2B6E" w14:paraId="6F62D4F7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3A0994" w14:textId="77777777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Probation oversight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8E2FE8" w14:textId="4126095A" w:rsidR="00DE2B6E" w:rsidRPr="00DE2B6E" w:rsidRDefault="009C5944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4A2263" w:rsidRPr="00361FA4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D0B983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69B574" w14:textId="6997851F" w:rsidR="00DE2B6E" w:rsidRPr="00DE2B6E" w:rsidRDefault="00B86682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B6E" w:rsidRPr="00DE2B6E">
              <w:rPr>
                <w:rFonts w:ascii="Arial" w:hAnsi="Arial" w:cs="Arial"/>
                <w:sz w:val="22"/>
                <w:szCs w:val="22"/>
              </w:rPr>
              <w:t>(teaching)</w:t>
            </w:r>
            <w:r w:rsidR="00D33A9F" w:rsidRPr="00361FA4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DE2B6E"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  <w:r w:rsidR="00DE2B6E" w:rsidRPr="00DE2B6E">
              <w:rPr>
                <w:rFonts w:ascii="Arial" w:hAnsi="Arial" w:cs="Arial"/>
                <w:sz w:val="22"/>
                <w:szCs w:val="22"/>
              </w:rPr>
              <w:t xml:space="preserve"> (research)</w:t>
            </w:r>
          </w:p>
        </w:tc>
      </w:tr>
      <w:tr w:rsidR="00886E95" w:rsidRPr="00DE2B6E" w14:paraId="5618AD14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90FFEA" w14:textId="77777777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Promotion support (teaching)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B69B55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71F83A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HoTD</w:t>
            </w:r>
            <w:proofErr w:type="spellEnd"/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C95B9" w14:textId="74DAD2A5" w:rsidR="00DE2B6E" w:rsidRPr="00DE2B6E" w:rsidRDefault="00440277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Executive Dean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E2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Director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ADirector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TNE</w:t>
            </w:r>
          </w:p>
        </w:tc>
      </w:tr>
      <w:tr w:rsidR="00886E95" w:rsidRPr="00DE2B6E" w14:paraId="557525D0" w14:textId="77777777" w:rsidTr="4E273951">
        <w:trPr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B4AE10" w14:textId="77777777" w:rsidR="00DE2B6E" w:rsidRPr="00DE2B6E" w:rsidRDefault="00DE2B6E" w:rsidP="001E0739">
            <w:pPr>
              <w:ind w:left="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B6E">
              <w:rPr>
                <w:rFonts w:ascii="Arial" w:hAnsi="Arial" w:cs="Arial"/>
                <w:b/>
                <w:bCs/>
                <w:sz w:val="22"/>
                <w:szCs w:val="22"/>
              </w:rPr>
              <w:t>Promotion support (research)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864E77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7CFCFB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r w:rsidRPr="00DE2B6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01E32E" w14:textId="77777777" w:rsidR="00DE2B6E" w:rsidRPr="00DE2B6E" w:rsidRDefault="00DE2B6E" w:rsidP="001E0739">
            <w:pPr>
              <w:ind w:left="7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B6E">
              <w:rPr>
                <w:rFonts w:ascii="Arial" w:hAnsi="Arial" w:cs="Arial"/>
                <w:sz w:val="22"/>
                <w:szCs w:val="22"/>
              </w:rPr>
              <w:t>HoRD</w:t>
            </w:r>
            <w:proofErr w:type="spellEnd"/>
          </w:p>
        </w:tc>
      </w:tr>
    </w:tbl>
    <w:p w14:paraId="1B7D10D2" w14:textId="727BB8C6" w:rsidR="00494946" w:rsidRDefault="00925814" w:rsidP="0080597C">
      <w:pPr>
        <w:ind w:left="993"/>
        <w:rPr>
          <w:rFonts w:ascii="Arial" w:hAnsi="Arial" w:cs="Arial"/>
          <w:sz w:val="22"/>
          <w:szCs w:val="22"/>
        </w:rPr>
      </w:pPr>
      <w:r w:rsidRPr="4E273951">
        <w:rPr>
          <w:rFonts w:ascii="Arial" w:hAnsi="Arial" w:cs="Arial"/>
          <w:b/>
          <w:bCs/>
          <w:sz w:val="22"/>
          <w:szCs w:val="22"/>
        </w:rPr>
        <w:t>Note:</w:t>
      </w:r>
      <w:r w:rsidRPr="4E273951">
        <w:rPr>
          <w:rFonts w:ascii="Arial" w:hAnsi="Arial" w:cs="Arial"/>
          <w:sz w:val="22"/>
          <w:szCs w:val="22"/>
        </w:rPr>
        <w:t xml:space="preserve"> “Typical” refers to staff not on fly</w:t>
      </w:r>
      <w:r w:rsidR="2808DD9C" w:rsidRPr="4E273951">
        <w:rPr>
          <w:rFonts w:ascii="Arial" w:hAnsi="Arial" w:cs="Arial"/>
          <w:sz w:val="22"/>
          <w:szCs w:val="22"/>
        </w:rPr>
        <w:t>-</w:t>
      </w:r>
      <w:r w:rsidRPr="4E273951">
        <w:rPr>
          <w:rFonts w:ascii="Arial" w:hAnsi="Arial" w:cs="Arial"/>
          <w:sz w:val="22"/>
          <w:szCs w:val="22"/>
        </w:rPr>
        <w:t>in teaching assignments in China.</w:t>
      </w:r>
      <w:r>
        <w:br/>
      </w:r>
    </w:p>
    <w:p w14:paraId="6B1AFB63" w14:textId="451DB0AD" w:rsidR="0080597C" w:rsidRPr="00361FA4" w:rsidRDefault="00396B3A" w:rsidP="00627351">
      <w:pPr>
        <w:ind w:left="993"/>
        <w:rPr>
          <w:rFonts w:ascii="Arial" w:hAnsi="Arial" w:cs="Arial"/>
          <w:sz w:val="22"/>
          <w:szCs w:val="22"/>
        </w:rPr>
      </w:pPr>
      <w:r w:rsidRPr="00396B3A">
        <w:rPr>
          <w:rFonts w:ascii="Arial" w:hAnsi="Arial" w:cs="Arial"/>
          <w:b/>
          <w:bCs/>
          <w:sz w:val="22"/>
          <w:szCs w:val="22"/>
        </w:rPr>
        <w:t>Leave request requirement</w:t>
      </w:r>
      <w:r w:rsidR="00003CD2">
        <w:rPr>
          <w:rFonts w:ascii="Arial" w:hAnsi="Arial" w:cs="Arial"/>
          <w:sz w:val="22"/>
          <w:szCs w:val="22"/>
        </w:rPr>
        <w:t xml:space="preserve">: </w:t>
      </w:r>
      <w:r w:rsidR="0080597C" w:rsidRPr="00361FA4">
        <w:rPr>
          <w:rFonts w:ascii="Arial" w:hAnsi="Arial" w:cs="Arial"/>
          <w:sz w:val="22"/>
          <w:szCs w:val="22"/>
        </w:rPr>
        <w:t>Staff must confirm in the request notes that their planned leave does not conflict with teaching, assessment, or service commitments. Approvers will not approve leave unless this confirmation is provided.</w:t>
      </w:r>
      <w:r w:rsidR="00003CD2">
        <w:rPr>
          <w:rFonts w:ascii="Arial" w:hAnsi="Arial" w:cs="Arial"/>
          <w:sz w:val="22"/>
          <w:szCs w:val="22"/>
        </w:rPr>
        <w:br/>
      </w:r>
      <w:r w:rsidR="00003CD2">
        <w:rPr>
          <w:rFonts w:ascii="Arial" w:hAnsi="Arial" w:cs="Arial"/>
          <w:sz w:val="22"/>
          <w:szCs w:val="22"/>
        </w:rPr>
        <w:br/>
      </w:r>
      <w:r w:rsidR="00003CD2" w:rsidRPr="00003CD2">
        <w:rPr>
          <w:rFonts w:ascii="Arial" w:hAnsi="Arial" w:cs="Arial"/>
          <w:b/>
          <w:bCs/>
          <w:sz w:val="22"/>
          <w:szCs w:val="22"/>
        </w:rPr>
        <w:t>Promotion cases:</w:t>
      </w:r>
      <w:r w:rsidR="00003CD2">
        <w:rPr>
          <w:rFonts w:ascii="Arial" w:hAnsi="Arial" w:cs="Arial"/>
          <w:sz w:val="22"/>
          <w:szCs w:val="22"/>
        </w:rPr>
        <w:t xml:space="preserve"> </w:t>
      </w:r>
      <w:r w:rsidR="00156025">
        <w:rPr>
          <w:rFonts w:ascii="Arial" w:hAnsi="Arial" w:cs="Arial"/>
          <w:sz w:val="22"/>
          <w:szCs w:val="22"/>
        </w:rPr>
        <w:t>Responsibility for overseeing a</w:t>
      </w:r>
      <w:r w:rsidR="00003CD2">
        <w:rPr>
          <w:rFonts w:ascii="Arial" w:hAnsi="Arial" w:cs="Arial"/>
          <w:sz w:val="22"/>
          <w:szCs w:val="22"/>
        </w:rPr>
        <w:t xml:space="preserve"> promotion case </w:t>
      </w:r>
      <w:r w:rsidR="00156025">
        <w:rPr>
          <w:rFonts w:ascii="Arial" w:hAnsi="Arial" w:cs="Arial"/>
          <w:sz w:val="22"/>
          <w:szCs w:val="22"/>
        </w:rPr>
        <w:t>sits with the manager appropriate to the role type</w:t>
      </w:r>
      <w:r w:rsidR="00003CD2">
        <w:rPr>
          <w:rFonts w:ascii="Arial" w:hAnsi="Arial" w:cs="Arial"/>
          <w:sz w:val="22"/>
          <w:szCs w:val="22"/>
        </w:rPr>
        <w:t xml:space="preserve"> (LTS or R&amp;T), as set out above.   </w:t>
      </w:r>
      <w:r w:rsidR="00156025">
        <w:rPr>
          <w:rFonts w:ascii="Arial" w:hAnsi="Arial" w:cs="Arial"/>
          <w:sz w:val="22"/>
          <w:szCs w:val="22"/>
        </w:rPr>
        <w:t>That manager works with the individual to support the application.  However, both solid-line managers (</w:t>
      </w:r>
      <w:proofErr w:type="spellStart"/>
      <w:r w:rsidR="00156025">
        <w:rPr>
          <w:rFonts w:ascii="Arial" w:hAnsi="Arial" w:cs="Arial"/>
          <w:sz w:val="22"/>
          <w:szCs w:val="22"/>
        </w:rPr>
        <w:t>HoRD</w:t>
      </w:r>
      <w:proofErr w:type="spellEnd"/>
      <w:r w:rsidR="0015602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156025">
        <w:rPr>
          <w:rFonts w:ascii="Arial" w:hAnsi="Arial" w:cs="Arial"/>
          <w:sz w:val="22"/>
          <w:szCs w:val="22"/>
        </w:rPr>
        <w:t>HoTD</w:t>
      </w:r>
      <w:proofErr w:type="spellEnd"/>
      <w:r w:rsidR="00156025">
        <w:rPr>
          <w:rFonts w:ascii="Arial" w:hAnsi="Arial" w:cs="Arial"/>
          <w:sz w:val="22"/>
          <w:szCs w:val="22"/>
        </w:rPr>
        <w:t xml:space="preserve">, or </w:t>
      </w:r>
      <w:proofErr w:type="spellStart"/>
      <w:r w:rsidR="009A1341">
        <w:rPr>
          <w:rFonts w:ascii="Arial" w:hAnsi="Arial" w:cs="Arial"/>
          <w:sz w:val="22"/>
          <w:szCs w:val="22"/>
        </w:rPr>
        <w:t>HoRD</w:t>
      </w:r>
      <w:proofErr w:type="spellEnd"/>
      <w:r w:rsidR="009A1341">
        <w:rPr>
          <w:rFonts w:ascii="Arial" w:hAnsi="Arial" w:cs="Arial"/>
          <w:sz w:val="22"/>
          <w:szCs w:val="22"/>
        </w:rPr>
        <w:t xml:space="preserve"> and </w:t>
      </w:r>
      <w:r w:rsidR="00156025">
        <w:rPr>
          <w:rFonts w:ascii="Arial" w:hAnsi="Arial" w:cs="Arial"/>
          <w:sz w:val="22"/>
          <w:szCs w:val="22"/>
        </w:rPr>
        <w:t xml:space="preserve">the Executive Dean </w:t>
      </w:r>
      <w:r w:rsidR="00440277">
        <w:rPr>
          <w:rFonts w:ascii="Arial" w:hAnsi="Arial" w:cs="Arial"/>
          <w:sz w:val="22"/>
          <w:szCs w:val="22"/>
        </w:rPr>
        <w:t>(Academic)</w:t>
      </w:r>
      <w:r w:rsidR="005A1378">
        <w:rPr>
          <w:rFonts w:ascii="Arial" w:hAnsi="Arial" w:cs="Arial"/>
          <w:sz w:val="22"/>
          <w:szCs w:val="22"/>
        </w:rPr>
        <w:t xml:space="preserve">, Director of TNE or Associate Director of TNE </w:t>
      </w:r>
      <w:r w:rsidR="00156025">
        <w:rPr>
          <w:rFonts w:ascii="Arial" w:hAnsi="Arial" w:cs="Arial"/>
          <w:sz w:val="22"/>
          <w:szCs w:val="22"/>
        </w:rPr>
        <w:t xml:space="preserve">for FIFO staff will provide formal input to relevant parts of the case.  </w:t>
      </w:r>
      <w:r w:rsidR="00C773E8">
        <w:rPr>
          <w:rFonts w:ascii="Arial" w:hAnsi="Arial" w:cs="Arial"/>
          <w:sz w:val="22"/>
          <w:szCs w:val="22"/>
        </w:rPr>
        <w:br/>
      </w:r>
      <w:r w:rsidR="00C773E8">
        <w:rPr>
          <w:rFonts w:ascii="Arial" w:hAnsi="Arial" w:cs="Arial"/>
          <w:sz w:val="22"/>
          <w:szCs w:val="22"/>
        </w:rPr>
        <w:br/>
      </w:r>
      <w:r w:rsidR="00C773E8" w:rsidRPr="00C773E8">
        <w:rPr>
          <w:rFonts w:ascii="Arial" w:hAnsi="Arial" w:cs="Arial"/>
          <w:b/>
          <w:bCs/>
          <w:sz w:val="22"/>
          <w:szCs w:val="22"/>
        </w:rPr>
        <w:t>Note</w:t>
      </w:r>
      <w:r w:rsidR="00C773E8">
        <w:rPr>
          <w:rFonts w:ascii="Arial" w:hAnsi="Arial" w:cs="Arial"/>
          <w:sz w:val="22"/>
          <w:szCs w:val="22"/>
        </w:rPr>
        <w:t xml:space="preserve">: </w:t>
      </w:r>
      <w:r w:rsidR="00C773E8" w:rsidRPr="00C773E8">
        <w:rPr>
          <w:rFonts w:ascii="Arial" w:hAnsi="Arial" w:cs="Arial"/>
          <w:sz w:val="22"/>
          <w:szCs w:val="22"/>
        </w:rPr>
        <w:t xml:space="preserve">For LTS staff, </w:t>
      </w:r>
      <w:r w:rsidR="00B71434">
        <w:rPr>
          <w:rFonts w:ascii="Arial" w:hAnsi="Arial" w:cs="Arial"/>
          <w:sz w:val="22"/>
          <w:szCs w:val="22"/>
        </w:rPr>
        <w:t>scholarship</w:t>
      </w:r>
      <w:r w:rsidR="00C773E8" w:rsidRPr="00C773E8">
        <w:rPr>
          <w:rFonts w:ascii="Arial" w:hAnsi="Arial" w:cs="Arial"/>
          <w:sz w:val="22"/>
          <w:szCs w:val="22"/>
        </w:rPr>
        <w:t xml:space="preserve"> and pedagogical research falls under teaching leadership and is therefore overseen by the </w:t>
      </w:r>
      <w:proofErr w:type="spellStart"/>
      <w:r w:rsidR="00C773E8" w:rsidRPr="00C773E8">
        <w:rPr>
          <w:rFonts w:ascii="Arial" w:hAnsi="Arial" w:cs="Arial"/>
          <w:sz w:val="22"/>
          <w:szCs w:val="22"/>
        </w:rPr>
        <w:t>HoTD</w:t>
      </w:r>
      <w:proofErr w:type="spellEnd"/>
      <w:r w:rsidR="00795CBE">
        <w:rPr>
          <w:rFonts w:ascii="Arial" w:hAnsi="Arial" w:cs="Arial"/>
          <w:sz w:val="22"/>
          <w:szCs w:val="22"/>
        </w:rPr>
        <w:t xml:space="preserve"> or Executive Dean (Academic)</w:t>
      </w:r>
      <w:r w:rsidR="004E3650">
        <w:rPr>
          <w:rFonts w:ascii="Arial" w:hAnsi="Arial" w:cs="Arial"/>
          <w:sz w:val="22"/>
          <w:szCs w:val="22"/>
        </w:rPr>
        <w:t>,</w:t>
      </w:r>
      <w:r w:rsidR="00795CBE">
        <w:rPr>
          <w:rFonts w:ascii="Arial" w:hAnsi="Arial" w:cs="Arial"/>
          <w:sz w:val="22"/>
          <w:szCs w:val="22"/>
        </w:rPr>
        <w:t xml:space="preserve"> Director of TNE or Associate Director of TNE, as assigned</w:t>
      </w:r>
      <w:r w:rsidR="00414275">
        <w:rPr>
          <w:rFonts w:ascii="Arial" w:hAnsi="Arial" w:cs="Arial"/>
          <w:sz w:val="22"/>
          <w:szCs w:val="22"/>
        </w:rPr>
        <w:t>.</w:t>
      </w:r>
    </w:p>
    <w:p w14:paraId="4401C45F" w14:textId="1E9D193B" w:rsidR="00BC4486" w:rsidRPr="00BC4486" w:rsidRDefault="00BC4486" w:rsidP="00EF532F">
      <w:pPr>
        <w:pStyle w:val="Heading3"/>
        <w:ind w:left="993" w:hanging="567"/>
      </w:pPr>
      <w:r w:rsidRPr="00BC4486">
        <w:t xml:space="preserve">3.2 </w:t>
      </w:r>
      <w:r w:rsidR="00EF532F">
        <w:tab/>
      </w:r>
      <w:r w:rsidRPr="00BC4486">
        <w:t xml:space="preserve">System </w:t>
      </w:r>
      <w:r w:rsidR="00EF532F">
        <w:t>v</w:t>
      </w:r>
      <w:r w:rsidRPr="00BC4486">
        <w:t>isibility</w:t>
      </w:r>
    </w:p>
    <w:p w14:paraId="12D745DC" w14:textId="0273B65C" w:rsidR="00BC4486" w:rsidRPr="00BC4486" w:rsidRDefault="00BC4486" w:rsidP="005A14C3">
      <w:pPr>
        <w:numPr>
          <w:ilvl w:val="0"/>
          <w:numId w:val="5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BC4486">
        <w:rPr>
          <w:rFonts w:ascii="Arial" w:hAnsi="Arial" w:cs="Arial"/>
          <w:sz w:val="22"/>
          <w:szCs w:val="22"/>
        </w:rPr>
        <w:t xml:space="preserve">Both solid-line managers will have </w:t>
      </w:r>
      <w:r w:rsidRPr="00BC4486">
        <w:rPr>
          <w:rFonts w:ascii="Arial" w:hAnsi="Arial" w:cs="Arial"/>
          <w:b/>
          <w:bCs/>
          <w:sz w:val="22"/>
          <w:szCs w:val="22"/>
        </w:rPr>
        <w:t>full</w:t>
      </w:r>
      <w:r w:rsidR="008C4711">
        <w:rPr>
          <w:rFonts w:ascii="Arial" w:hAnsi="Arial" w:cs="Arial"/>
          <w:b/>
          <w:bCs/>
          <w:sz w:val="22"/>
          <w:szCs w:val="22"/>
        </w:rPr>
        <w:t xml:space="preserve"> line management</w:t>
      </w:r>
      <w:r w:rsidRPr="00BC4486">
        <w:rPr>
          <w:rFonts w:ascii="Arial" w:hAnsi="Arial" w:cs="Arial"/>
          <w:b/>
          <w:bCs/>
          <w:sz w:val="22"/>
          <w:szCs w:val="22"/>
        </w:rPr>
        <w:t xml:space="preserve"> access to HR Core records</w:t>
      </w:r>
      <w:r w:rsidR="008C4711">
        <w:rPr>
          <w:rFonts w:ascii="Arial" w:hAnsi="Arial" w:cs="Arial"/>
          <w:b/>
          <w:bCs/>
          <w:sz w:val="22"/>
          <w:szCs w:val="22"/>
        </w:rPr>
        <w:t>.</w:t>
      </w:r>
    </w:p>
    <w:p w14:paraId="679FB820" w14:textId="1E33F8E7" w:rsidR="00BC4486" w:rsidRPr="00BC4486" w:rsidRDefault="00BC4486" w:rsidP="005A14C3">
      <w:pPr>
        <w:numPr>
          <w:ilvl w:val="0"/>
          <w:numId w:val="5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BC4486">
        <w:rPr>
          <w:rFonts w:ascii="Arial" w:hAnsi="Arial" w:cs="Arial"/>
          <w:sz w:val="22"/>
          <w:szCs w:val="22"/>
        </w:rPr>
        <w:t xml:space="preserve">Academics will </w:t>
      </w:r>
      <w:r w:rsidRPr="00BC4486">
        <w:rPr>
          <w:rFonts w:ascii="Arial" w:hAnsi="Arial" w:cs="Arial"/>
          <w:b/>
          <w:bCs/>
          <w:sz w:val="22"/>
          <w:szCs w:val="22"/>
        </w:rPr>
        <w:t>select the correct approver</w:t>
      </w:r>
      <w:r w:rsidRPr="00BC4486">
        <w:rPr>
          <w:rFonts w:ascii="Arial" w:hAnsi="Arial" w:cs="Arial"/>
          <w:sz w:val="22"/>
          <w:szCs w:val="22"/>
        </w:rPr>
        <w:t xml:space="preserve"> when submitting expenses</w:t>
      </w:r>
      <w:r w:rsidR="008C4711">
        <w:rPr>
          <w:rFonts w:ascii="Arial" w:hAnsi="Arial" w:cs="Arial"/>
          <w:sz w:val="22"/>
          <w:szCs w:val="22"/>
        </w:rPr>
        <w:t>.</w:t>
      </w:r>
    </w:p>
    <w:p w14:paraId="20C33332" w14:textId="3AE996AC" w:rsidR="00BC4486" w:rsidRPr="00BC4486" w:rsidRDefault="00CD1A02" w:rsidP="00BC448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6BCBA25D">
          <v:rect id="Horizontal Line 3" o:spid="_x0000_s1030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36F3FDC8" w14:textId="77777777" w:rsidR="00783880" w:rsidRDefault="0078388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7B8FBE08" w14:textId="2AE28767" w:rsidR="00BC4486" w:rsidRDefault="00BC4486" w:rsidP="00EF532F">
      <w:pPr>
        <w:pStyle w:val="Heading2"/>
        <w:ind w:left="426" w:hanging="426"/>
        <w:rPr>
          <w:b/>
          <w:bCs/>
        </w:rPr>
      </w:pPr>
      <w:r w:rsidRPr="00EF532F">
        <w:rPr>
          <w:b/>
          <w:bCs/>
        </w:rPr>
        <w:lastRenderedPageBreak/>
        <w:t xml:space="preserve">4. </w:t>
      </w:r>
      <w:r w:rsidR="00EF532F">
        <w:rPr>
          <w:b/>
          <w:bCs/>
        </w:rPr>
        <w:tab/>
      </w:r>
      <w:r w:rsidRPr="00EF532F">
        <w:rPr>
          <w:b/>
          <w:bCs/>
        </w:rPr>
        <w:t>Roles and Responsibilities</w:t>
      </w:r>
    </w:p>
    <w:p w14:paraId="03B050A2" w14:textId="163D2196" w:rsidR="00156025" w:rsidRDefault="003F5D60" w:rsidP="003F5D60">
      <w:pPr>
        <w:ind w:left="426"/>
        <w:rPr>
          <w:rFonts w:ascii="Arial" w:hAnsi="Arial" w:cs="Arial"/>
          <w:sz w:val="22"/>
          <w:szCs w:val="22"/>
        </w:rPr>
      </w:pPr>
      <w:r w:rsidRPr="003F5D60">
        <w:rPr>
          <w:rFonts w:ascii="Arial" w:hAnsi="Arial" w:cs="Arial"/>
          <w:sz w:val="22"/>
          <w:szCs w:val="22"/>
        </w:rPr>
        <w:t>The School’s dual solid</w:t>
      </w:r>
      <w:r w:rsidRPr="003F5D60">
        <w:rPr>
          <w:rFonts w:ascii="Arial" w:hAnsi="Arial" w:cs="Arial"/>
          <w:sz w:val="22"/>
          <w:szCs w:val="22"/>
        </w:rPr>
        <w:noBreakHyphen/>
        <w:t>line model ensures clear academic leadership across research and teaching</w:t>
      </w:r>
      <w:r w:rsidR="00156025">
        <w:rPr>
          <w:rFonts w:ascii="Arial" w:hAnsi="Arial" w:cs="Arial"/>
          <w:sz w:val="22"/>
          <w:szCs w:val="22"/>
        </w:rPr>
        <w:t xml:space="preserve">, shared between </w:t>
      </w:r>
      <w:r w:rsidRPr="003F5D60">
        <w:rPr>
          <w:rFonts w:ascii="Arial" w:hAnsi="Arial" w:cs="Arial"/>
          <w:sz w:val="22"/>
          <w:szCs w:val="22"/>
        </w:rPr>
        <w:t>Heads of Research Divisions (</w:t>
      </w:r>
      <w:proofErr w:type="spellStart"/>
      <w:r w:rsidRPr="003F5D60">
        <w:rPr>
          <w:rFonts w:ascii="Arial" w:hAnsi="Arial" w:cs="Arial"/>
          <w:sz w:val="22"/>
          <w:szCs w:val="22"/>
        </w:rPr>
        <w:t>HoRDs</w:t>
      </w:r>
      <w:proofErr w:type="spellEnd"/>
      <w:r w:rsidRPr="003F5D60">
        <w:rPr>
          <w:rFonts w:ascii="Arial" w:hAnsi="Arial" w:cs="Arial"/>
          <w:sz w:val="22"/>
          <w:szCs w:val="22"/>
        </w:rPr>
        <w:t>), Heads of Teaching Disciplines (</w:t>
      </w:r>
      <w:proofErr w:type="spellStart"/>
      <w:r w:rsidRPr="003F5D60">
        <w:rPr>
          <w:rFonts w:ascii="Arial" w:hAnsi="Arial" w:cs="Arial"/>
          <w:sz w:val="22"/>
          <w:szCs w:val="22"/>
        </w:rPr>
        <w:t>HoTDs</w:t>
      </w:r>
      <w:proofErr w:type="spellEnd"/>
      <w:r w:rsidRPr="003F5D60">
        <w:rPr>
          <w:rFonts w:ascii="Arial" w:hAnsi="Arial" w:cs="Arial"/>
          <w:sz w:val="22"/>
          <w:szCs w:val="22"/>
        </w:rPr>
        <w:t xml:space="preserve">), and, for </w:t>
      </w:r>
      <w:r w:rsidR="00396B3A">
        <w:rPr>
          <w:rFonts w:ascii="Arial" w:hAnsi="Arial" w:cs="Arial"/>
          <w:sz w:val="22"/>
          <w:szCs w:val="22"/>
        </w:rPr>
        <w:t>FIFO</w:t>
      </w:r>
      <w:r w:rsidRPr="003F5D60">
        <w:rPr>
          <w:rFonts w:ascii="Arial" w:hAnsi="Arial" w:cs="Arial"/>
          <w:sz w:val="22"/>
          <w:szCs w:val="22"/>
        </w:rPr>
        <w:t xml:space="preserve"> staff in China, the Executive Dean</w:t>
      </w:r>
      <w:r w:rsidR="008A475D">
        <w:rPr>
          <w:rFonts w:ascii="Arial" w:hAnsi="Arial" w:cs="Arial"/>
          <w:sz w:val="22"/>
          <w:szCs w:val="22"/>
        </w:rPr>
        <w:t xml:space="preserve"> (Academic), Director of TNE or Associate Director of TNE</w:t>
      </w:r>
      <w:r w:rsidRPr="003F5D60">
        <w:rPr>
          <w:rFonts w:ascii="Arial" w:hAnsi="Arial" w:cs="Arial"/>
          <w:sz w:val="22"/>
          <w:szCs w:val="22"/>
        </w:rPr>
        <w:t xml:space="preserve">. </w:t>
      </w:r>
    </w:p>
    <w:p w14:paraId="15525F69" w14:textId="1504C67F" w:rsidR="00396B3A" w:rsidRDefault="003F5D60" w:rsidP="003F5D60">
      <w:pPr>
        <w:ind w:left="426"/>
        <w:rPr>
          <w:rFonts w:ascii="Arial" w:hAnsi="Arial" w:cs="Arial"/>
          <w:sz w:val="22"/>
          <w:szCs w:val="22"/>
        </w:rPr>
      </w:pPr>
      <w:r w:rsidRPr="003F5D60">
        <w:rPr>
          <w:rFonts w:ascii="Arial" w:hAnsi="Arial" w:cs="Arial"/>
          <w:sz w:val="22"/>
          <w:szCs w:val="22"/>
        </w:rPr>
        <w:t>Each matter is directed to one responsible manager, based on job classification</w:t>
      </w:r>
      <w:r w:rsidR="00156025">
        <w:rPr>
          <w:rFonts w:ascii="Arial" w:hAnsi="Arial" w:cs="Arial"/>
          <w:sz w:val="22"/>
          <w:szCs w:val="22"/>
        </w:rPr>
        <w:t xml:space="preserve"> and whether the issue relates to research or teaching</w:t>
      </w:r>
      <w:r w:rsidR="00396B3A">
        <w:rPr>
          <w:rFonts w:ascii="Arial" w:hAnsi="Arial" w:cs="Arial"/>
          <w:sz w:val="22"/>
          <w:szCs w:val="22"/>
        </w:rPr>
        <w:t>.</w:t>
      </w:r>
    </w:p>
    <w:p w14:paraId="00FA0ACA" w14:textId="6B0B845C" w:rsidR="00156025" w:rsidRDefault="003F5D60" w:rsidP="003F5D60">
      <w:pPr>
        <w:ind w:left="426"/>
        <w:rPr>
          <w:rFonts w:ascii="Arial" w:hAnsi="Arial" w:cs="Arial"/>
          <w:sz w:val="22"/>
          <w:szCs w:val="22"/>
        </w:rPr>
      </w:pPr>
      <w:r w:rsidRPr="003F5D60">
        <w:rPr>
          <w:rFonts w:ascii="Arial" w:hAnsi="Arial" w:cs="Arial"/>
          <w:sz w:val="22"/>
          <w:szCs w:val="22"/>
        </w:rPr>
        <w:t>For personal</w:t>
      </w:r>
      <w:r w:rsidR="00047553">
        <w:rPr>
          <w:rFonts w:ascii="Arial" w:hAnsi="Arial" w:cs="Arial"/>
          <w:sz w:val="22"/>
          <w:szCs w:val="22"/>
        </w:rPr>
        <w:t xml:space="preserve">, </w:t>
      </w:r>
      <w:r w:rsidRPr="003F5D60">
        <w:rPr>
          <w:rFonts w:ascii="Arial" w:hAnsi="Arial" w:cs="Arial"/>
          <w:sz w:val="22"/>
          <w:szCs w:val="22"/>
        </w:rPr>
        <w:t xml:space="preserve">sensitive </w:t>
      </w:r>
      <w:r w:rsidR="00047553">
        <w:rPr>
          <w:rFonts w:ascii="Arial" w:hAnsi="Arial" w:cs="Arial"/>
          <w:sz w:val="22"/>
          <w:szCs w:val="22"/>
        </w:rPr>
        <w:t xml:space="preserve">or day-to-day </w:t>
      </w:r>
      <w:r w:rsidRPr="003F5D60">
        <w:rPr>
          <w:rFonts w:ascii="Arial" w:hAnsi="Arial" w:cs="Arial"/>
          <w:sz w:val="22"/>
          <w:szCs w:val="22"/>
        </w:rPr>
        <w:t xml:space="preserve">matters, staff should approach the manager most relevant to their role type: </w:t>
      </w:r>
    </w:p>
    <w:p w14:paraId="669E4D9A" w14:textId="71DE43B8" w:rsidR="00156025" w:rsidRPr="00156025" w:rsidRDefault="00156025" w:rsidP="005A14C3">
      <w:pPr>
        <w:pStyle w:val="ListParagraph"/>
        <w:numPr>
          <w:ilvl w:val="0"/>
          <w:numId w:val="5"/>
        </w:numPr>
        <w:tabs>
          <w:tab w:val="clear" w:pos="720"/>
          <w:tab w:val="num" w:pos="993"/>
        </w:tabs>
        <w:ind w:left="993" w:hanging="284"/>
        <w:rPr>
          <w:rFonts w:ascii="Arial" w:hAnsi="Arial" w:cs="Arial"/>
          <w:sz w:val="22"/>
          <w:szCs w:val="22"/>
        </w:rPr>
      </w:pPr>
      <w:r w:rsidRPr="00156025">
        <w:rPr>
          <w:rFonts w:ascii="Arial" w:hAnsi="Arial" w:cs="Arial"/>
          <w:b/>
          <w:bCs/>
          <w:sz w:val="22"/>
          <w:szCs w:val="22"/>
        </w:rPr>
        <w:t xml:space="preserve">R&amp;T staff → </w:t>
      </w:r>
      <w:proofErr w:type="spellStart"/>
      <w:r w:rsidRPr="00156025">
        <w:rPr>
          <w:rFonts w:ascii="Arial" w:hAnsi="Arial" w:cs="Arial"/>
          <w:b/>
          <w:bCs/>
          <w:sz w:val="22"/>
          <w:szCs w:val="22"/>
        </w:rPr>
        <w:t>HoRD</w:t>
      </w:r>
      <w:proofErr w:type="spellEnd"/>
      <w:r w:rsidRPr="00156025">
        <w:rPr>
          <w:rFonts w:ascii="Arial" w:hAnsi="Arial" w:cs="Arial"/>
          <w:sz w:val="22"/>
          <w:szCs w:val="22"/>
        </w:rPr>
        <w:t xml:space="preserve"> </w:t>
      </w:r>
    </w:p>
    <w:p w14:paraId="6213EA4E" w14:textId="228E0724" w:rsidR="00156025" w:rsidRPr="00156025" w:rsidRDefault="00156025" w:rsidP="005A14C3">
      <w:pPr>
        <w:pStyle w:val="ListParagraph"/>
        <w:numPr>
          <w:ilvl w:val="0"/>
          <w:numId w:val="5"/>
        </w:numPr>
        <w:tabs>
          <w:tab w:val="clear" w:pos="720"/>
          <w:tab w:val="num" w:pos="993"/>
        </w:tabs>
        <w:ind w:left="993" w:hanging="284"/>
        <w:rPr>
          <w:rFonts w:ascii="Arial" w:hAnsi="Arial" w:cs="Arial"/>
          <w:sz w:val="22"/>
          <w:szCs w:val="22"/>
        </w:rPr>
      </w:pPr>
      <w:r w:rsidRPr="00156025">
        <w:rPr>
          <w:rFonts w:ascii="Arial" w:hAnsi="Arial" w:cs="Arial"/>
          <w:b/>
          <w:bCs/>
          <w:sz w:val="22"/>
          <w:szCs w:val="22"/>
        </w:rPr>
        <w:t xml:space="preserve">LTS staff → </w:t>
      </w:r>
      <w:proofErr w:type="spellStart"/>
      <w:r w:rsidRPr="00156025"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Pr="00156025">
        <w:rPr>
          <w:rFonts w:ascii="Arial" w:hAnsi="Arial" w:cs="Arial"/>
          <w:sz w:val="22"/>
          <w:szCs w:val="22"/>
        </w:rPr>
        <w:t xml:space="preserve"> </w:t>
      </w:r>
    </w:p>
    <w:p w14:paraId="3110989D" w14:textId="117C7BEA" w:rsidR="00156025" w:rsidRPr="00156025" w:rsidRDefault="00156025" w:rsidP="005A14C3">
      <w:pPr>
        <w:pStyle w:val="ListParagraph"/>
        <w:numPr>
          <w:ilvl w:val="0"/>
          <w:numId w:val="21"/>
        </w:numPr>
        <w:tabs>
          <w:tab w:val="clear" w:pos="720"/>
          <w:tab w:val="num" w:pos="993"/>
        </w:tabs>
        <w:ind w:left="993" w:hanging="284"/>
        <w:rPr>
          <w:rFonts w:ascii="Arial" w:hAnsi="Arial" w:cs="Arial"/>
          <w:sz w:val="22"/>
          <w:szCs w:val="22"/>
        </w:rPr>
      </w:pPr>
      <w:r w:rsidRPr="00156025">
        <w:rPr>
          <w:rFonts w:ascii="Arial" w:hAnsi="Arial" w:cs="Arial"/>
          <w:b/>
          <w:bCs/>
          <w:sz w:val="22"/>
          <w:szCs w:val="22"/>
        </w:rPr>
        <w:t>FIFO staff → Executive Dean</w:t>
      </w:r>
      <w:r w:rsidR="008A475D">
        <w:rPr>
          <w:rFonts w:ascii="Arial" w:hAnsi="Arial" w:cs="Arial"/>
          <w:b/>
          <w:bCs/>
          <w:sz w:val="22"/>
          <w:szCs w:val="22"/>
        </w:rPr>
        <w:t xml:space="preserve"> (Academic), Director of TNE, </w:t>
      </w:r>
      <w:r w:rsidR="008A475D" w:rsidRPr="001E3015">
        <w:rPr>
          <w:rFonts w:ascii="Arial" w:hAnsi="Arial" w:cs="Arial"/>
          <w:sz w:val="22"/>
          <w:szCs w:val="22"/>
        </w:rPr>
        <w:t>or</w:t>
      </w:r>
      <w:r w:rsidR="008A475D">
        <w:rPr>
          <w:rFonts w:ascii="Arial" w:hAnsi="Arial" w:cs="Arial"/>
          <w:b/>
          <w:bCs/>
          <w:sz w:val="22"/>
          <w:szCs w:val="22"/>
        </w:rPr>
        <w:t xml:space="preserve"> Associate Director of TNE</w:t>
      </w:r>
      <w:r w:rsidRPr="00156025">
        <w:rPr>
          <w:rFonts w:ascii="Arial" w:hAnsi="Arial" w:cs="Arial"/>
          <w:sz w:val="22"/>
          <w:szCs w:val="22"/>
        </w:rPr>
        <w:t xml:space="preserve"> (or </w:t>
      </w:r>
      <w:proofErr w:type="spellStart"/>
      <w:r w:rsidRPr="00156025">
        <w:rPr>
          <w:rFonts w:ascii="Arial" w:hAnsi="Arial" w:cs="Arial"/>
          <w:b/>
          <w:bCs/>
          <w:sz w:val="22"/>
          <w:szCs w:val="22"/>
        </w:rPr>
        <w:t>HoRD</w:t>
      </w:r>
      <w:proofErr w:type="spellEnd"/>
      <w:r w:rsidRPr="00156025">
        <w:rPr>
          <w:rFonts w:ascii="Arial" w:hAnsi="Arial" w:cs="Arial"/>
          <w:sz w:val="22"/>
          <w:szCs w:val="22"/>
        </w:rPr>
        <w:t xml:space="preserve"> if the matter specifically concerns their research role)</w:t>
      </w:r>
    </w:p>
    <w:p w14:paraId="518F3BA8" w14:textId="4DE1030B" w:rsidR="003F5D60" w:rsidRPr="00047553" w:rsidRDefault="00047553" w:rsidP="008804DF">
      <w:pPr>
        <w:tabs>
          <w:tab w:val="left" w:pos="426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047553">
        <w:rPr>
          <w:rFonts w:ascii="Arial" w:hAnsi="Arial" w:cs="Arial"/>
          <w:sz w:val="22"/>
          <w:szCs w:val="22"/>
        </w:rPr>
        <w:t>This ensures a single, clear point of contact</w:t>
      </w:r>
      <w:r w:rsidR="00A03AB3">
        <w:rPr>
          <w:rFonts w:ascii="Arial" w:hAnsi="Arial" w:cs="Arial"/>
          <w:sz w:val="22"/>
          <w:szCs w:val="22"/>
        </w:rPr>
        <w:t xml:space="preserve"> for staff.  </w:t>
      </w:r>
      <w:r w:rsidR="00A03AB3" w:rsidRPr="00A03AB3">
        <w:rPr>
          <w:rFonts w:ascii="Arial" w:hAnsi="Arial" w:cs="Arial"/>
          <w:sz w:val="22"/>
          <w:szCs w:val="22"/>
        </w:rPr>
        <w:t xml:space="preserve">Where a matter requires input from both research and teaching leadership—for example, issues affecting workload, </w:t>
      </w:r>
      <w:r w:rsidR="000A1147">
        <w:rPr>
          <w:rFonts w:ascii="Arial" w:hAnsi="Arial" w:cs="Arial"/>
          <w:sz w:val="22"/>
          <w:szCs w:val="22"/>
        </w:rPr>
        <w:t xml:space="preserve">unplanned </w:t>
      </w:r>
      <w:r w:rsidR="00A03AB3" w:rsidRPr="00A03AB3">
        <w:rPr>
          <w:rFonts w:ascii="Arial" w:hAnsi="Arial" w:cs="Arial"/>
          <w:sz w:val="22"/>
          <w:szCs w:val="22"/>
        </w:rPr>
        <w:t>leave, or academic progression—it is the responsibility of the manager first contacted to liaise with the other, ensuring coordinated and consistent support.</w:t>
      </w:r>
      <w:r w:rsidR="00BE2474" w:rsidRPr="00345B90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547A33F0" w14:textId="6C584D97" w:rsidR="00BC4486" w:rsidRPr="00BC4486" w:rsidRDefault="00BC4486" w:rsidP="00DE2B6E">
      <w:pPr>
        <w:pStyle w:val="Heading3"/>
        <w:ind w:left="993" w:hanging="567"/>
      </w:pPr>
      <w:r w:rsidRPr="00BC4486">
        <w:t xml:space="preserve">4.1 </w:t>
      </w:r>
      <w:r w:rsidR="00DE2B6E">
        <w:tab/>
      </w:r>
      <w:r w:rsidR="00D33A9F">
        <w:t>Line management r</w:t>
      </w:r>
      <w:r w:rsidRPr="00BC4486">
        <w:t xml:space="preserve">esponsibilities </w:t>
      </w:r>
      <w:r w:rsidR="00D33A9F">
        <w:t xml:space="preserve"> </w:t>
      </w:r>
    </w:p>
    <w:p w14:paraId="0E947183" w14:textId="1F9CF41B" w:rsidR="000222EF" w:rsidRPr="00047553" w:rsidRDefault="00047553" w:rsidP="00156025">
      <w:pPr>
        <w:tabs>
          <w:tab w:val="left" w:pos="426"/>
        </w:tabs>
        <w:ind w:left="993"/>
        <w:rPr>
          <w:rFonts w:ascii="Arial" w:hAnsi="Arial" w:cs="Arial"/>
          <w:sz w:val="22"/>
          <w:szCs w:val="22"/>
        </w:rPr>
      </w:pPr>
      <w:r w:rsidRPr="00047553">
        <w:rPr>
          <w:rFonts w:ascii="Arial" w:hAnsi="Arial" w:cs="Arial"/>
          <w:sz w:val="22"/>
          <w:szCs w:val="22"/>
        </w:rPr>
        <w:t xml:space="preserve">Staff should normally contact the </w:t>
      </w:r>
      <w:r w:rsidRPr="00047553">
        <w:rPr>
          <w:rFonts w:ascii="Arial" w:hAnsi="Arial" w:cs="Arial"/>
          <w:b/>
          <w:bCs/>
          <w:sz w:val="22"/>
          <w:szCs w:val="22"/>
        </w:rPr>
        <w:t>responsible manager</w:t>
      </w:r>
      <w:r w:rsidRPr="00047553">
        <w:rPr>
          <w:rFonts w:ascii="Arial" w:hAnsi="Arial" w:cs="Arial"/>
          <w:sz w:val="22"/>
          <w:szCs w:val="22"/>
        </w:rPr>
        <w:t xml:space="preserve"> following the routing set in Section 3.1  </w:t>
      </w:r>
    </w:p>
    <w:p w14:paraId="403E178C" w14:textId="472CC015" w:rsidR="000222EF" w:rsidRPr="000222EF" w:rsidRDefault="000222EF" w:rsidP="000222EF">
      <w:pPr>
        <w:pStyle w:val="Heading3"/>
        <w:ind w:left="993" w:hanging="567"/>
      </w:pPr>
      <w:r w:rsidRPr="000222EF">
        <w:t xml:space="preserve">4.2 </w:t>
      </w:r>
      <w:r>
        <w:tab/>
      </w:r>
      <w:r w:rsidRPr="000222EF">
        <w:t xml:space="preserve">Performance, </w:t>
      </w:r>
      <w:r>
        <w:t>d</w:t>
      </w:r>
      <w:r w:rsidRPr="000222EF">
        <w:t xml:space="preserve">evelopment and </w:t>
      </w:r>
      <w:r>
        <w:t>w</w:t>
      </w:r>
      <w:r w:rsidRPr="000222EF">
        <w:t>ellbeing</w:t>
      </w:r>
    </w:p>
    <w:p w14:paraId="7D230F32" w14:textId="1A86B46A" w:rsidR="00361FA4" w:rsidRPr="00361FA4" w:rsidRDefault="00361FA4" w:rsidP="00361FA4">
      <w:pPr>
        <w:spacing w:after="0" w:line="300" w:lineRule="atLeast"/>
        <w:ind w:left="993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61FA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Line managers are responsible for supporting performance and development across research and teaching, in line with staff job classification. Responsibilities include: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</w:p>
    <w:p w14:paraId="2C36A4A9" w14:textId="45CF39AF" w:rsidR="003F5D60" w:rsidRDefault="00047553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222EF" w:rsidRPr="000222EF">
        <w:rPr>
          <w:rFonts w:ascii="Arial" w:hAnsi="Arial" w:cs="Arial"/>
          <w:sz w:val="22"/>
          <w:szCs w:val="22"/>
        </w:rPr>
        <w:t>roviding</w:t>
      </w:r>
      <w:r w:rsidR="00361FA4">
        <w:rPr>
          <w:rFonts w:ascii="Arial" w:hAnsi="Arial" w:cs="Arial"/>
          <w:sz w:val="22"/>
          <w:szCs w:val="22"/>
        </w:rPr>
        <w:t xml:space="preserve"> </w:t>
      </w:r>
      <w:r w:rsidR="00EF7E57">
        <w:rPr>
          <w:rFonts w:ascii="Arial" w:hAnsi="Arial" w:cs="Arial"/>
          <w:sz w:val="22"/>
          <w:szCs w:val="22"/>
        </w:rPr>
        <w:t>direction</w:t>
      </w:r>
      <w:r w:rsidR="00361FA4">
        <w:rPr>
          <w:rFonts w:ascii="Arial" w:hAnsi="Arial" w:cs="Arial"/>
          <w:sz w:val="22"/>
          <w:szCs w:val="22"/>
        </w:rPr>
        <w:t>, career development guidance, and active support for staff</w:t>
      </w:r>
      <w:r w:rsidR="003F5D60">
        <w:rPr>
          <w:rFonts w:ascii="Arial" w:hAnsi="Arial" w:cs="Arial"/>
          <w:sz w:val="22"/>
          <w:szCs w:val="22"/>
        </w:rPr>
        <w:t xml:space="preserve"> seeking progression or promotion;</w:t>
      </w:r>
    </w:p>
    <w:p w14:paraId="6A96AF5D" w14:textId="23C1C0DB" w:rsidR="000222EF" w:rsidRPr="000222EF" w:rsidRDefault="003F5D6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offering</w:t>
      </w:r>
      <w:r w:rsidR="000222EF" w:rsidRPr="000222EF">
        <w:rPr>
          <w:rFonts w:ascii="Arial" w:hAnsi="Arial" w:cs="Arial"/>
          <w:sz w:val="22"/>
          <w:szCs w:val="22"/>
        </w:rPr>
        <w:t xml:space="preserve"> informal feedback</w:t>
      </w:r>
      <w:r>
        <w:rPr>
          <w:rFonts w:ascii="Arial" w:hAnsi="Arial" w:cs="Arial"/>
          <w:sz w:val="22"/>
          <w:szCs w:val="22"/>
        </w:rPr>
        <w:t>,</w:t>
      </w:r>
      <w:r w:rsidR="000222EF" w:rsidRPr="000222EF">
        <w:rPr>
          <w:rFonts w:ascii="Arial" w:hAnsi="Arial" w:cs="Arial"/>
          <w:sz w:val="22"/>
          <w:szCs w:val="22"/>
        </w:rPr>
        <w:t xml:space="preserve"> early intervention</w:t>
      </w:r>
      <w:r>
        <w:rPr>
          <w:rFonts w:ascii="Arial" w:hAnsi="Arial" w:cs="Arial"/>
          <w:sz w:val="22"/>
          <w:szCs w:val="22"/>
        </w:rPr>
        <w:t xml:space="preserve"> and proportionate support where concerns arise;</w:t>
      </w:r>
    </w:p>
    <w:p w14:paraId="31D2756D" w14:textId="20E80589" w:rsidR="000222EF" w:rsidRPr="000222EF" w:rsidRDefault="003F5D6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proactively identifying underperformance, wellbeing concerns, or support needs, and taking timely action using informal and, where necessary, formal HR processes;</w:t>
      </w:r>
    </w:p>
    <w:p w14:paraId="71EFACFD" w14:textId="62473AF1" w:rsidR="000222EF" w:rsidRPr="000222EF" w:rsidRDefault="003F5D6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222EF" w:rsidRPr="000222EF">
        <w:rPr>
          <w:rFonts w:ascii="Arial" w:hAnsi="Arial" w:cs="Arial"/>
          <w:sz w:val="22"/>
          <w:szCs w:val="22"/>
        </w:rPr>
        <w:t xml:space="preserve">ontributing to PDR </w:t>
      </w:r>
      <w:r>
        <w:rPr>
          <w:rFonts w:ascii="Arial" w:hAnsi="Arial" w:cs="Arial"/>
          <w:sz w:val="22"/>
          <w:szCs w:val="22"/>
        </w:rPr>
        <w:t>planning through</w:t>
      </w:r>
      <w:r w:rsidR="000222EF" w:rsidRPr="000222EF">
        <w:rPr>
          <w:rFonts w:ascii="Arial" w:hAnsi="Arial" w:cs="Arial"/>
          <w:sz w:val="22"/>
          <w:szCs w:val="22"/>
        </w:rPr>
        <w:t xml:space="preserve"> the </w:t>
      </w:r>
      <w:r w:rsidR="002C6D1A">
        <w:rPr>
          <w:rFonts w:ascii="Arial" w:hAnsi="Arial" w:cs="Arial"/>
          <w:sz w:val="22"/>
          <w:szCs w:val="22"/>
        </w:rPr>
        <w:t>reviewer allocation</w:t>
      </w:r>
      <w:r w:rsidR="000222EF" w:rsidRPr="000222EF">
        <w:rPr>
          <w:rFonts w:ascii="Arial" w:hAnsi="Arial" w:cs="Arial"/>
          <w:sz w:val="22"/>
          <w:szCs w:val="22"/>
        </w:rPr>
        <w:t xml:space="preserve"> process</w:t>
      </w:r>
      <w:r>
        <w:rPr>
          <w:rFonts w:ascii="Arial" w:hAnsi="Arial" w:cs="Arial"/>
          <w:sz w:val="22"/>
          <w:szCs w:val="22"/>
        </w:rPr>
        <w:t>;</w:t>
      </w:r>
    </w:p>
    <w:p w14:paraId="69D5449A" w14:textId="77777777" w:rsidR="00077D40" w:rsidRDefault="003F5D6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222EF" w:rsidRPr="000222EF">
        <w:rPr>
          <w:rFonts w:ascii="Arial" w:hAnsi="Arial" w:cs="Arial"/>
          <w:sz w:val="22"/>
          <w:szCs w:val="22"/>
        </w:rPr>
        <w:t xml:space="preserve">nsuring </w:t>
      </w:r>
      <w:r>
        <w:rPr>
          <w:rFonts w:ascii="Arial" w:hAnsi="Arial" w:cs="Arial"/>
          <w:sz w:val="22"/>
          <w:szCs w:val="22"/>
        </w:rPr>
        <w:t>wellbeing and sensitive matters are addresse</w:t>
      </w:r>
      <w:r w:rsidR="00396B3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appropriately and in coordination with HR where relevant</w:t>
      </w:r>
      <w:r w:rsidR="00077D40">
        <w:rPr>
          <w:rFonts w:ascii="Arial" w:hAnsi="Arial" w:cs="Arial"/>
          <w:sz w:val="22"/>
          <w:szCs w:val="22"/>
        </w:rPr>
        <w:t>;</w:t>
      </w:r>
    </w:p>
    <w:p w14:paraId="258E507D" w14:textId="77777777" w:rsidR="00077D40" w:rsidRDefault="00077D4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</w:t>
      </w:r>
      <w:r w:rsidRPr="00077D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mbedding and championing Equity, Diversity and Inclusion (EDI) in all aspects of line management, ensuring fair and transparent decisions and actively addressing barriers to equity and inclusion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;</w:t>
      </w:r>
    </w:p>
    <w:p w14:paraId="4E7C24E7" w14:textId="362D599D" w:rsidR="00077D40" w:rsidRPr="00077D40" w:rsidRDefault="00077D4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77D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overseeing compliance with institutional policies, including health and safety good practice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r w:rsidRPr="00077D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research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integrity;</w:t>
      </w:r>
    </w:p>
    <w:p w14:paraId="12CC5050" w14:textId="6094AB5D" w:rsidR="000222EF" w:rsidRPr="000222EF" w:rsidRDefault="00077D40" w:rsidP="005A14C3">
      <w:pPr>
        <w:numPr>
          <w:ilvl w:val="0"/>
          <w:numId w:val="10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</w:t>
      </w:r>
      <w:r w:rsidRPr="00077D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romoting a positive, supportive and accountable workplace culture that reflects and advances the University’s values.</w:t>
      </w:r>
      <w:r w:rsidR="003F5D60" w:rsidRPr="00077D40">
        <w:rPr>
          <w:rFonts w:ascii="Arial" w:hAnsi="Arial" w:cs="Arial"/>
          <w:sz w:val="22"/>
          <w:szCs w:val="22"/>
        </w:rPr>
        <w:br/>
      </w:r>
    </w:p>
    <w:p w14:paraId="4331BDD7" w14:textId="002250BB" w:rsidR="000222EF" w:rsidRPr="000222EF" w:rsidRDefault="00273FAB" w:rsidP="000222EF">
      <w:pPr>
        <w:tabs>
          <w:tab w:val="left" w:pos="426"/>
        </w:tabs>
        <w:ind w:left="993" w:hanging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222EF">
        <w:rPr>
          <w:rFonts w:ascii="Arial" w:hAnsi="Arial" w:cs="Arial"/>
          <w:b/>
          <w:bCs/>
          <w:sz w:val="22"/>
          <w:szCs w:val="22"/>
        </w:rPr>
        <w:tab/>
      </w:r>
      <w:r w:rsidR="000222EF" w:rsidRPr="000222EF">
        <w:rPr>
          <w:rFonts w:ascii="Arial" w:hAnsi="Arial" w:cs="Arial"/>
          <w:b/>
          <w:bCs/>
          <w:sz w:val="22"/>
          <w:szCs w:val="22"/>
        </w:rPr>
        <w:t>PDR inputs:</w:t>
      </w:r>
    </w:p>
    <w:p w14:paraId="664CC475" w14:textId="77777777" w:rsidR="000222EF" w:rsidRPr="000222EF" w:rsidRDefault="000222EF" w:rsidP="005A14C3">
      <w:pPr>
        <w:numPr>
          <w:ilvl w:val="0"/>
          <w:numId w:val="11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222EF">
        <w:rPr>
          <w:rFonts w:ascii="Arial" w:hAnsi="Arial" w:cs="Arial"/>
          <w:sz w:val="22"/>
          <w:szCs w:val="22"/>
        </w:rPr>
        <w:t xml:space="preserve">Research input → </w:t>
      </w:r>
      <w:proofErr w:type="spellStart"/>
      <w:r w:rsidRPr="000222EF">
        <w:rPr>
          <w:rFonts w:ascii="Arial" w:hAnsi="Arial" w:cs="Arial"/>
          <w:sz w:val="22"/>
          <w:szCs w:val="22"/>
        </w:rPr>
        <w:t>HoRD</w:t>
      </w:r>
      <w:proofErr w:type="spellEnd"/>
    </w:p>
    <w:p w14:paraId="2A19B72A" w14:textId="5ACB3267" w:rsidR="000222EF" w:rsidRPr="000222EF" w:rsidRDefault="000222EF" w:rsidP="005A14C3">
      <w:pPr>
        <w:numPr>
          <w:ilvl w:val="0"/>
          <w:numId w:val="11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222EF">
        <w:rPr>
          <w:rFonts w:ascii="Arial" w:hAnsi="Arial" w:cs="Arial"/>
          <w:sz w:val="22"/>
          <w:szCs w:val="22"/>
        </w:rPr>
        <w:t xml:space="preserve">Teaching input → </w:t>
      </w:r>
      <w:proofErr w:type="spellStart"/>
      <w:r w:rsidRPr="000222EF">
        <w:rPr>
          <w:rFonts w:ascii="Arial" w:hAnsi="Arial" w:cs="Arial"/>
          <w:sz w:val="22"/>
          <w:szCs w:val="22"/>
        </w:rPr>
        <w:t>HoTD</w:t>
      </w:r>
      <w:proofErr w:type="spellEnd"/>
      <w:r w:rsidRPr="000222EF">
        <w:rPr>
          <w:rFonts w:ascii="Arial" w:hAnsi="Arial" w:cs="Arial"/>
          <w:sz w:val="22"/>
          <w:szCs w:val="22"/>
        </w:rPr>
        <w:t xml:space="preserve"> (or Executive Dean</w:t>
      </w:r>
      <w:r w:rsidR="00273FAB">
        <w:rPr>
          <w:rFonts w:ascii="Arial" w:hAnsi="Arial" w:cs="Arial"/>
          <w:sz w:val="22"/>
          <w:szCs w:val="22"/>
        </w:rPr>
        <w:t xml:space="preserve"> (Academic), Director of TNE or Associate Director of TNE</w:t>
      </w:r>
      <w:r w:rsidRPr="000222EF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FIFO</w:t>
      </w:r>
      <w:r w:rsidRPr="000222EF">
        <w:rPr>
          <w:rFonts w:ascii="Arial" w:hAnsi="Arial" w:cs="Arial"/>
          <w:sz w:val="22"/>
          <w:szCs w:val="22"/>
        </w:rPr>
        <w:t xml:space="preserve"> staff)</w:t>
      </w:r>
    </w:p>
    <w:p w14:paraId="379486FF" w14:textId="7A5F4132" w:rsidR="000222EF" w:rsidRPr="000222EF" w:rsidRDefault="00E924FD" w:rsidP="005A14C3">
      <w:pPr>
        <w:numPr>
          <w:ilvl w:val="0"/>
          <w:numId w:val="11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Reviewer</w:t>
      </w:r>
      <w:r w:rsidR="000222EF" w:rsidRPr="000222EF">
        <w:rPr>
          <w:rFonts w:ascii="Arial" w:hAnsi="Arial" w:cs="Arial"/>
          <w:sz w:val="22"/>
          <w:szCs w:val="22"/>
        </w:rPr>
        <w:t xml:space="preserve"> may differ, but accountability remains with the solid</w:t>
      </w:r>
      <w:r w:rsidR="000222EF" w:rsidRPr="000222EF">
        <w:rPr>
          <w:rFonts w:ascii="Arial" w:hAnsi="Arial" w:cs="Arial"/>
          <w:sz w:val="22"/>
          <w:szCs w:val="22"/>
        </w:rPr>
        <w:noBreakHyphen/>
        <w:t>line managers</w:t>
      </w:r>
    </w:p>
    <w:p w14:paraId="553B2421" w14:textId="64DD4EFE" w:rsidR="000222EF" w:rsidRPr="000222EF" w:rsidRDefault="000222EF" w:rsidP="000222EF">
      <w:pPr>
        <w:pStyle w:val="Heading3"/>
        <w:ind w:left="993" w:hanging="567"/>
      </w:pPr>
      <w:r w:rsidRPr="000222EF">
        <w:t xml:space="preserve">4.3 </w:t>
      </w:r>
      <w:r>
        <w:tab/>
        <w:t>Work allocation</w:t>
      </w:r>
    </w:p>
    <w:p w14:paraId="77BCE410" w14:textId="0D19925B" w:rsidR="000222EF" w:rsidRPr="000222EF" w:rsidRDefault="000222EF" w:rsidP="000222EF">
      <w:pPr>
        <w:tabs>
          <w:tab w:val="left" w:pos="426"/>
        </w:tabs>
        <w:ind w:left="993"/>
        <w:rPr>
          <w:rFonts w:ascii="Arial" w:hAnsi="Arial" w:cs="Arial"/>
          <w:sz w:val="22"/>
          <w:szCs w:val="22"/>
        </w:rPr>
      </w:pPr>
      <w:r w:rsidRPr="000222EF">
        <w:rPr>
          <w:rFonts w:ascii="Arial" w:hAnsi="Arial" w:cs="Arial"/>
          <w:sz w:val="22"/>
          <w:szCs w:val="22"/>
        </w:rPr>
        <w:t>Teaching work allocation is planned and allocated through the teaching leadership structure:</w:t>
      </w:r>
    </w:p>
    <w:p w14:paraId="4D441393" w14:textId="6010D909" w:rsidR="000222EF" w:rsidRPr="000222EF" w:rsidRDefault="000222EF" w:rsidP="005A14C3">
      <w:pPr>
        <w:numPr>
          <w:ilvl w:val="0"/>
          <w:numId w:val="12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222EF">
        <w:rPr>
          <w:rFonts w:ascii="Arial" w:hAnsi="Arial" w:cs="Arial"/>
          <w:sz w:val="22"/>
          <w:szCs w:val="22"/>
        </w:rPr>
        <w:t xml:space="preserve">Typical staff → </w:t>
      </w:r>
      <w:r w:rsidR="00E924FD">
        <w:rPr>
          <w:rFonts w:ascii="Arial" w:hAnsi="Arial" w:cs="Arial"/>
          <w:sz w:val="22"/>
          <w:szCs w:val="22"/>
        </w:rPr>
        <w:t>t</w:t>
      </w:r>
      <w:r w:rsidRPr="000222EF">
        <w:rPr>
          <w:rFonts w:ascii="Arial" w:hAnsi="Arial" w:cs="Arial"/>
          <w:sz w:val="22"/>
          <w:szCs w:val="22"/>
        </w:rPr>
        <w:t xml:space="preserve">eaching allocation coordinated and confirmed by the </w:t>
      </w:r>
      <w:proofErr w:type="spellStart"/>
      <w:r w:rsidRPr="000222EF">
        <w:rPr>
          <w:rFonts w:ascii="Arial" w:hAnsi="Arial" w:cs="Arial"/>
          <w:sz w:val="22"/>
          <w:szCs w:val="22"/>
        </w:rPr>
        <w:t>HoTD</w:t>
      </w:r>
      <w:proofErr w:type="spellEnd"/>
    </w:p>
    <w:p w14:paraId="47AFD38E" w14:textId="3EFEF8C1" w:rsidR="000222EF" w:rsidRPr="000222EF" w:rsidRDefault="00106A57" w:rsidP="005A14C3">
      <w:pPr>
        <w:numPr>
          <w:ilvl w:val="0"/>
          <w:numId w:val="12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FIFO</w:t>
      </w:r>
      <w:r w:rsidR="000222EF" w:rsidRPr="000222EF">
        <w:rPr>
          <w:rFonts w:ascii="Arial" w:hAnsi="Arial" w:cs="Arial"/>
          <w:sz w:val="22"/>
          <w:szCs w:val="22"/>
        </w:rPr>
        <w:t xml:space="preserve"> staff → </w:t>
      </w:r>
      <w:r w:rsidR="00E924FD">
        <w:rPr>
          <w:rFonts w:ascii="Arial" w:hAnsi="Arial" w:cs="Arial"/>
          <w:sz w:val="22"/>
          <w:szCs w:val="22"/>
        </w:rPr>
        <w:t>t</w:t>
      </w:r>
      <w:r w:rsidR="000222EF" w:rsidRPr="000222EF">
        <w:rPr>
          <w:rFonts w:ascii="Arial" w:hAnsi="Arial" w:cs="Arial"/>
          <w:sz w:val="22"/>
          <w:szCs w:val="22"/>
        </w:rPr>
        <w:t>eaching allocation coordinated and confirmed by the Executive Dean</w:t>
      </w:r>
      <w:r w:rsidR="00273FAB">
        <w:rPr>
          <w:rFonts w:ascii="Arial" w:hAnsi="Arial" w:cs="Arial"/>
          <w:sz w:val="22"/>
          <w:szCs w:val="22"/>
        </w:rPr>
        <w:t xml:space="preserve"> (Academic)</w:t>
      </w:r>
      <w:r>
        <w:rPr>
          <w:rFonts w:ascii="Arial" w:hAnsi="Arial" w:cs="Arial"/>
          <w:sz w:val="22"/>
          <w:szCs w:val="22"/>
        </w:rPr>
        <w:t>.</w:t>
      </w:r>
    </w:p>
    <w:p w14:paraId="08290D5E" w14:textId="5C8A5970" w:rsidR="000222EF" w:rsidRPr="000222EF" w:rsidRDefault="000222EF" w:rsidP="00106A57">
      <w:pPr>
        <w:tabs>
          <w:tab w:val="left" w:pos="426"/>
        </w:tabs>
        <w:ind w:left="993"/>
        <w:rPr>
          <w:rFonts w:ascii="Arial" w:hAnsi="Arial" w:cs="Arial"/>
          <w:sz w:val="22"/>
          <w:szCs w:val="22"/>
        </w:rPr>
      </w:pPr>
      <w:proofErr w:type="spellStart"/>
      <w:r w:rsidRPr="000222EF">
        <w:rPr>
          <w:rFonts w:ascii="Arial" w:hAnsi="Arial" w:cs="Arial"/>
          <w:sz w:val="22"/>
          <w:szCs w:val="22"/>
        </w:rPr>
        <w:t>HoRDs</w:t>
      </w:r>
      <w:proofErr w:type="spellEnd"/>
      <w:r w:rsidRPr="000222E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22EF">
        <w:rPr>
          <w:rFonts w:ascii="Arial" w:hAnsi="Arial" w:cs="Arial"/>
          <w:sz w:val="22"/>
          <w:szCs w:val="22"/>
        </w:rPr>
        <w:t>HoTDs</w:t>
      </w:r>
      <w:proofErr w:type="spellEnd"/>
      <w:r w:rsidRPr="000222EF">
        <w:rPr>
          <w:rFonts w:ascii="Arial" w:hAnsi="Arial" w:cs="Arial"/>
          <w:sz w:val="22"/>
          <w:szCs w:val="22"/>
        </w:rPr>
        <w:t xml:space="preserve"> (or </w:t>
      </w:r>
      <w:r w:rsidR="003C75BF">
        <w:rPr>
          <w:rFonts w:ascii="Arial" w:hAnsi="Arial" w:cs="Arial"/>
          <w:sz w:val="22"/>
          <w:szCs w:val="22"/>
        </w:rPr>
        <w:t>other designed teaching leadership</w:t>
      </w:r>
      <w:r w:rsidRPr="000222EF">
        <w:rPr>
          <w:rFonts w:ascii="Arial" w:hAnsi="Arial" w:cs="Arial"/>
          <w:sz w:val="22"/>
          <w:szCs w:val="22"/>
        </w:rPr>
        <w:t xml:space="preserve"> for </w:t>
      </w:r>
      <w:r w:rsidR="00106A57">
        <w:rPr>
          <w:rFonts w:ascii="Arial" w:hAnsi="Arial" w:cs="Arial"/>
          <w:sz w:val="22"/>
          <w:szCs w:val="22"/>
        </w:rPr>
        <w:t>FIFO</w:t>
      </w:r>
      <w:r w:rsidRPr="000222EF">
        <w:rPr>
          <w:rFonts w:ascii="Arial" w:hAnsi="Arial" w:cs="Arial"/>
          <w:sz w:val="22"/>
          <w:szCs w:val="22"/>
        </w:rPr>
        <w:t xml:space="preserve"> staff) coordinate to ensure balanced overall workload, </w:t>
      </w:r>
      <w:proofErr w:type="gramStart"/>
      <w:r w:rsidRPr="000222EF">
        <w:rPr>
          <w:rFonts w:ascii="Arial" w:hAnsi="Arial" w:cs="Arial"/>
          <w:sz w:val="22"/>
          <w:szCs w:val="22"/>
        </w:rPr>
        <w:t>taking into account</w:t>
      </w:r>
      <w:proofErr w:type="gramEnd"/>
      <w:r w:rsidRPr="000222EF">
        <w:rPr>
          <w:rFonts w:ascii="Arial" w:hAnsi="Arial" w:cs="Arial"/>
          <w:sz w:val="22"/>
          <w:szCs w:val="22"/>
        </w:rPr>
        <w:t xml:space="preserve"> teaching commitments, research activity, and academic citizenship.</w:t>
      </w:r>
    </w:p>
    <w:p w14:paraId="528708AC" w14:textId="712C7301" w:rsidR="000222EF" w:rsidRPr="000222EF" w:rsidRDefault="000222EF" w:rsidP="00106A57">
      <w:pPr>
        <w:pStyle w:val="Heading3"/>
        <w:ind w:left="993" w:hanging="567"/>
      </w:pPr>
      <w:r w:rsidRPr="000222EF">
        <w:t>4.</w:t>
      </w:r>
      <w:r w:rsidR="00106A57">
        <w:t>4</w:t>
      </w:r>
      <w:r w:rsidRPr="000222EF">
        <w:t xml:space="preserve"> </w:t>
      </w:r>
      <w:r w:rsidR="00106A57">
        <w:tab/>
      </w:r>
      <w:r w:rsidRPr="000222EF">
        <w:t>Induction</w:t>
      </w:r>
    </w:p>
    <w:p w14:paraId="184B9F48" w14:textId="0751B19D" w:rsidR="00087A87" w:rsidRPr="00087A87" w:rsidRDefault="00087A87" w:rsidP="00087A87">
      <w:pPr>
        <w:tabs>
          <w:tab w:val="left" w:pos="426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87A87">
        <w:rPr>
          <w:rFonts w:ascii="Arial" w:hAnsi="Arial" w:cs="Arial"/>
          <w:sz w:val="22"/>
          <w:szCs w:val="22"/>
        </w:rPr>
        <w:t xml:space="preserve">oth line managers contribute to induction </w:t>
      </w:r>
      <w:r w:rsidR="00BC2A32">
        <w:rPr>
          <w:rFonts w:ascii="Arial" w:hAnsi="Arial" w:cs="Arial"/>
          <w:sz w:val="22"/>
          <w:szCs w:val="22"/>
        </w:rPr>
        <w:t xml:space="preserve">and probation </w:t>
      </w:r>
      <w:r w:rsidRPr="00087A87">
        <w:rPr>
          <w:rFonts w:ascii="Arial" w:hAnsi="Arial" w:cs="Arial"/>
          <w:sz w:val="22"/>
          <w:szCs w:val="22"/>
        </w:rPr>
        <w:t xml:space="preserve">to ensure coherence between research and teaching expectations. </w:t>
      </w:r>
    </w:p>
    <w:p w14:paraId="282A4CC6" w14:textId="77777777" w:rsidR="00087A87" w:rsidRPr="00087A87" w:rsidRDefault="00087A87" w:rsidP="005A14C3">
      <w:pPr>
        <w:numPr>
          <w:ilvl w:val="0"/>
          <w:numId w:val="13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87A87">
        <w:rPr>
          <w:rFonts w:ascii="Arial" w:hAnsi="Arial" w:cs="Arial"/>
          <w:b/>
          <w:bCs/>
          <w:sz w:val="22"/>
          <w:szCs w:val="22"/>
        </w:rPr>
        <w:t>R&amp;T staff</w:t>
      </w:r>
    </w:p>
    <w:p w14:paraId="79D00392" w14:textId="77777777" w:rsidR="00087A87" w:rsidRPr="00087A87" w:rsidRDefault="00087A87" w:rsidP="005A14C3">
      <w:pPr>
        <w:numPr>
          <w:ilvl w:val="1"/>
          <w:numId w:val="13"/>
        </w:numPr>
        <w:tabs>
          <w:tab w:val="clear" w:pos="1440"/>
          <w:tab w:val="left" w:pos="426"/>
        </w:tabs>
        <w:ind w:left="1560" w:hanging="284"/>
        <w:rPr>
          <w:rFonts w:ascii="Arial" w:hAnsi="Arial" w:cs="Arial"/>
          <w:sz w:val="22"/>
          <w:szCs w:val="22"/>
        </w:rPr>
      </w:pPr>
      <w:r w:rsidRPr="00087A87">
        <w:rPr>
          <w:rFonts w:ascii="Arial" w:hAnsi="Arial" w:cs="Arial"/>
          <w:sz w:val="22"/>
          <w:szCs w:val="22"/>
        </w:rPr>
        <w:t xml:space="preserve">Research induction → </w:t>
      </w:r>
      <w:proofErr w:type="spellStart"/>
      <w:r w:rsidRPr="00087A87">
        <w:rPr>
          <w:rFonts w:ascii="Arial" w:hAnsi="Arial" w:cs="Arial"/>
          <w:b/>
          <w:bCs/>
          <w:sz w:val="22"/>
          <w:szCs w:val="22"/>
        </w:rPr>
        <w:t>HoRD</w:t>
      </w:r>
      <w:proofErr w:type="spellEnd"/>
    </w:p>
    <w:p w14:paraId="3C25E85B" w14:textId="75974030" w:rsidR="00087A87" w:rsidRPr="00087A87" w:rsidRDefault="00087A87" w:rsidP="005A14C3">
      <w:pPr>
        <w:numPr>
          <w:ilvl w:val="1"/>
          <w:numId w:val="13"/>
        </w:numPr>
        <w:tabs>
          <w:tab w:val="clear" w:pos="1440"/>
          <w:tab w:val="left" w:pos="426"/>
        </w:tabs>
        <w:ind w:left="1560" w:hanging="284"/>
        <w:rPr>
          <w:rFonts w:ascii="Arial" w:hAnsi="Arial" w:cs="Arial"/>
          <w:sz w:val="22"/>
          <w:szCs w:val="22"/>
        </w:rPr>
      </w:pPr>
      <w:r w:rsidRPr="00087A87">
        <w:rPr>
          <w:rFonts w:ascii="Arial" w:hAnsi="Arial" w:cs="Arial"/>
          <w:sz w:val="22"/>
          <w:szCs w:val="22"/>
        </w:rPr>
        <w:t xml:space="preserve">Teaching induction → </w:t>
      </w:r>
      <w:proofErr w:type="spellStart"/>
      <w:r w:rsidRPr="00087A87"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Pr="00087A87">
        <w:rPr>
          <w:rFonts w:ascii="Arial" w:hAnsi="Arial" w:cs="Arial"/>
          <w:sz w:val="22"/>
          <w:szCs w:val="22"/>
        </w:rPr>
        <w:t xml:space="preserve"> or </w:t>
      </w:r>
      <w:r w:rsidRPr="00087A87">
        <w:rPr>
          <w:rFonts w:ascii="Arial" w:hAnsi="Arial" w:cs="Arial"/>
          <w:b/>
          <w:bCs/>
          <w:sz w:val="22"/>
          <w:szCs w:val="22"/>
        </w:rPr>
        <w:t>Executive Dean</w:t>
      </w:r>
      <w:r w:rsidR="0026190E">
        <w:rPr>
          <w:rFonts w:ascii="Arial" w:hAnsi="Arial" w:cs="Arial"/>
          <w:b/>
          <w:bCs/>
          <w:sz w:val="22"/>
          <w:szCs w:val="22"/>
        </w:rPr>
        <w:t xml:space="preserve">, Director of TNE, </w:t>
      </w:r>
      <w:proofErr w:type="spellStart"/>
      <w:r w:rsidR="0026190E">
        <w:rPr>
          <w:rFonts w:ascii="Arial" w:hAnsi="Arial" w:cs="Arial"/>
          <w:b/>
          <w:bCs/>
          <w:sz w:val="22"/>
          <w:szCs w:val="22"/>
        </w:rPr>
        <w:t>Assocate</w:t>
      </w:r>
      <w:proofErr w:type="spellEnd"/>
      <w:r w:rsidR="0026190E">
        <w:rPr>
          <w:rFonts w:ascii="Arial" w:hAnsi="Arial" w:cs="Arial"/>
          <w:b/>
          <w:bCs/>
          <w:sz w:val="22"/>
          <w:szCs w:val="22"/>
        </w:rPr>
        <w:t xml:space="preserve"> Director of TNE</w:t>
      </w:r>
      <w:r w:rsidRPr="00087A87">
        <w:rPr>
          <w:rFonts w:ascii="Arial" w:hAnsi="Arial" w:cs="Arial"/>
          <w:sz w:val="22"/>
          <w:szCs w:val="22"/>
        </w:rPr>
        <w:t xml:space="preserve"> (for </w:t>
      </w:r>
      <w:r>
        <w:rPr>
          <w:rFonts w:ascii="Arial" w:hAnsi="Arial" w:cs="Arial"/>
          <w:sz w:val="22"/>
          <w:szCs w:val="22"/>
        </w:rPr>
        <w:t>FIFO</w:t>
      </w:r>
      <w:r w:rsidRPr="00087A87">
        <w:rPr>
          <w:rFonts w:ascii="Arial" w:hAnsi="Arial" w:cs="Arial"/>
          <w:sz w:val="22"/>
          <w:szCs w:val="22"/>
        </w:rPr>
        <w:t xml:space="preserve"> staff)</w:t>
      </w:r>
      <w:r w:rsidR="00494946">
        <w:rPr>
          <w:rFonts w:ascii="Arial" w:hAnsi="Arial" w:cs="Arial"/>
          <w:sz w:val="22"/>
          <w:szCs w:val="22"/>
        </w:rPr>
        <w:br/>
      </w:r>
    </w:p>
    <w:p w14:paraId="154FCFB1" w14:textId="77777777" w:rsidR="00087A87" w:rsidRPr="00087A87" w:rsidRDefault="00087A87" w:rsidP="005A14C3">
      <w:pPr>
        <w:numPr>
          <w:ilvl w:val="0"/>
          <w:numId w:val="13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087A87">
        <w:rPr>
          <w:rFonts w:ascii="Arial" w:hAnsi="Arial" w:cs="Arial"/>
          <w:b/>
          <w:bCs/>
          <w:sz w:val="22"/>
          <w:szCs w:val="22"/>
        </w:rPr>
        <w:t>LTS staff</w:t>
      </w:r>
    </w:p>
    <w:p w14:paraId="31DF6A9B" w14:textId="3C7FECB7" w:rsidR="00087A87" w:rsidRPr="00087A87" w:rsidRDefault="00087A87" w:rsidP="005A14C3">
      <w:pPr>
        <w:numPr>
          <w:ilvl w:val="1"/>
          <w:numId w:val="13"/>
        </w:numPr>
        <w:tabs>
          <w:tab w:val="clear" w:pos="1440"/>
          <w:tab w:val="left" w:pos="426"/>
        </w:tabs>
        <w:ind w:left="1560" w:hanging="284"/>
        <w:rPr>
          <w:rFonts w:ascii="Arial" w:hAnsi="Arial" w:cs="Arial"/>
          <w:sz w:val="22"/>
          <w:szCs w:val="22"/>
        </w:rPr>
      </w:pPr>
      <w:r w:rsidRPr="00087A87">
        <w:rPr>
          <w:rFonts w:ascii="Arial" w:hAnsi="Arial" w:cs="Arial"/>
          <w:sz w:val="22"/>
          <w:szCs w:val="22"/>
        </w:rPr>
        <w:t xml:space="preserve">Teaching induction → </w:t>
      </w:r>
      <w:proofErr w:type="spellStart"/>
      <w:r w:rsidR="00680AB6" w:rsidRPr="00087A87">
        <w:rPr>
          <w:rFonts w:ascii="Arial" w:hAnsi="Arial" w:cs="Arial"/>
          <w:b/>
          <w:bCs/>
          <w:sz w:val="22"/>
          <w:szCs w:val="22"/>
        </w:rPr>
        <w:t>HoTD</w:t>
      </w:r>
      <w:proofErr w:type="spellEnd"/>
      <w:r w:rsidR="00680AB6" w:rsidRPr="00087A87">
        <w:rPr>
          <w:rFonts w:ascii="Arial" w:hAnsi="Arial" w:cs="Arial"/>
          <w:sz w:val="22"/>
          <w:szCs w:val="22"/>
        </w:rPr>
        <w:t xml:space="preserve"> or </w:t>
      </w:r>
      <w:r w:rsidR="00680AB6" w:rsidRPr="00087A87">
        <w:rPr>
          <w:rFonts w:ascii="Arial" w:hAnsi="Arial" w:cs="Arial"/>
          <w:b/>
          <w:bCs/>
          <w:sz w:val="22"/>
          <w:szCs w:val="22"/>
        </w:rPr>
        <w:t>Executive Dean</w:t>
      </w:r>
      <w:r w:rsidR="00680AB6">
        <w:rPr>
          <w:rFonts w:ascii="Arial" w:hAnsi="Arial" w:cs="Arial"/>
          <w:b/>
          <w:bCs/>
          <w:sz w:val="22"/>
          <w:szCs w:val="22"/>
        </w:rPr>
        <w:t xml:space="preserve">, Director of TNE, </w:t>
      </w:r>
      <w:r w:rsidR="009629E7">
        <w:rPr>
          <w:rFonts w:ascii="Arial" w:hAnsi="Arial" w:cs="Arial"/>
          <w:b/>
          <w:bCs/>
          <w:sz w:val="22"/>
          <w:szCs w:val="22"/>
        </w:rPr>
        <w:t>Associate</w:t>
      </w:r>
      <w:r w:rsidR="00680AB6">
        <w:rPr>
          <w:rFonts w:ascii="Arial" w:hAnsi="Arial" w:cs="Arial"/>
          <w:b/>
          <w:bCs/>
          <w:sz w:val="22"/>
          <w:szCs w:val="22"/>
        </w:rPr>
        <w:t xml:space="preserve"> Director of TNE</w:t>
      </w:r>
      <w:r w:rsidR="00680AB6" w:rsidRPr="00087A87">
        <w:rPr>
          <w:rFonts w:ascii="Arial" w:hAnsi="Arial" w:cs="Arial"/>
          <w:sz w:val="22"/>
          <w:szCs w:val="22"/>
        </w:rPr>
        <w:t xml:space="preserve"> (for </w:t>
      </w:r>
      <w:r w:rsidR="00680AB6">
        <w:rPr>
          <w:rFonts w:ascii="Arial" w:hAnsi="Arial" w:cs="Arial"/>
          <w:sz w:val="22"/>
          <w:szCs w:val="22"/>
        </w:rPr>
        <w:t>FIFO</w:t>
      </w:r>
      <w:r w:rsidR="00680AB6" w:rsidRPr="00087A87">
        <w:rPr>
          <w:rFonts w:ascii="Arial" w:hAnsi="Arial" w:cs="Arial"/>
          <w:sz w:val="22"/>
          <w:szCs w:val="22"/>
        </w:rPr>
        <w:t xml:space="preserve"> sta</w:t>
      </w:r>
      <w:r w:rsidR="001E3015">
        <w:rPr>
          <w:rFonts w:ascii="Arial" w:hAnsi="Arial" w:cs="Arial"/>
          <w:sz w:val="22"/>
          <w:szCs w:val="22"/>
        </w:rPr>
        <w:t>ff)</w:t>
      </w:r>
    </w:p>
    <w:p w14:paraId="6DEB8DA6" w14:textId="77777777" w:rsidR="00783880" w:rsidRDefault="00783880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43AA7578" w14:textId="71D76D46" w:rsidR="00BC4486" w:rsidRPr="00BC4486" w:rsidRDefault="00BC4486" w:rsidP="00087A87">
      <w:pPr>
        <w:pStyle w:val="Heading3"/>
        <w:ind w:left="993" w:hanging="567"/>
      </w:pPr>
      <w:r w:rsidRPr="00BC4486">
        <w:lastRenderedPageBreak/>
        <w:t>4.</w:t>
      </w:r>
      <w:r w:rsidR="00396B3A">
        <w:t>5</w:t>
      </w:r>
      <w:r w:rsidRPr="00BC4486">
        <w:t xml:space="preserve"> </w:t>
      </w:r>
      <w:r w:rsidR="00087A87">
        <w:tab/>
      </w:r>
      <w:r w:rsidRPr="00BC4486">
        <w:t>Head of Research Division (</w:t>
      </w:r>
      <w:proofErr w:type="spellStart"/>
      <w:r w:rsidRPr="00BC4486">
        <w:t>HoRD</w:t>
      </w:r>
      <w:proofErr w:type="spellEnd"/>
      <w:r w:rsidRPr="00BC4486">
        <w:t xml:space="preserve">) — </w:t>
      </w:r>
      <w:r w:rsidR="00087A87">
        <w:t>r</w:t>
      </w:r>
      <w:r w:rsidRPr="00BC4486">
        <w:t xml:space="preserve">esearch </w:t>
      </w:r>
      <w:r w:rsidR="00087A87">
        <w:t>l</w:t>
      </w:r>
      <w:r w:rsidRPr="00BC4486">
        <w:t>eadership</w:t>
      </w:r>
    </w:p>
    <w:p w14:paraId="1E26E9DC" w14:textId="1BF45401" w:rsidR="00C12BBB" w:rsidRPr="00C12BBB" w:rsidRDefault="00C12BBB" w:rsidP="00C12BBB">
      <w:pPr>
        <w:spacing w:after="0" w:line="300" w:lineRule="atLeast"/>
        <w:ind w:left="993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12BB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</w:t>
      </w:r>
      <w:proofErr w:type="spellStart"/>
      <w:r w:rsidRPr="00C12BB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HoRD</w:t>
      </w:r>
      <w:proofErr w:type="spellEnd"/>
      <w:r w:rsidRPr="00C12BB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provides research leadership for the Division, with line</w:t>
      </w:r>
      <w:r w:rsidRPr="00C12BB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noBreakHyphen/>
        <w:t>management responsibilities focused on: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</w:p>
    <w:p w14:paraId="4B5406F2" w14:textId="5F501F99" w:rsidR="00BC4486" w:rsidRDefault="00E8359C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setting direction for </w:t>
      </w:r>
      <w:r w:rsidR="00DC1A9F">
        <w:rPr>
          <w:rFonts w:ascii="Arial" w:hAnsi="Arial" w:cs="Arial"/>
          <w:sz w:val="22"/>
          <w:szCs w:val="22"/>
        </w:rPr>
        <w:t xml:space="preserve">good </w:t>
      </w:r>
      <w:r>
        <w:rPr>
          <w:rFonts w:ascii="Arial" w:hAnsi="Arial" w:cs="Arial"/>
          <w:sz w:val="22"/>
          <w:szCs w:val="22"/>
        </w:rPr>
        <w:t>research culture</w:t>
      </w:r>
      <w:r w:rsidR="00F72352">
        <w:rPr>
          <w:rFonts w:ascii="Arial" w:hAnsi="Arial" w:cs="Arial"/>
          <w:sz w:val="22"/>
          <w:szCs w:val="22"/>
        </w:rPr>
        <w:t xml:space="preserve"> and </w:t>
      </w:r>
      <w:r w:rsidR="00BC4486" w:rsidRPr="00BC4486">
        <w:rPr>
          <w:rFonts w:ascii="Arial" w:hAnsi="Arial" w:cs="Arial"/>
          <w:sz w:val="22"/>
          <w:szCs w:val="22"/>
        </w:rPr>
        <w:t>grant activity</w:t>
      </w:r>
      <w:r w:rsidR="00F72352">
        <w:rPr>
          <w:rFonts w:ascii="Arial" w:hAnsi="Arial" w:cs="Arial"/>
          <w:sz w:val="22"/>
          <w:szCs w:val="22"/>
        </w:rPr>
        <w:t xml:space="preserve">, </w:t>
      </w:r>
      <w:r w:rsidR="00F95DB9">
        <w:rPr>
          <w:rFonts w:ascii="Arial" w:hAnsi="Arial" w:cs="Arial"/>
          <w:sz w:val="22"/>
          <w:szCs w:val="22"/>
        </w:rPr>
        <w:t xml:space="preserve">and </w:t>
      </w:r>
      <w:r w:rsidR="00F72352">
        <w:rPr>
          <w:rFonts w:ascii="Arial" w:hAnsi="Arial" w:cs="Arial"/>
          <w:sz w:val="22"/>
          <w:szCs w:val="22"/>
        </w:rPr>
        <w:t>supporting staff to align their work with the School’s research strategy</w:t>
      </w:r>
      <w:r>
        <w:rPr>
          <w:rFonts w:ascii="Arial" w:hAnsi="Arial" w:cs="Arial"/>
          <w:sz w:val="22"/>
          <w:szCs w:val="22"/>
        </w:rPr>
        <w:t>;</w:t>
      </w:r>
    </w:p>
    <w:p w14:paraId="5B51AB76" w14:textId="15977B2A" w:rsidR="00C12BBB" w:rsidRDefault="00C12BBB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facilitating staff development in research, including </w:t>
      </w:r>
      <w:r w:rsidR="00545181">
        <w:rPr>
          <w:rFonts w:ascii="Arial" w:hAnsi="Arial" w:cs="Arial"/>
          <w:sz w:val="22"/>
          <w:szCs w:val="22"/>
        </w:rPr>
        <w:t xml:space="preserve">access to </w:t>
      </w:r>
      <w:r>
        <w:rPr>
          <w:rFonts w:ascii="Arial" w:hAnsi="Arial" w:cs="Arial"/>
          <w:sz w:val="22"/>
          <w:szCs w:val="22"/>
        </w:rPr>
        <w:t>mentoring, publication planning, and progression discussions;</w:t>
      </w:r>
    </w:p>
    <w:p w14:paraId="50A9E3FB" w14:textId="1C395C17" w:rsidR="00C12BBB" w:rsidRPr="00BC4486" w:rsidRDefault="00C12BBB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staff engagement with collaboration and interdisciplinary research opportunities;</w:t>
      </w:r>
    </w:p>
    <w:p w14:paraId="35921A90" w14:textId="00CEFB09" w:rsidR="00396B3A" w:rsidRDefault="00F72352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</w:t>
      </w:r>
      <w:r w:rsidR="00E8359C">
        <w:rPr>
          <w:rFonts w:ascii="Arial" w:hAnsi="Arial" w:cs="Arial"/>
          <w:sz w:val="22"/>
          <w:szCs w:val="22"/>
        </w:rPr>
        <w:t xml:space="preserve"> </w:t>
      </w:r>
      <w:r w:rsidR="00BC4486" w:rsidRPr="00BC4486">
        <w:rPr>
          <w:rFonts w:ascii="Arial" w:hAnsi="Arial" w:cs="Arial"/>
          <w:sz w:val="22"/>
          <w:szCs w:val="22"/>
        </w:rPr>
        <w:t xml:space="preserve">Trusted Research </w:t>
      </w:r>
      <w:r w:rsidR="00C12BBB">
        <w:rPr>
          <w:rFonts w:ascii="Arial" w:hAnsi="Arial" w:cs="Arial"/>
          <w:sz w:val="22"/>
          <w:szCs w:val="22"/>
        </w:rPr>
        <w:t>considerations and signposting staff to relevant guidance and expectations</w:t>
      </w:r>
      <w:r w:rsidR="00E8359C">
        <w:rPr>
          <w:rFonts w:ascii="Arial" w:hAnsi="Arial" w:cs="Arial"/>
          <w:sz w:val="22"/>
          <w:szCs w:val="22"/>
        </w:rPr>
        <w:t>;</w:t>
      </w:r>
    </w:p>
    <w:p w14:paraId="38CE8935" w14:textId="1B3BE5AE" w:rsidR="00404922" w:rsidRDefault="00404922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a culture of proactive research risk management to safeguard staff and postgraduate research students, and to minimise downstream compliance burdens;</w:t>
      </w:r>
    </w:p>
    <w:p w14:paraId="566FC3B7" w14:textId="4A3E4132" w:rsidR="00BC4486" w:rsidRPr="00BC4486" w:rsidRDefault="00E8359C" w:rsidP="005A14C3">
      <w:pPr>
        <w:numPr>
          <w:ilvl w:val="0"/>
          <w:numId w:val="6"/>
        </w:numPr>
        <w:tabs>
          <w:tab w:val="clear" w:pos="720"/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C4486" w:rsidRPr="00BC4486">
        <w:rPr>
          <w:rFonts w:ascii="Arial" w:hAnsi="Arial" w:cs="Arial"/>
          <w:sz w:val="22"/>
          <w:szCs w:val="22"/>
        </w:rPr>
        <w:t>rovid</w:t>
      </w:r>
      <w:r>
        <w:rPr>
          <w:rFonts w:ascii="Arial" w:hAnsi="Arial" w:cs="Arial"/>
          <w:sz w:val="22"/>
          <w:szCs w:val="22"/>
        </w:rPr>
        <w:t>ing</w:t>
      </w:r>
      <w:r w:rsidR="00BC4486" w:rsidRPr="00BC4486">
        <w:rPr>
          <w:rFonts w:ascii="Arial" w:hAnsi="Arial" w:cs="Arial"/>
          <w:sz w:val="22"/>
          <w:szCs w:val="22"/>
        </w:rPr>
        <w:t xml:space="preserve"> research-focused </w:t>
      </w:r>
      <w:r>
        <w:rPr>
          <w:rFonts w:ascii="Arial" w:hAnsi="Arial" w:cs="Arial"/>
          <w:sz w:val="22"/>
          <w:szCs w:val="22"/>
        </w:rPr>
        <w:t xml:space="preserve">input for </w:t>
      </w:r>
      <w:r w:rsidR="00BC4486" w:rsidRPr="00BC4486">
        <w:rPr>
          <w:rFonts w:ascii="Arial" w:hAnsi="Arial" w:cs="Arial"/>
          <w:sz w:val="22"/>
          <w:szCs w:val="22"/>
        </w:rPr>
        <w:t xml:space="preserve">PDR and promotion </w:t>
      </w:r>
      <w:r>
        <w:rPr>
          <w:rFonts w:ascii="Arial" w:hAnsi="Arial" w:cs="Arial"/>
          <w:sz w:val="22"/>
          <w:szCs w:val="22"/>
        </w:rPr>
        <w:t>processes.</w:t>
      </w:r>
      <w:r>
        <w:rPr>
          <w:rFonts w:ascii="Arial" w:hAnsi="Arial" w:cs="Arial"/>
          <w:sz w:val="22"/>
          <w:szCs w:val="22"/>
        </w:rPr>
        <w:br/>
      </w:r>
    </w:p>
    <w:p w14:paraId="18B4226B" w14:textId="57265A37" w:rsidR="00BC4486" w:rsidRPr="00BC4486" w:rsidRDefault="00BC4486" w:rsidP="00087A87">
      <w:pPr>
        <w:pStyle w:val="Heading3"/>
        <w:ind w:left="993" w:hanging="567"/>
      </w:pPr>
      <w:r w:rsidRPr="00BC4486">
        <w:t>4.</w:t>
      </w:r>
      <w:r w:rsidR="00087A87">
        <w:t>6</w:t>
      </w:r>
      <w:r w:rsidRPr="00BC4486">
        <w:t xml:space="preserve"> </w:t>
      </w:r>
      <w:r w:rsidR="00087A87">
        <w:tab/>
      </w:r>
      <w:r w:rsidRPr="00BC4486">
        <w:t>Head of Teaching Discipline (</w:t>
      </w:r>
      <w:proofErr w:type="spellStart"/>
      <w:r w:rsidRPr="00BC4486">
        <w:t>HoTD</w:t>
      </w:r>
      <w:proofErr w:type="spellEnd"/>
      <w:r w:rsidRPr="00BC4486">
        <w:t xml:space="preserve">) — </w:t>
      </w:r>
      <w:r w:rsidR="00087A87">
        <w:t>t</w:t>
      </w:r>
      <w:r w:rsidRPr="00BC4486">
        <w:t xml:space="preserve">eaching </w:t>
      </w:r>
      <w:r w:rsidR="00087A87">
        <w:t>l</w:t>
      </w:r>
      <w:r w:rsidRPr="00BC4486">
        <w:t>eadership</w:t>
      </w:r>
    </w:p>
    <w:p w14:paraId="10BACAF0" w14:textId="5DB95BAA" w:rsidR="00F72352" w:rsidRPr="00F72352" w:rsidRDefault="00F72352" w:rsidP="00F72352">
      <w:pPr>
        <w:pStyle w:val="ListParagraph"/>
        <w:spacing w:after="0" w:line="300" w:lineRule="atLeast"/>
        <w:ind w:left="993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723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</w:t>
      </w:r>
      <w:proofErr w:type="spellStart"/>
      <w:r w:rsidRPr="00F723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HoTD</w:t>
      </w:r>
      <w:proofErr w:type="spellEnd"/>
      <w:r w:rsidRPr="00F723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provides academic leadership for teaching within the Discipline, with line</w:t>
      </w:r>
      <w:r w:rsidRPr="00F723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noBreakHyphen/>
        <w:t>management responsibilities focused on: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</w:p>
    <w:p w14:paraId="79C73CD2" w14:textId="4C912D29" w:rsidR="00BC4486" w:rsidRPr="00BC4486" w:rsidRDefault="00F72352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expectations for</w:t>
      </w:r>
      <w:r w:rsidR="00BC4486" w:rsidRPr="00BC4486">
        <w:rPr>
          <w:rFonts w:ascii="Arial" w:hAnsi="Arial" w:cs="Arial"/>
          <w:sz w:val="22"/>
          <w:szCs w:val="22"/>
        </w:rPr>
        <w:t xml:space="preserve"> curriculum, pedagogy, assessment</w:t>
      </w:r>
      <w:r w:rsidR="00E8359C">
        <w:rPr>
          <w:rFonts w:ascii="Arial" w:hAnsi="Arial" w:cs="Arial"/>
          <w:sz w:val="22"/>
          <w:szCs w:val="22"/>
        </w:rPr>
        <w:t xml:space="preserve">, and academic standards;  </w:t>
      </w:r>
    </w:p>
    <w:p w14:paraId="6B752BFD" w14:textId="6F4BC755" w:rsidR="00BC4486" w:rsidRPr="00BC4486" w:rsidRDefault="00E8359C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confirming</w:t>
      </w:r>
      <w:r w:rsidR="00BC4486" w:rsidRPr="00BC4486">
        <w:rPr>
          <w:rFonts w:ascii="Arial" w:hAnsi="Arial" w:cs="Arial"/>
          <w:sz w:val="22"/>
          <w:szCs w:val="22"/>
        </w:rPr>
        <w:t xml:space="preserve"> teaching </w:t>
      </w:r>
      <w:r>
        <w:rPr>
          <w:rFonts w:ascii="Arial" w:hAnsi="Arial" w:cs="Arial"/>
          <w:sz w:val="22"/>
          <w:szCs w:val="22"/>
        </w:rPr>
        <w:t xml:space="preserve">work </w:t>
      </w:r>
      <w:r w:rsidR="00BC4486" w:rsidRPr="00BC4486">
        <w:rPr>
          <w:rFonts w:ascii="Arial" w:hAnsi="Arial" w:cs="Arial"/>
          <w:sz w:val="22"/>
          <w:szCs w:val="22"/>
        </w:rPr>
        <w:t>allocations</w:t>
      </w:r>
      <w:r w:rsidR="00F72352">
        <w:rPr>
          <w:rFonts w:ascii="Arial" w:hAnsi="Arial" w:cs="Arial"/>
          <w:sz w:val="22"/>
          <w:szCs w:val="22"/>
        </w:rPr>
        <w:t xml:space="preserve"> and supporting staff in meeting teaching requirements</w:t>
      </w:r>
      <w:r>
        <w:rPr>
          <w:rFonts w:ascii="Arial" w:hAnsi="Arial" w:cs="Arial"/>
          <w:sz w:val="22"/>
          <w:szCs w:val="22"/>
        </w:rPr>
        <w:t>;</w:t>
      </w:r>
    </w:p>
    <w:p w14:paraId="092571BD" w14:textId="64F3F0A4" w:rsidR="00BC4486" w:rsidRPr="00BC4486" w:rsidRDefault="00F72352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staff to address student feedback,</w:t>
      </w:r>
      <w:r w:rsidR="00BC4486" w:rsidRPr="00BC4486">
        <w:rPr>
          <w:rFonts w:ascii="Arial" w:hAnsi="Arial" w:cs="Arial"/>
          <w:sz w:val="22"/>
          <w:szCs w:val="22"/>
        </w:rPr>
        <w:t xml:space="preserve"> </w:t>
      </w:r>
      <w:r w:rsidR="00E8359C">
        <w:rPr>
          <w:rFonts w:ascii="Arial" w:hAnsi="Arial" w:cs="Arial"/>
          <w:sz w:val="22"/>
          <w:szCs w:val="22"/>
        </w:rPr>
        <w:t>progression</w:t>
      </w:r>
      <w:r w:rsidR="00BC4486" w:rsidRPr="00BC4486">
        <w:rPr>
          <w:rFonts w:ascii="Arial" w:hAnsi="Arial" w:cs="Arial"/>
          <w:sz w:val="22"/>
          <w:szCs w:val="22"/>
        </w:rPr>
        <w:t xml:space="preserve">, </w:t>
      </w:r>
      <w:r w:rsidR="00087A87">
        <w:rPr>
          <w:rFonts w:ascii="Arial" w:hAnsi="Arial" w:cs="Arial"/>
          <w:sz w:val="22"/>
          <w:szCs w:val="22"/>
        </w:rPr>
        <w:t xml:space="preserve">and </w:t>
      </w:r>
      <w:r w:rsidR="00BC4486" w:rsidRPr="00BC4486">
        <w:rPr>
          <w:rFonts w:ascii="Arial" w:hAnsi="Arial" w:cs="Arial"/>
          <w:sz w:val="22"/>
          <w:szCs w:val="22"/>
        </w:rPr>
        <w:t>attainment</w:t>
      </w:r>
      <w:r>
        <w:rPr>
          <w:rFonts w:ascii="Arial" w:hAnsi="Arial" w:cs="Arial"/>
          <w:sz w:val="22"/>
          <w:szCs w:val="22"/>
        </w:rPr>
        <w:t xml:space="preserve"> issues;</w:t>
      </w:r>
    </w:p>
    <w:p w14:paraId="2181712D" w14:textId="77777777" w:rsidR="00404922" w:rsidRDefault="00E8359C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C4486" w:rsidRPr="00BC4486">
        <w:rPr>
          <w:rFonts w:ascii="Arial" w:hAnsi="Arial" w:cs="Arial"/>
          <w:sz w:val="22"/>
          <w:szCs w:val="22"/>
        </w:rPr>
        <w:t>nsur</w:t>
      </w:r>
      <w:r>
        <w:rPr>
          <w:rFonts w:ascii="Arial" w:hAnsi="Arial" w:cs="Arial"/>
          <w:sz w:val="22"/>
          <w:szCs w:val="22"/>
        </w:rPr>
        <w:t xml:space="preserve">ing </w:t>
      </w:r>
      <w:r w:rsidR="00F72352">
        <w:rPr>
          <w:rFonts w:ascii="Arial" w:hAnsi="Arial" w:cs="Arial"/>
          <w:sz w:val="22"/>
          <w:szCs w:val="22"/>
        </w:rPr>
        <w:t xml:space="preserve">staff understand and apply teaching quality expectations </w:t>
      </w:r>
      <w:r>
        <w:rPr>
          <w:rFonts w:ascii="Arial" w:hAnsi="Arial" w:cs="Arial"/>
          <w:sz w:val="22"/>
          <w:szCs w:val="22"/>
        </w:rPr>
        <w:t>across campuses;</w:t>
      </w:r>
    </w:p>
    <w:p w14:paraId="056C1D62" w14:textId="324C4FA4" w:rsidR="00404922" w:rsidRPr="00BC4486" w:rsidRDefault="00404922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 w:rsidRPr="0040492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supporting a culture of proactive teaching and student</w:t>
      </w:r>
      <w:r w:rsidRPr="0040492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noBreakHyphen/>
        <w:t>related risk management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;</w:t>
      </w:r>
    </w:p>
    <w:p w14:paraId="325C6FA1" w14:textId="6F395E0D" w:rsidR="00BC4486" w:rsidRPr="00BC4486" w:rsidRDefault="00E8359C" w:rsidP="005A14C3">
      <w:pPr>
        <w:numPr>
          <w:ilvl w:val="0"/>
          <w:numId w:val="7"/>
        </w:numPr>
        <w:tabs>
          <w:tab w:val="left" w:pos="426"/>
        </w:tabs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C4486" w:rsidRPr="00BC4486">
        <w:rPr>
          <w:rFonts w:ascii="Arial" w:hAnsi="Arial" w:cs="Arial"/>
          <w:sz w:val="22"/>
          <w:szCs w:val="22"/>
        </w:rPr>
        <w:t>rovid</w:t>
      </w:r>
      <w:r>
        <w:rPr>
          <w:rFonts w:ascii="Arial" w:hAnsi="Arial" w:cs="Arial"/>
          <w:sz w:val="22"/>
          <w:szCs w:val="22"/>
        </w:rPr>
        <w:t>ing</w:t>
      </w:r>
      <w:r w:rsidR="00BC4486" w:rsidRPr="00BC4486">
        <w:rPr>
          <w:rFonts w:ascii="Arial" w:hAnsi="Arial" w:cs="Arial"/>
          <w:sz w:val="22"/>
          <w:szCs w:val="22"/>
        </w:rPr>
        <w:t xml:space="preserve"> teaching-focused </w:t>
      </w:r>
      <w:r>
        <w:rPr>
          <w:rFonts w:ascii="Arial" w:hAnsi="Arial" w:cs="Arial"/>
          <w:sz w:val="22"/>
          <w:szCs w:val="22"/>
        </w:rPr>
        <w:t xml:space="preserve">input for </w:t>
      </w:r>
      <w:r w:rsidR="00BC4486" w:rsidRPr="00BC4486">
        <w:rPr>
          <w:rFonts w:ascii="Arial" w:hAnsi="Arial" w:cs="Arial"/>
          <w:sz w:val="22"/>
          <w:szCs w:val="22"/>
        </w:rPr>
        <w:t xml:space="preserve">PDR and promotion </w:t>
      </w:r>
      <w:r>
        <w:rPr>
          <w:rFonts w:ascii="Arial" w:hAnsi="Arial" w:cs="Arial"/>
          <w:sz w:val="22"/>
          <w:szCs w:val="22"/>
        </w:rPr>
        <w:t>processes.</w:t>
      </w:r>
    </w:p>
    <w:p w14:paraId="0B8F7F32" w14:textId="27B5CF34" w:rsidR="00BC4486" w:rsidRPr="00BC4486" w:rsidRDefault="00BC4486" w:rsidP="00087A87">
      <w:pPr>
        <w:pStyle w:val="Heading3"/>
        <w:ind w:left="993" w:hanging="567"/>
      </w:pPr>
      <w:r w:rsidRPr="00BC4486">
        <w:t>4.</w:t>
      </w:r>
      <w:r w:rsidR="00087A87">
        <w:t>7</w:t>
      </w:r>
      <w:r w:rsidRPr="00BC4486">
        <w:t xml:space="preserve"> </w:t>
      </w:r>
      <w:r w:rsidR="00087A87">
        <w:tab/>
      </w:r>
      <w:r w:rsidRPr="00BC4486">
        <w:t xml:space="preserve">TNE </w:t>
      </w:r>
      <w:r w:rsidR="00087A87">
        <w:t>a</w:t>
      </w:r>
      <w:r w:rsidRPr="00BC4486">
        <w:t xml:space="preserve">cademic </w:t>
      </w:r>
      <w:r w:rsidR="00087A87">
        <w:t>l</w:t>
      </w:r>
      <w:r w:rsidRPr="00BC4486">
        <w:t>eadership</w:t>
      </w:r>
    </w:p>
    <w:p w14:paraId="3D40B2A5" w14:textId="69B3F095" w:rsidR="00087A87" w:rsidRDefault="00E8359C" w:rsidP="00087A87">
      <w:pPr>
        <w:tabs>
          <w:tab w:val="left" w:pos="426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FIFO staff delivering teaching in China, the Executive Dean </w:t>
      </w:r>
      <w:r w:rsidR="001E3015">
        <w:rPr>
          <w:rFonts w:ascii="Arial" w:hAnsi="Arial" w:cs="Arial"/>
          <w:sz w:val="22"/>
          <w:szCs w:val="22"/>
        </w:rPr>
        <w:t xml:space="preserve">(Academic), Director of TNE, or Associate Director of TNE </w:t>
      </w:r>
      <w:r>
        <w:rPr>
          <w:rFonts w:ascii="Arial" w:hAnsi="Arial" w:cs="Arial"/>
          <w:sz w:val="22"/>
          <w:szCs w:val="22"/>
        </w:rPr>
        <w:t>acts as the teaching solid-line manager.  Key responsibilities include:</w:t>
      </w:r>
    </w:p>
    <w:p w14:paraId="1B0F5132" w14:textId="6097CDD5" w:rsidR="00BC4486" w:rsidRPr="00BC4486" w:rsidRDefault="00C12BBB" w:rsidP="005A14C3">
      <w:pPr>
        <w:numPr>
          <w:ilvl w:val="0"/>
          <w:numId w:val="8"/>
        </w:numPr>
        <w:tabs>
          <w:tab w:val="left" w:pos="426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expectations for local delivery and TNE quality requirements, in line with School and partner-institution standards</w:t>
      </w:r>
      <w:r w:rsidR="000A263D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BE3D78" w14:textId="34197630" w:rsidR="00E8359C" w:rsidRDefault="00E8359C" w:rsidP="005A14C3">
      <w:pPr>
        <w:numPr>
          <w:ilvl w:val="0"/>
          <w:numId w:val="8"/>
        </w:numPr>
        <w:tabs>
          <w:tab w:val="left" w:pos="426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confirming teaching work allocations</w:t>
      </w:r>
      <w:r w:rsidR="00C12BBB">
        <w:rPr>
          <w:rFonts w:ascii="Arial" w:hAnsi="Arial" w:cs="Arial"/>
          <w:sz w:val="22"/>
          <w:szCs w:val="22"/>
        </w:rPr>
        <w:t xml:space="preserve"> for FIFO staff and supporting them in meeting local delivery requirements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25C760E0" w14:textId="00B5EBF4" w:rsidR="00C12BBB" w:rsidRDefault="00C12BBB" w:rsidP="005A14C3">
      <w:pPr>
        <w:numPr>
          <w:ilvl w:val="0"/>
          <w:numId w:val="8"/>
        </w:numPr>
        <w:tabs>
          <w:tab w:val="left" w:pos="426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staff to address teaching-related issues arising in-country, including delivery challenges and student feedback;</w:t>
      </w:r>
    </w:p>
    <w:p w14:paraId="0ABE9DF1" w14:textId="0451F06B" w:rsidR="00E8359C" w:rsidRDefault="00C12BBB" w:rsidP="005A14C3">
      <w:pPr>
        <w:numPr>
          <w:ilvl w:val="0"/>
          <w:numId w:val="8"/>
        </w:numPr>
        <w:tabs>
          <w:tab w:val="left" w:pos="426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staff understand TNE-specific requirements and quality expectations;</w:t>
      </w:r>
    </w:p>
    <w:p w14:paraId="70100EAB" w14:textId="5CA17108" w:rsidR="00BC4486" w:rsidRPr="00BC4486" w:rsidRDefault="00C12BBB" w:rsidP="005A14C3">
      <w:pPr>
        <w:numPr>
          <w:ilvl w:val="0"/>
          <w:numId w:val="8"/>
        </w:numPr>
        <w:tabs>
          <w:tab w:val="left" w:pos="426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teaching-focused </w:t>
      </w:r>
      <w:r w:rsidR="00762F6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nput for PDR and teaching-related HR processes.</w:t>
      </w:r>
    </w:p>
    <w:p w14:paraId="787FB1C3" w14:textId="2E460599" w:rsidR="00BC4486" w:rsidRPr="00BC4486" w:rsidRDefault="00CD1A02" w:rsidP="00BC4486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24999619">
          <v:rect id="Horizontal Line 4" o:spid="_x0000_s1029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55D37AE0" w14:textId="302A1E15" w:rsidR="00BC4486" w:rsidRPr="00EF532F" w:rsidRDefault="00BC4486" w:rsidP="00E8359C">
      <w:pPr>
        <w:pStyle w:val="Heading2"/>
        <w:ind w:left="426" w:hanging="426"/>
        <w:rPr>
          <w:b/>
          <w:bCs/>
        </w:rPr>
      </w:pPr>
      <w:r w:rsidRPr="00EF532F">
        <w:rPr>
          <w:b/>
          <w:bCs/>
        </w:rPr>
        <w:t xml:space="preserve">5. </w:t>
      </w:r>
      <w:r w:rsidR="00E8359C">
        <w:rPr>
          <w:b/>
          <w:bCs/>
        </w:rPr>
        <w:tab/>
      </w:r>
      <w:r w:rsidRPr="00EF532F">
        <w:rPr>
          <w:b/>
          <w:bCs/>
        </w:rPr>
        <w:t xml:space="preserve">Processes for </w:t>
      </w:r>
      <w:r w:rsidR="00E8359C">
        <w:rPr>
          <w:b/>
          <w:bCs/>
        </w:rPr>
        <w:t>r</w:t>
      </w:r>
      <w:r w:rsidRPr="00EF532F">
        <w:rPr>
          <w:b/>
          <w:bCs/>
        </w:rPr>
        <w:t xml:space="preserve">educing </w:t>
      </w:r>
      <w:r w:rsidR="00E8359C">
        <w:rPr>
          <w:b/>
          <w:bCs/>
        </w:rPr>
        <w:t>a</w:t>
      </w:r>
      <w:r w:rsidRPr="00EF532F">
        <w:rPr>
          <w:b/>
          <w:bCs/>
        </w:rPr>
        <w:t>mbiguity</w:t>
      </w:r>
    </w:p>
    <w:p w14:paraId="2D1DD917" w14:textId="008557B0" w:rsidR="00BC4486" w:rsidRDefault="00BC4486" w:rsidP="0080597C">
      <w:pPr>
        <w:pStyle w:val="Heading3"/>
        <w:ind w:left="993" w:hanging="567"/>
      </w:pPr>
      <w:r w:rsidRPr="00BC4486">
        <w:t xml:space="preserve">5.1 </w:t>
      </w:r>
      <w:r w:rsidR="0080597C">
        <w:tab/>
      </w:r>
      <w:r w:rsidRPr="00BC4486">
        <w:t>Performance &amp; Development Review (PDR)</w:t>
      </w:r>
    </w:p>
    <w:p w14:paraId="2E9E4ADC" w14:textId="4097C597" w:rsidR="0080597C" w:rsidRPr="0080597C" w:rsidRDefault="0080597C" w:rsidP="005A14C3">
      <w:pPr>
        <w:numPr>
          <w:ilvl w:val="0"/>
          <w:numId w:val="14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80597C">
        <w:rPr>
          <w:rFonts w:ascii="Arial" w:hAnsi="Arial" w:cs="Arial"/>
          <w:sz w:val="22"/>
          <w:szCs w:val="22"/>
        </w:rPr>
        <w:t xml:space="preserve">Allocated through the annual </w:t>
      </w:r>
      <w:r w:rsidR="00A32A0B">
        <w:rPr>
          <w:rFonts w:ascii="Arial" w:hAnsi="Arial" w:cs="Arial"/>
          <w:b/>
          <w:bCs/>
          <w:sz w:val="22"/>
          <w:szCs w:val="22"/>
        </w:rPr>
        <w:t>PDR reviewer allocation</w:t>
      </w:r>
      <w:r w:rsidRPr="0080597C">
        <w:rPr>
          <w:rFonts w:ascii="Arial" w:hAnsi="Arial" w:cs="Arial"/>
          <w:sz w:val="22"/>
          <w:szCs w:val="22"/>
        </w:rPr>
        <w:t xml:space="preserve"> process</w:t>
      </w:r>
    </w:p>
    <w:p w14:paraId="09AA993D" w14:textId="77777777" w:rsidR="0080597C" w:rsidRPr="0080597C" w:rsidRDefault="0080597C" w:rsidP="005A14C3">
      <w:pPr>
        <w:numPr>
          <w:ilvl w:val="0"/>
          <w:numId w:val="14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80597C">
        <w:rPr>
          <w:rFonts w:ascii="Arial" w:hAnsi="Arial" w:cs="Arial"/>
          <w:sz w:val="22"/>
          <w:szCs w:val="22"/>
        </w:rPr>
        <w:t>Reviewer may differ from solid</w:t>
      </w:r>
      <w:r w:rsidRPr="0080597C">
        <w:rPr>
          <w:rFonts w:ascii="Arial" w:hAnsi="Arial" w:cs="Arial"/>
          <w:sz w:val="22"/>
          <w:szCs w:val="22"/>
        </w:rPr>
        <w:noBreakHyphen/>
        <w:t>line manager</w:t>
      </w:r>
    </w:p>
    <w:p w14:paraId="70C57F4A" w14:textId="61D79DE0" w:rsidR="0080597C" w:rsidRPr="0080597C" w:rsidRDefault="0080597C" w:rsidP="005A14C3">
      <w:pPr>
        <w:numPr>
          <w:ilvl w:val="0"/>
          <w:numId w:val="14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80597C">
        <w:rPr>
          <w:rFonts w:ascii="Arial" w:hAnsi="Arial" w:cs="Arial"/>
          <w:b/>
          <w:bCs/>
          <w:sz w:val="22"/>
          <w:szCs w:val="22"/>
        </w:rPr>
        <w:t>Joint accountability</w:t>
      </w:r>
      <w:r w:rsidRPr="0080597C">
        <w:rPr>
          <w:rFonts w:ascii="Arial" w:hAnsi="Arial" w:cs="Arial"/>
          <w:sz w:val="22"/>
          <w:szCs w:val="22"/>
        </w:rPr>
        <w:t xml:space="preserve"> remains with solid</w:t>
      </w:r>
      <w:r w:rsidRPr="0080597C">
        <w:rPr>
          <w:rFonts w:ascii="Arial" w:hAnsi="Arial" w:cs="Arial"/>
          <w:sz w:val="22"/>
          <w:szCs w:val="22"/>
        </w:rPr>
        <w:noBreakHyphen/>
        <w:t>line managers (</w:t>
      </w:r>
      <w:proofErr w:type="spellStart"/>
      <w:r w:rsidRPr="0080597C">
        <w:rPr>
          <w:rFonts w:ascii="Arial" w:hAnsi="Arial" w:cs="Arial"/>
          <w:sz w:val="22"/>
          <w:szCs w:val="22"/>
        </w:rPr>
        <w:t>HoRD</w:t>
      </w:r>
      <w:proofErr w:type="spellEnd"/>
      <w:r w:rsidRPr="0080597C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80597C">
        <w:rPr>
          <w:rFonts w:ascii="Arial" w:hAnsi="Arial" w:cs="Arial"/>
          <w:sz w:val="22"/>
          <w:szCs w:val="22"/>
        </w:rPr>
        <w:t>HoTD</w:t>
      </w:r>
      <w:proofErr w:type="spellEnd"/>
      <w:r w:rsidRPr="0080597C">
        <w:rPr>
          <w:rFonts w:ascii="Arial" w:hAnsi="Arial" w:cs="Arial"/>
          <w:sz w:val="22"/>
          <w:szCs w:val="22"/>
        </w:rPr>
        <w:t xml:space="preserve">; </w:t>
      </w:r>
      <w:r w:rsidRPr="0080597C">
        <w:rPr>
          <w:rFonts w:ascii="Arial" w:hAnsi="Arial" w:cs="Arial"/>
          <w:b/>
          <w:bCs/>
          <w:sz w:val="22"/>
          <w:szCs w:val="22"/>
        </w:rPr>
        <w:t>Executive Dean</w:t>
      </w:r>
      <w:r w:rsidR="001E3015">
        <w:rPr>
          <w:rFonts w:ascii="Arial" w:hAnsi="Arial" w:cs="Arial"/>
          <w:b/>
          <w:bCs/>
          <w:sz w:val="22"/>
          <w:szCs w:val="22"/>
        </w:rPr>
        <w:t xml:space="preserve"> (Academic), Director of TNE, </w:t>
      </w:r>
      <w:r w:rsidR="001E3015" w:rsidRPr="001E3015">
        <w:rPr>
          <w:rFonts w:ascii="Arial" w:hAnsi="Arial" w:cs="Arial"/>
          <w:sz w:val="22"/>
          <w:szCs w:val="22"/>
        </w:rPr>
        <w:t>or</w:t>
      </w:r>
      <w:r w:rsidR="001E3015">
        <w:rPr>
          <w:rFonts w:ascii="Arial" w:hAnsi="Arial" w:cs="Arial"/>
          <w:b/>
          <w:bCs/>
          <w:sz w:val="22"/>
          <w:szCs w:val="22"/>
        </w:rPr>
        <w:t xml:space="preserve"> Associate Director of TNE</w:t>
      </w:r>
      <w:r w:rsidRPr="0080597C">
        <w:rPr>
          <w:rFonts w:ascii="Arial" w:hAnsi="Arial" w:cs="Arial"/>
          <w:sz w:val="22"/>
          <w:szCs w:val="22"/>
        </w:rPr>
        <w:t xml:space="preserve"> for </w:t>
      </w:r>
      <w:r w:rsidR="00176138">
        <w:rPr>
          <w:rFonts w:ascii="Arial" w:hAnsi="Arial" w:cs="Arial"/>
          <w:sz w:val="22"/>
          <w:szCs w:val="22"/>
        </w:rPr>
        <w:t>FIFO staff</w:t>
      </w:r>
      <w:r w:rsidRPr="0080597C">
        <w:rPr>
          <w:rFonts w:ascii="Arial" w:hAnsi="Arial" w:cs="Arial"/>
          <w:sz w:val="22"/>
          <w:szCs w:val="22"/>
        </w:rPr>
        <w:t>)</w:t>
      </w:r>
    </w:p>
    <w:p w14:paraId="63B13AAF" w14:textId="1FC83255" w:rsidR="0080597C" w:rsidRPr="0080597C" w:rsidRDefault="0080597C" w:rsidP="005A14C3">
      <w:pPr>
        <w:numPr>
          <w:ilvl w:val="0"/>
          <w:numId w:val="14"/>
        </w:numPr>
        <w:tabs>
          <w:tab w:val="clear" w:pos="720"/>
        </w:tabs>
        <w:ind w:left="1276" w:hanging="283"/>
        <w:rPr>
          <w:rFonts w:ascii="Arial" w:hAnsi="Arial" w:cs="Arial"/>
          <w:sz w:val="22"/>
          <w:szCs w:val="22"/>
        </w:rPr>
      </w:pPr>
      <w:r w:rsidRPr="0080597C">
        <w:rPr>
          <w:rFonts w:ascii="Arial" w:hAnsi="Arial" w:cs="Arial"/>
          <w:b/>
          <w:bCs/>
          <w:sz w:val="22"/>
          <w:szCs w:val="22"/>
        </w:rPr>
        <w:t>Calibration meetings</w:t>
      </w:r>
      <w:r w:rsidRPr="0080597C">
        <w:rPr>
          <w:rFonts w:ascii="Arial" w:hAnsi="Arial" w:cs="Arial"/>
          <w:sz w:val="22"/>
          <w:szCs w:val="22"/>
        </w:rPr>
        <w:t xml:space="preserve"> ensure consistency</w:t>
      </w:r>
      <w:r w:rsidRPr="00361FA4">
        <w:rPr>
          <w:rFonts w:ascii="Arial" w:hAnsi="Arial" w:cs="Arial"/>
          <w:sz w:val="22"/>
          <w:szCs w:val="22"/>
        </w:rPr>
        <w:t>.</w:t>
      </w:r>
    </w:p>
    <w:p w14:paraId="2A7D9525" w14:textId="18E77642" w:rsidR="0080597C" w:rsidRPr="0080597C" w:rsidRDefault="0080597C" w:rsidP="0080597C">
      <w:pPr>
        <w:pStyle w:val="Heading3"/>
        <w:ind w:left="993" w:hanging="567"/>
      </w:pPr>
      <w:r w:rsidRPr="0080597C">
        <w:t xml:space="preserve">5.2 </w:t>
      </w:r>
      <w:r>
        <w:tab/>
      </w:r>
      <w:r w:rsidRPr="0080597C">
        <w:t>Coordination Mechanisms</w:t>
      </w:r>
    </w:p>
    <w:p w14:paraId="2ECF798B" w14:textId="77777777" w:rsidR="0080597C" w:rsidRPr="0080597C" w:rsidRDefault="0080597C" w:rsidP="005A14C3">
      <w:pPr>
        <w:numPr>
          <w:ilvl w:val="0"/>
          <w:numId w:val="15"/>
        </w:numPr>
        <w:tabs>
          <w:tab w:val="clear" w:pos="720"/>
        </w:tabs>
        <w:ind w:left="1276" w:hanging="283"/>
        <w:rPr>
          <w:sz w:val="22"/>
          <w:szCs w:val="22"/>
        </w:rPr>
      </w:pPr>
      <w:r w:rsidRPr="0080597C">
        <w:rPr>
          <w:b/>
          <w:bCs/>
          <w:sz w:val="22"/>
          <w:szCs w:val="22"/>
        </w:rPr>
        <w:t>Monthly</w:t>
      </w:r>
      <w:r w:rsidRPr="0080597C">
        <w:rPr>
          <w:sz w:val="22"/>
          <w:szCs w:val="22"/>
        </w:rPr>
        <w:t xml:space="preserve"> </w:t>
      </w:r>
      <w:proofErr w:type="spellStart"/>
      <w:r w:rsidRPr="0080597C">
        <w:rPr>
          <w:sz w:val="22"/>
          <w:szCs w:val="22"/>
        </w:rPr>
        <w:t>HoRD</w:t>
      </w:r>
      <w:proofErr w:type="spellEnd"/>
      <w:r w:rsidRPr="0080597C">
        <w:rPr>
          <w:sz w:val="22"/>
          <w:szCs w:val="22"/>
        </w:rPr>
        <w:t>–</w:t>
      </w:r>
      <w:proofErr w:type="spellStart"/>
      <w:r w:rsidRPr="0080597C">
        <w:rPr>
          <w:sz w:val="22"/>
          <w:szCs w:val="22"/>
        </w:rPr>
        <w:t>HoTD</w:t>
      </w:r>
      <w:proofErr w:type="spellEnd"/>
      <w:r w:rsidRPr="0080597C">
        <w:rPr>
          <w:sz w:val="22"/>
          <w:szCs w:val="22"/>
        </w:rPr>
        <w:t xml:space="preserve"> paired meetings</w:t>
      </w:r>
    </w:p>
    <w:p w14:paraId="68769FD0" w14:textId="77777777" w:rsidR="0080597C" w:rsidRPr="0080597C" w:rsidRDefault="0080597C" w:rsidP="005A14C3">
      <w:pPr>
        <w:numPr>
          <w:ilvl w:val="0"/>
          <w:numId w:val="15"/>
        </w:numPr>
        <w:tabs>
          <w:tab w:val="clear" w:pos="720"/>
        </w:tabs>
        <w:ind w:left="1276" w:hanging="283"/>
        <w:rPr>
          <w:sz w:val="22"/>
          <w:szCs w:val="22"/>
        </w:rPr>
      </w:pPr>
      <w:r w:rsidRPr="0080597C">
        <w:rPr>
          <w:b/>
          <w:bCs/>
          <w:sz w:val="22"/>
          <w:szCs w:val="22"/>
        </w:rPr>
        <w:t>Termly</w:t>
      </w:r>
      <w:r w:rsidRPr="0080597C">
        <w:rPr>
          <w:sz w:val="22"/>
          <w:szCs w:val="22"/>
        </w:rPr>
        <w:t xml:space="preserve"> School</w:t>
      </w:r>
      <w:r w:rsidRPr="0080597C">
        <w:rPr>
          <w:sz w:val="22"/>
          <w:szCs w:val="22"/>
        </w:rPr>
        <w:noBreakHyphen/>
        <w:t>wide alignment meetings</w:t>
      </w:r>
    </w:p>
    <w:p w14:paraId="29DDD1FE" w14:textId="77777777" w:rsidR="0080597C" w:rsidRPr="0080597C" w:rsidRDefault="0080597C" w:rsidP="005A14C3">
      <w:pPr>
        <w:numPr>
          <w:ilvl w:val="0"/>
          <w:numId w:val="15"/>
        </w:numPr>
        <w:tabs>
          <w:tab w:val="clear" w:pos="720"/>
        </w:tabs>
        <w:ind w:left="1276" w:hanging="283"/>
        <w:rPr>
          <w:sz w:val="22"/>
          <w:szCs w:val="22"/>
        </w:rPr>
      </w:pPr>
      <w:r w:rsidRPr="0080597C">
        <w:rPr>
          <w:b/>
          <w:bCs/>
          <w:sz w:val="22"/>
          <w:szCs w:val="22"/>
        </w:rPr>
        <w:t>Leave approvals</w:t>
      </w:r>
      <w:r w:rsidRPr="0080597C">
        <w:rPr>
          <w:sz w:val="22"/>
          <w:szCs w:val="22"/>
        </w:rPr>
        <w:t xml:space="preserve"> must confirm no conflict with teaching or service obligations</w:t>
      </w:r>
    </w:p>
    <w:p w14:paraId="3DCDD889" w14:textId="4EBF5023" w:rsidR="0080597C" w:rsidRPr="00361FA4" w:rsidRDefault="0080597C" w:rsidP="005A14C3">
      <w:pPr>
        <w:numPr>
          <w:ilvl w:val="0"/>
          <w:numId w:val="15"/>
        </w:numPr>
        <w:tabs>
          <w:tab w:val="clear" w:pos="720"/>
        </w:tabs>
        <w:ind w:left="1276" w:hanging="283"/>
        <w:rPr>
          <w:sz w:val="22"/>
          <w:szCs w:val="22"/>
        </w:rPr>
      </w:pPr>
      <w:r w:rsidRPr="0080597C">
        <w:rPr>
          <w:sz w:val="22"/>
          <w:szCs w:val="22"/>
        </w:rPr>
        <w:t xml:space="preserve">For </w:t>
      </w:r>
      <w:r w:rsidRPr="0080597C">
        <w:rPr>
          <w:b/>
          <w:bCs/>
          <w:sz w:val="22"/>
          <w:szCs w:val="22"/>
        </w:rPr>
        <w:t>fly</w:t>
      </w:r>
      <w:r w:rsidRPr="0080597C">
        <w:rPr>
          <w:b/>
          <w:bCs/>
          <w:sz w:val="22"/>
          <w:szCs w:val="22"/>
        </w:rPr>
        <w:noBreakHyphen/>
        <w:t>in staff</w:t>
      </w:r>
      <w:r w:rsidRPr="0080597C">
        <w:rPr>
          <w:sz w:val="22"/>
          <w:szCs w:val="22"/>
        </w:rPr>
        <w:t xml:space="preserve">, the </w:t>
      </w:r>
      <w:r w:rsidRPr="0080597C">
        <w:rPr>
          <w:b/>
          <w:bCs/>
          <w:sz w:val="22"/>
          <w:szCs w:val="22"/>
        </w:rPr>
        <w:t>Executive Dean</w:t>
      </w:r>
      <w:r w:rsidR="00886E95">
        <w:rPr>
          <w:b/>
          <w:bCs/>
          <w:sz w:val="22"/>
          <w:szCs w:val="22"/>
        </w:rPr>
        <w:t xml:space="preserve"> (Academic), Director of TNE </w:t>
      </w:r>
      <w:r w:rsidR="00886E95" w:rsidRPr="009629E7">
        <w:rPr>
          <w:sz w:val="22"/>
          <w:szCs w:val="22"/>
        </w:rPr>
        <w:t>and</w:t>
      </w:r>
      <w:r w:rsidR="00886E95">
        <w:rPr>
          <w:b/>
          <w:bCs/>
          <w:sz w:val="22"/>
          <w:szCs w:val="22"/>
        </w:rPr>
        <w:t xml:space="preserve"> Associate Director of TNE</w:t>
      </w:r>
      <w:r w:rsidRPr="0080597C">
        <w:rPr>
          <w:sz w:val="22"/>
          <w:szCs w:val="22"/>
        </w:rPr>
        <w:t xml:space="preserve"> participate in relevant planning and oversight meetings as the teaching line manager</w:t>
      </w:r>
      <w:r w:rsidRPr="00361FA4">
        <w:rPr>
          <w:sz w:val="22"/>
          <w:szCs w:val="22"/>
        </w:rPr>
        <w:t>.</w:t>
      </w:r>
    </w:p>
    <w:p w14:paraId="1197B0C8" w14:textId="4F519280" w:rsidR="00C0227D" w:rsidRPr="00C0227D" w:rsidRDefault="00CD1A02" w:rsidP="00C0227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68133773">
          <v:rect id="Horizontal Line 5" o:spid="_x0000_s1028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0A66F5FA" w14:textId="64A9EC09" w:rsidR="00BC4486" w:rsidRPr="00EF532F" w:rsidRDefault="00BC4486" w:rsidP="0080597C">
      <w:pPr>
        <w:pStyle w:val="Heading2"/>
        <w:ind w:left="426" w:hanging="426"/>
        <w:rPr>
          <w:b/>
          <w:bCs/>
        </w:rPr>
      </w:pPr>
      <w:r w:rsidRPr="00EF532F">
        <w:rPr>
          <w:b/>
          <w:bCs/>
        </w:rPr>
        <w:t xml:space="preserve">6. </w:t>
      </w:r>
      <w:r w:rsidR="0080597C">
        <w:rPr>
          <w:b/>
          <w:bCs/>
        </w:rPr>
        <w:tab/>
      </w:r>
      <w:r w:rsidRPr="00EF532F">
        <w:rPr>
          <w:b/>
          <w:bCs/>
        </w:rPr>
        <w:t xml:space="preserve">Research–Teaching </w:t>
      </w:r>
      <w:r w:rsidR="001E3BA0">
        <w:rPr>
          <w:b/>
          <w:bCs/>
        </w:rPr>
        <w:t>l</w:t>
      </w:r>
      <w:r w:rsidRPr="00EF532F">
        <w:rPr>
          <w:b/>
          <w:bCs/>
        </w:rPr>
        <w:t xml:space="preserve">eadership </w:t>
      </w:r>
      <w:r w:rsidR="001E3BA0">
        <w:rPr>
          <w:b/>
          <w:bCs/>
        </w:rPr>
        <w:t>a</w:t>
      </w:r>
      <w:r w:rsidRPr="00EF532F">
        <w:rPr>
          <w:b/>
          <w:bCs/>
        </w:rPr>
        <w:t>lignment</w:t>
      </w:r>
    </w:p>
    <w:p w14:paraId="2AF72408" w14:textId="2DF961DA" w:rsidR="00BC4486" w:rsidRDefault="0080597C" w:rsidP="0080597C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4486" w:rsidRPr="00BC4486">
        <w:rPr>
          <w:rFonts w:ascii="Arial" w:hAnsi="Arial" w:cs="Arial"/>
          <w:sz w:val="22"/>
          <w:szCs w:val="22"/>
        </w:rPr>
        <w:t xml:space="preserve">Divisions and Disciplines are paired for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coordination only</w:t>
      </w:r>
      <w:r w:rsidR="00BC4486" w:rsidRPr="00BC44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C4486" w:rsidRPr="00BC4486">
        <w:rPr>
          <w:rFonts w:ascii="Arial" w:hAnsi="Arial" w:cs="Arial"/>
          <w:sz w:val="22"/>
          <w:szCs w:val="22"/>
        </w:rPr>
        <w:t xml:space="preserve">Pairings do </w:t>
      </w:r>
      <w:r w:rsidR="00BC4486" w:rsidRPr="00BC4486">
        <w:rPr>
          <w:rFonts w:ascii="Arial" w:hAnsi="Arial" w:cs="Arial"/>
          <w:b/>
          <w:bCs/>
          <w:sz w:val="22"/>
          <w:szCs w:val="22"/>
        </w:rPr>
        <w:t>not</w:t>
      </w:r>
      <w:r w:rsidR="00BC4486" w:rsidRPr="00BC4486">
        <w:rPr>
          <w:rFonts w:ascii="Arial" w:hAnsi="Arial" w:cs="Arial"/>
          <w:sz w:val="22"/>
          <w:szCs w:val="22"/>
        </w:rPr>
        <w:t xml:space="preserve"> determine line management assignments.</w:t>
      </w:r>
      <w:r>
        <w:rPr>
          <w:rFonts w:ascii="Arial" w:hAnsi="Arial" w:cs="Arial"/>
          <w:sz w:val="22"/>
          <w:szCs w:val="22"/>
        </w:rPr>
        <w:t xml:space="preserve"> </w:t>
      </w:r>
      <w:r w:rsidR="00BC4486" w:rsidRPr="00BC4486">
        <w:rPr>
          <w:rFonts w:ascii="Arial" w:hAnsi="Arial" w:cs="Arial"/>
          <w:sz w:val="22"/>
          <w:szCs w:val="22"/>
        </w:rPr>
        <w:t>(See Appendix A.)</w:t>
      </w:r>
    </w:p>
    <w:p w14:paraId="5162E842" w14:textId="06A375A5" w:rsidR="001E3BA0" w:rsidRPr="00C0227D" w:rsidRDefault="00CD1A02" w:rsidP="001E3BA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pict w14:anchorId="437591EA">
          <v:rect id="Horizontal Line 6" o:spid="_x0000_s1027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7E614B14" w14:textId="77777777" w:rsidR="00783880" w:rsidRDefault="0078388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7873C035" w14:textId="3A493FCC" w:rsidR="001E3BA0" w:rsidRPr="001E3BA0" w:rsidRDefault="001E3BA0" w:rsidP="001E3BA0">
      <w:pPr>
        <w:pStyle w:val="Heading2"/>
        <w:ind w:left="426" w:hanging="426"/>
        <w:rPr>
          <w:b/>
          <w:bCs/>
        </w:rPr>
      </w:pPr>
      <w:r w:rsidRPr="001E3BA0">
        <w:rPr>
          <w:b/>
          <w:bCs/>
        </w:rPr>
        <w:lastRenderedPageBreak/>
        <w:t xml:space="preserve">7. </w:t>
      </w:r>
      <w:r>
        <w:rPr>
          <w:b/>
          <w:bCs/>
        </w:rPr>
        <w:tab/>
      </w:r>
      <w:r w:rsidRPr="001E3BA0">
        <w:rPr>
          <w:b/>
          <w:bCs/>
        </w:rPr>
        <w:t xml:space="preserve">Teaching </w:t>
      </w:r>
      <w:r w:rsidR="00176138">
        <w:rPr>
          <w:b/>
          <w:bCs/>
        </w:rPr>
        <w:t>w</w:t>
      </w:r>
      <w:r w:rsidRPr="001E3BA0">
        <w:rPr>
          <w:b/>
          <w:bCs/>
        </w:rPr>
        <w:t xml:space="preserve">ork </w:t>
      </w:r>
      <w:r w:rsidR="00176138">
        <w:rPr>
          <w:b/>
          <w:bCs/>
        </w:rPr>
        <w:t>a</w:t>
      </w:r>
      <w:r w:rsidRPr="001E3BA0">
        <w:rPr>
          <w:b/>
          <w:bCs/>
        </w:rPr>
        <w:t xml:space="preserve">llocation </w:t>
      </w:r>
      <w:r w:rsidR="00176138">
        <w:rPr>
          <w:b/>
          <w:bCs/>
        </w:rPr>
        <w:t>p</w:t>
      </w:r>
      <w:r w:rsidRPr="001E3BA0">
        <w:rPr>
          <w:b/>
          <w:bCs/>
        </w:rPr>
        <w:t>rinciples</w:t>
      </w:r>
    </w:p>
    <w:tbl>
      <w:tblPr>
        <w:tblW w:w="9010" w:type="dxa"/>
        <w:tblCellSpacing w:w="1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205"/>
      </w:tblGrid>
      <w:tr w:rsidR="00087040" w:rsidRPr="001E3BA0" w14:paraId="71576A06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A1B5E1" w14:textId="77777777" w:rsidR="001E3BA0" w:rsidRPr="001E3BA0" w:rsidRDefault="001E3BA0" w:rsidP="001E3BA0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BA0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CB3FB2" w14:textId="77777777" w:rsidR="001E3BA0" w:rsidRPr="001E3BA0" w:rsidRDefault="001E3BA0" w:rsidP="001E3BA0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BA0">
              <w:rPr>
                <w:rFonts w:ascii="Arial" w:hAnsi="Arial" w:cs="Arial"/>
                <w:b/>
                <w:bCs/>
                <w:sz w:val="22"/>
                <w:szCs w:val="22"/>
              </w:rPr>
              <w:t>Allocation</w:t>
            </w:r>
          </w:p>
        </w:tc>
      </w:tr>
      <w:tr w:rsidR="001E3BA0" w:rsidRPr="001E3BA0" w14:paraId="6FBB2468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8B6AA1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R&amp;T baseline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868579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30 credits</w:t>
            </w:r>
          </w:p>
        </w:tc>
      </w:tr>
      <w:tr w:rsidR="001E3BA0" w:rsidRPr="001E3BA0" w14:paraId="434F1E3D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70A57C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LTS baseline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89820D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50 credits</w:t>
            </w:r>
          </w:p>
        </w:tc>
      </w:tr>
      <w:tr w:rsidR="001E3BA0" w:rsidRPr="001E3BA0" w14:paraId="0D024662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47EB31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Early career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169941" w14:textId="1052143F" w:rsidR="00AD35C5" w:rsidRPr="001E3BA0" w:rsidRDefault="001E3BA0" w:rsidP="007125E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10 → 20 → 30 credits (years 1–3)</w:t>
            </w:r>
            <w:r w:rsidR="00033713">
              <w:rPr>
                <w:rFonts w:ascii="Arial" w:hAnsi="Arial" w:cs="Arial"/>
                <w:sz w:val="22"/>
                <w:szCs w:val="22"/>
              </w:rPr>
              <w:t xml:space="preserve"> typically</w:t>
            </w:r>
            <w:r w:rsidR="00AD35C5">
              <w:rPr>
                <w:rFonts w:ascii="Arial" w:hAnsi="Arial" w:cs="Arial"/>
                <w:sz w:val="22"/>
                <w:szCs w:val="22"/>
              </w:rPr>
              <w:t xml:space="preserve"> (R&amp;T)</w:t>
            </w:r>
            <w:r w:rsidR="007125E0">
              <w:rPr>
                <w:rFonts w:ascii="Arial" w:hAnsi="Arial" w:cs="Arial"/>
                <w:sz w:val="22"/>
                <w:szCs w:val="22"/>
              </w:rPr>
              <w:br/>
              <w:t>30</w:t>
            </w:r>
            <w:r w:rsidR="00AD35C5" w:rsidRPr="001E3BA0">
              <w:rPr>
                <w:rFonts w:ascii="Arial" w:hAnsi="Arial" w:cs="Arial"/>
                <w:sz w:val="22"/>
                <w:szCs w:val="22"/>
              </w:rPr>
              <w:t xml:space="preserve"> → </w:t>
            </w:r>
            <w:r w:rsidR="007125E0">
              <w:rPr>
                <w:rFonts w:ascii="Arial" w:hAnsi="Arial" w:cs="Arial"/>
                <w:sz w:val="22"/>
                <w:szCs w:val="22"/>
              </w:rPr>
              <w:t>40</w:t>
            </w:r>
            <w:r w:rsidR="00AD35C5" w:rsidRPr="001E3BA0">
              <w:rPr>
                <w:rFonts w:ascii="Arial" w:hAnsi="Arial" w:cs="Arial"/>
                <w:sz w:val="22"/>
                <w:szCs w:val="22"/>
              </w:rPr>
              <w:t xml:space="preserve"> → </w:t>
            </w:r>
            <w:r w:rsidR="00AD35C5">
              <w:rPr>
                <w:rFonts w:ascii="Arial" w:hAnsi="Arial" w:cs="Arial"/>
                <w:sz w:val="22"/>
                <w:szCs w:val="22"/>
              </w:rPr>
              <w:t>5</w:t>
            </w:r>
            <w:r w:rsidR="00AD35C5" w:rsidRPr="001E3BA0">
              <w:rPr>
                <w:rFonts w:ascii="Arial" w:hAnsi="Arial" w:cs="Arial"/>
                <w:sz w:val="22"/>
                <w:szCs w:val="22"/>
              </w:rPr>
              <w:t>0 credits (years 1–3)</w:t>
            </w:r>
            <w:r w:rsidR="007125E0">
              <w:rPr>
                <w:rFonts w:ascii="Arial" w:hAnsi="Arial" w:cs="Arial"/>
                <w:sz w:val="22"/>
                <w:szCs w:val="22"/>
              </w:rPr>
              <w:t xml:space="preserve"> typically (LTS)</w:t>
            </w:r>
          </w:p>
        </w:tc>
      </w:tr>
      <w:tr w:rsidR="001E3BA0" w:rsidRPr="001E3BA0" w14:paraId="52B32006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52C311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Leadership roles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123620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~10 credit reduction</w:t>
            </w:r>
          </w:p>
        </w:tc>
      </w:tr>
      <w:tr w:rsidR="001E3BA0" w:rsidRPr="001E3BA0" w14:paraId="17775505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E05B13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Grant recovery / fellowships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12BA07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Up to 20 credits; full exemption only where required by fellowship</w:t>
            </w:r>
          </w:p>
        </w:tc>
      </w:tr>
      <w:tr w:rsidR="001E3BA0" w:rsidRPr="001E3BA0" w14:paraId="5DA145CF" w14:textId="77777777" w:rsidTr="001E3BA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055650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Project supervision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CD2F6D" w14:textId="77777777" w:rsidR="001E3BA0" w:rsidRPr="001E3BA0" w:rsidRDefault="001E3BA0" w:rsidP="001E3BA0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Included in overall workload balance</w:t>
            </w:r>
          </w:p>
        </w:tc>
      </w:tr>
    </w:tbl>
    <w:p w14:paraId="5596C26A" w14:textId="77777777" w:rsidR="001E3BA0" w:rsidRPr="00474BBE" w:rsidRDefault="001E3BA0" w:rsidP="0080597C">
      <w:pPr>
        <w:tabs>
          <w:tab w:val="left" w:pos="426"/>
        </w:tabs>
        <w:ind w:left="426" w:hanging="426"/>
        <w:rPr>
          <w:rFonts w:ascii="Arial" w:hAnsi="Arial" w:cs="Arial"/>
          <w:sz w:val="10"/>
          <w:szCs w:val="10"/>
        </w:rPr>
      </w:pPr>
    </w:p>
    <w:p w14:paraId="326B0755" w14:textId="13CBF65E" w:rsidR="00033713" w:rsidRPr="00FA1BC1" w:rsidRDefault="00033713" w:rsidP="004462B3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1BC1">
        <w:rPr>
          <w:rFonts w:ascii="Arial" w:hAnsi="Arial" w:cs="Arial"/>
          <w:sz w:val="22"/>
          <w:szCs w:val="22"/>
        </w:rPr>
        <w:t xml:space="preserve">Reduced teaching loads for early career staff are outlined based on an assumption of </w:t>
      </w:r>
      <w:proofErr w:type="spellStart"/>
      <w:r w:rsidRPr="00FA1BC1">
        <w:rPr>
          <w:rFonts w:ascii="Arial" w:hAnsi="Arial" w:cs="Arial"/>
          <w:sz w:val="22"/>
          <w:szCs w:val="22"/>
        </w:rPr>
        <w:t>PgCAP</w:t>
      </w:r>
      <w:proofErr w:type="spellEnd"/>
      <w:r w:rsidRPr="00FA1BC1">
        <w:rPr>
          <w:rFonts w:ascii="Arial" w:hAnsi="Arial" w:cs="Arial"/>
          <w:sz w:val="22"/>
          <w:szCs w:val="22"/>
        </w:rPr>
        <w:t xml:space="preserve"> being undertaken in Year 1. </w:t>
      </w:r>
    </w:p>
    <w:p w14:paraId="09AF33EF" w14:textId="0B435D9D" w:rsidR="001E3BA0" w:rsidRDefault="00323C5C" w:rsidP="004462B3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F3B7F" w:rsidRPr="00CF3B7F">
        <w:rPr>
          <w:rFonts w:ascii="Arial" w:hAnsi="Arial" w:cs="Arial"/>
          <w:b/>
          <w:bCs/>
          <w:sz w:val="22"/>
          <w:szCs w:val="22"/>
        </w:rPr>
        <w:t>FIFO delivery:</w:t>
      </w:r>
      <w:r w:rsidR="00CF3B7F" w:rsidRPr="00CF3B7F">
        <w:rPr>
          <w:rFonts w:ascii="Arial" w:hAnsi="Arial" w:cs="Arial"/>
          <w:sz w:val="22"/>
          <w:szCs w:val="22"/>
        </w:rPr>
        <w:t xml:space="preserve"> Teaching workloads for fly</w:t>
      </w:r>
      <w:r w:rsidR="00CF3B7F" w:rsidRPr="00CF3B7F">
        <w:rPr>
          <w:rFonts w:ascii="Arial" w:hAnsi="Arial" w:cs="Arial"/>
          <w:sz w:val="22"/>
          <w:szCs w:val="22"/>
        </w:rPr>
        <w:noBreakHyphen/>
        <w:t>in</w:t>
      </w:r>
      <w:r w:rsidR="00CF3B7F">
        <w:rPr>
          <w:rFonts w:ascii="Arial" w:hAnsi="Arial" w:cs="Arial"/>
          <w:sz w:val="22"/>
          <w:szCs w:val="22"/>
        </w:rPr>
        <w:t>-fly</w:t>
      </w:r>
      <w:r>
        <w:rPr>
          <w:rFonts w:ascii="Arial" w:hAnsi="Arial" w:cs="Arial"/>
          <w:sz w:val="22"/>
          <w:szCs w:val="22"/>
        </w:rPr>
        <w:t>-out</w:t>
      </w:r>
      <w:r w:rsidR="00CF3B7F" w:rsidRPr="00CF3B7F">
        <w:rPr>
          <w:rFonts w:ascii="Arial" w:hAnsi="Arial" w:cs="Arial"/>
          <w:sz w:val="22"/>
          <w:szCs w:val="22"/>
        </w:rPr>
        <w:t xml:space="preserve"> (FIFO) staff will be adjusted to reflect travel time, delivery patterns, and in</w:t>
      </w:r>
      <w:r w:rsidR="00CF3B7F" w:rsidRPr="00CF3B7F">
        <w:rPr>
          <w:rFonts w:ascii="Arial" w:hAnsi="Arial" w:cs="Arial"/>
          <w:sz w:val="22"/>
          <w:szCs w:val="22"/>
        </w:rPr>
        <w:noBreakHyphen/>
        <w:t xml:space="preserve">country operational demands. </w:t>
      </w:r>
      <w:r w:rsidR="004462B3" w:rsidRPr="004462B3">
        <w:rPr>
          <w:rFonts w:ascii="Arial" w:hAnsi="Arial" w:cs="Arial"/>
          <w:sz w:val="22"/>
          <w:szCs w:val="22"/>
        </w:rPr>
        <w:t>While allocations remain aligned with School workload principles, they may vary year</w:t>
      </w:r>
      <w:r w:rsidR="004462B3" w:rsidRPr="004462B3">
        <w:rPr>
          <w:rFonts w:ascii="Arial" w:hAnsi="Arial" w:cs="Arial"/>
          <w:sz w:val="22"/>
          <w:szCs w:val="22"/>
        </w:rPr>
        <w:noBreakHyphen/>
        <w:t>to</w:t>
      </w:r>
      <w:r w:rsidR="004462B3" w:rsidRPr="004462B3">
        <w:rPr>
          <w:rFonts w:ascii="Arial" w:hAnsi="Arial" w:cs="Arial"/>
          <w:sz w:val="22"/>
          <w:szCs w:val="22"/>
        </w:rPr>
        <w:noBreakHyphen/>
        <w:t>year in response to operational requirements.</w:t>
      </w:r>
      <w:r w:rsidR="001E3BA0">
        <w:rPr>
          <w:rFonts w:ascii="Arial" w:hAnsi="Arial" w:cs="Arial"/>
          <w:sz w:val="22"/>
          <w:szCs w:val="22"/>
        </w:rPr>
        <w:br w:type="page"/>
      </w:r>
    </w:p>
    <w:p w14:paraId="2D4D48BF" w14:textId="47D8DD24" w:rsidR="001E3BA0" w:rsidRPr="001E3BA0" w:rsidRDefault="001E3BA0" w:rsidP="001E3BA0">
      <w:pPr>
        <w:pStyle w:val="Heading2"/>
        <w:rPr>
          <w:b/>
          <w:bCs/>
        </w:rPr>
      </w:pPr>
      <w:r w:rsidRPr="001E3BA0">
        <w:rPr>
          <w:b/>
          <w:bCs/>
        </w:rPr>
        <w:lastRenderedPageBreak/>
        <w:t xml:space="preserve">Appendix A — Division–Discipline </w:t>
      </w:r>
      <w:r>
        <w:rPr>
          <w:b/>
          <w:bCs/>
        </w:rPr>
        <w:t>p</w:t>
      </w:r>
      <w:r w:rsidRPr="001E3BA0">
        <w:rPr>
          <w:b/>
          <w:bCs/>
        </w:rPr>
        <w:t>airings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678"/>
      </w:tblGrid>
      <w:tr w:rsidR="001E3BA0" w:rsidRPr="001E3BA0" w14:paraId="6EF40DD6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ECA50D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BA0">
              <w:rPr>
                <w:rFonts w:ascii="Arial" w:hAnsi="Arial" w:cs="Arial"/>
                <w:b/>
                <w:bCs/>
                <w:sz w:val="22"/>
                <w:szCs w:val="22"/>
              </w:rPr>
              <w:t>Research Division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849925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BA0">
              <w:rPr>
                <w:rFonts w:ascii="Arial" w:hAnsi="Arial" w:cs="Arial"/>
                <w:b/>
                <w:bCs/>
                <w:sz w:val="22"/>
                <w:szCs w:val="22"/>
              </w:rPr>
              <w:t>Teaching Discipline</w:t>
            </w:r>
          </w:p>
        </w:tc>
      </w:tr>
      <w:tr w:rsidR="001E3BA0" w:rsidRPr="001E3BA0" w14:paraId="22A203CD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C3AC13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Autonomous Systems &amp; Connective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AD2CF2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Aeronautical &amp; Aerospace Engineering</w:t>
            </w:r>
          </w:p>
        </w:tc>
      </w:tr>
      <w:tr w:rsidR="001E3BA0" w:rsidRPr="001E3BA0" w14:paraId="2731B8F6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7898AE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Biomedical Engineering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61071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Biomedical Engineering</w:t>
            </w:r>
          </w:p>
        </w:tc>
      </w:tr>
      <w:tr w:rsidR="001E3BA0" w:rsidRPr="001E3BA0" w14:paraId="7F5FD8B9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917D39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Electronics &amp; Nanoscale Engineering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7DD4F7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Electronics &amp; Electrical Engineering</w:t>
            </w:r>
          </w:p>
        </w:tc>
      </w:tr>
      <w:tr w:rsidR="001E3BA0" w:rsidRPr="001E3BA0" w14:paraId="796FBB86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0A3EF9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Infrastructure &amp; Environment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1EA368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Civil Engineering</w:t>
            </w:r>
          </w:p>
        </w:tc>
      </w:tr>
      <w:tr w:rsidR="001E3BA0" w:rsidRPr="001E3BA0" w14:paraId="2D4FD0EE" w14:textId="77777777" w:rsidTr="001E3BA0">
        <w:trPr>
          <w:tblCellSpacing w:w="15" w:type="dxa"/>
        </w:trPr>
        <w:tc>
          <w:tcPr>
            <w:tcW w:w="4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79EF80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Systems, Power &amp; Energy</w:t>
            </w:r>
          </w:p>
        </w:tc>
        <w:tc>
          <w:tcPr>
            <w:tcW w:w="46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5EA07" w14:textId="77777777" w:rsidR="001E3BA0" w:rsidRPr="001E3BA0" w:rsidRDefault="001E3BA0" w:rsidP="001E3BA0">
            <w:pPr>
              <w:tabs>
                <w:tab w:val="left" w:pos="426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  <w:r w:rsidRPr="001E3BA0"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</w:tc>
      </w:tr>
    </w:tbl>
    <w:p w14:paraId="6A0F11C0" w14:textId="78A0A8F8" w:rsidR="001E3BA0" w:rsidRPr="001E3BA0" w:rsidRDefault="001E3BA0" w:rsidP="001E3BA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28E40A" w14:textId="0A84970F" w:rsidR="001E3BA0" w:rsidRPr="005E7B56" w:rsidRDefault="001E3BA0" w:rsidP="001E3BA0">
      <w:pPr>
        <w:pStyle w:val="Heading2"/>
        <w:rPr>
          <w:b/>
          <w:bCs/>
          <w:lang w:val="fr-FR"/>
        </w:rPr>
      </w:pPr>
      <w:r w:rsidRPr="005E7B56">
        <w:rPr>
          <w:b/>
          <w:bCs/>
          <w:lang w:val="fr-FR"/>
        </w:rPr>
        <w:t xml:space="preserve">Appendix B — HR Core </w:t>
      </w:r>
      <w:proofErr w:type="spellStart"/>
      <w:r w:rsidR="007D40F7" w:rsidRPr="005E7B56">
        <w:rPr>
          <w:b/>
          <w:bCs/>
          <w:lang w:val="fr-FR"/>
        </w:rPr>
        <w:t>impl</w:t>
      </w:r>
      <w:r w:rsidR="007D40F7">
        <w:rPr>
          <w:b/>
          <w:bCs/>
          <w:lang w:val="fr-FR"/>
        </w:rPr>
        <w:t>e</w:t>
      </w:r>
      <w:r w:rsidR="007D40F7" w:rsidRPr="005E7B56">
        <w:rPr>
          <w:b/>
          <w:bCs/>
          <w:lang w:val="fr-FR"/>
        </w:rPr>
        <w:t>mentation</w:t>
      </w:r>
      <w:proofErr w:type="spellEnd"/>
      <w:r w:rsidRPr="005E7B56">
        <w:rPr>
          <w:b/>
          <w:bCs/>
          <w:lang w:val="fr-FR"/>
        </w:rPr>
        <w:t xml:space="preserve"> notes</w:t>
      </w:r>
    </w:p>
    <w:p w14:paraId="3EC1460C" w14:textId="77777777" w:rsidR="001E3BA0" w:rsidRPr="001E3BA0" w:rsidRDefault="001E3BA0" w:rsidP="001E3BA0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1E3BA0">
        <w:rPr>
          <w:rFonts w:ascii="Arial" w:hAnsi="Arial" w:cs="Arial"/>
          <w:b/>
          <w:bCs/>
          <w:sz w:val="22"/>
          <w:szCs w:val="22"/>
        </w:rPr>
        <w:t>User Defined Fields</w:t>
      </w:r>
    </w:p>
    <w:p w14:paraId="17A92236" w14:textId="5E3DED4C" w:rsidR="001E3BA0" w:rsidRPr="001E3BA0" w:rsidRDefault="001E3BA0" w:rsidP="005A14C3">
      <w:pPr>
        <w:numPr>
          <w:ilvl w:val="0"/>
          <w:numId w:val="1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Discipline</w:t>
      </w:r>
      <w:r>
        <w:rPr>
          <w:rFonts w:ascii="Arial" w:hAnsi="Arial" w:cs="Arial"/>
          <w:sz w:val="22"/>
          <w:szCs w:val="22"/>
        </w:rPr>
        <w:t xml:space="preserve"> affiliation captured</w:t>
      </w:r>
      <w:r w:rsidRPr="001E3BA0">
        <w:rPr>
          <w:rFonts w:ascii="Arial" w:hAnsi="Arial" w:cs="Arial"/>
          <w:sz w:val="22"/>
          <w:szCs w:val="22"/>
        </w:rPr>
        <w:t xml:space="preserve"> via UDF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924204" w14:textId="77777777" w:rsidR="001E3BA0" w:rsidRPr="001E3BA0" w:rsidRDefault="001E3BA0" w:rsidP="005A14C3">
      <w:pPr>
        <w:numPr>
          <w:ilvl w:val="0"/>
          <w:numId w:val="16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Prevents headcount / FTE discrepancies</w:t>
      </w:r>
    </w:p>
    <w:p w14:paraId="37DBA356" w14:textId="77777777" w:rsidR="001E3BA0" w:rsidRPr="001E3BA0" w:rsidRDefault="001E3BA0" w:rsidP="005A14C3">
      <w:pPr>
        <w:numPr>
          <w:ilvl w:val="0"/>
          <w:numId w:val="17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Assign access to both solid-line managers</w:t>
      </w:r>
    </w:p>
    <w:p w14:paraId="0015FBBA" w14:textId="77777777" w:rsidR="001E3BA0" w:rsidRPr="001E3BA0" w:rsidRDefault="001E3BA0" w:rsidP="005A14C3">
      <w:pPr>
        <w:numPr>
          <w:ilvl w:val="0"/>
          <w:numId w:val="17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Support dual visibility without duplicating structures</w:t>
      </w:r>
    </w:p>
    <w:p w14:paraId="6666CE1C" w14:textId="77777777" w:rsidR="001E3BA0" w:rsidRPr="001E3BA0" w:rsidRDefault="001E3BA0" w:rsidP="001E3BA0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1E3BA0">
        <w:rPr>
          <w:rFonts w:ascii="Arial" w:hAnsi="Arial" w:cs="Arial"/>
          <w:b/>
          <w:bCs/>
          <w:sz w:val="22"/>
          <w:szCs w:val="22"/>
        </w:rPr>
        <w:t>Approval Routing</w:t>
      </w:r>
    </w:p>
    <w:p w14:paraId="10FDE337" w14:textId="58D7AF64" w:rsidR="001E3BA0" w:rsidRPr="001E3BA0" w:rsidRDefault="001E3BA0" w:rsidP="005A14C3">
      <w:pPr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 xml:space="preserve">All leave types </w:t>
      </w:r>
      <w:r>
        <w:rPr>
          <w:rFonts w:ascii="Arial" w:hAnsi="Arial" w:cs="Arial"/>
          <w:sz w:val="22"/>
          <w:szCs w:val="22"/>
        </w:rPr>
        <w:t>visible</w:t>
      </w:r>
      <w:r w:rsidRPr="001E3BA0">
        <w:rPr>
          <w:rFonts w:ascii="Arial" w:hAnsi="Arial" w:cs="Arial"/>
          <w:sz w:val="22"/>
          <w:szCs w:val="22"/>
        </w:rPr>
        <w:t xml:space="preserve"> to both </w:t>
      </w:r>
      <w:r w:rsidR="00151A3F">
        <w:rPr>
          <w:rFonts w:ascii="Arial" w:hAnsi="Arial" w:cs="Arial"/>
          <w:sz w:val="22"/>
          <w:szCs w:val="22"/>
        </w:rPr>
        <w:t>solid-</w:t>
      </w:r>
      <w:r w:rsidRPr="001E3BA0">
        <w:rPr>
          <w:rFonts w:ascii="Arial" w:hAnsi="Arial" w:cs="Arial"/>
          <w:sz w:val="22"/>
          <w:szCs w:val="22"/>
        </w:rPr>
        <w:t>line managers</w:t>
      </w:r>
    </w:p>
    <w:p w14:paraId="77026A54" w14:textId="77777777" w:rsidR="001E3BA0" w:rsidRPr="001E3BA0" w:rsidRDefault="001E3BA0" w:rsidP="005A14C3">
      <w:pPr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Expenses routed to selected manager</w:t>
      </w:r>
    </w:p>
    <w:p w14:paraId="32B5FEF2" w14:textId="77777777" w:rsidR="001E3BA0" w:rsidRPr="001E3BA0" w:rsidRDefault="001E3BA0" w:rsidP="005A14C3">
      <w:pPr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 xml:space="preserve">Both </w:t>
      </w:r>
      <w:proofErr w:type="spellStart"/>
      <w:r w:rsidRPr="001E3BA0">
        <w:rPr>
          <w:rFonts w:ascii="Arial" w:hAnsi="Arial" w:cs="Arial"/>
          <w:sz w:val="22"/>
          <w:szCs w:val="22"/>
        </w:rPr>
        <w:t>HoRD</w:t>
      </w:r>
      <w:proofErr w:type="spellEnd"/>
      <w:r w:rsidRPr="001E3BA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1E3BA0">
        <w:rPr>
          <w:rFonts w:ascii="Arial" w:hAnsi="Arial" w:cs="Arial"/>
          <w:sz w:val="22"/>
          <w:szCs w:val="22"/>
        </w:rPr>
        <w:t>HoTD</w:t>
      </w:r>
      <w:proofErr w:type="spellEnd"/>
      <w:r w:rsidRPr="001E3BA0">
        <w:rPr>
          <w:rFonts w:ascii="Arial" w:hAnsi="Arial" w:cs="Arial"/>
          <w:sz w:val="22"/>
          <w:szCs w:val="22"/>
        </w:rPr>
        <w:t xml:space="preserve"> see full reporting-line information</w:t>
      </w:r>
    </w:p>
    <w:p w14:paraId="5143DA72" w14:textId="2F222CC3" w:rsidR="3C861867" w:rsidRDefault="3C861867" w:rsidP="27AD517A">
      <w:pPr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27AD517A">
        <w:rPr>
          <w:rFonts w:ascii="Arial" w:hAnsi="Arial" w:cs="Arial"/>
          <w:sz w:val="22"/>
          <w:szCs w:val="22"/>
        </w:rPr>
        <w:t xml:space="preserve">Ivanti requests </w:t>
      </w:r>
      <w:r w:rsidR="00151A3F">
        <w:rPr>
          <w:rFonts w:ascii="Arial" w:hAnsi="Arial" w:cs="Arial"/>
          <w:sz w:val="22"/>
          <w:szCs w:val="22"/>
        </w:rPr>
        <w:t xml:space="preserve">(including occupational health </w:t>
      </w:r>
      <w:r w:rsidRPr="27AD517A">
        <w:rPr>
          <w:rFonts w:ascii="Arial" w:hAnsi="Arial" w:cs="Arial"/>
          <w:sz w:val="22"/>
          <w:szCs w:val="22"/>
        </w:rPr>
        <w:t>referrals, probation and flexible working</w:t>
      </w:r>
      <w:r w:rsidR="00A01029">
        <w:rPr>
          <w:rFonts w:ascii="Arial" w:hAnsi="Arial" w:cs="Arial"/>
          <w:sz w:val="22"/>
          <w:szCs w:val="22"/>
        </w:rPr>
        <w:t xml:space="preserve"> requests) are routed</w:t>
      </w:r>
      <w:r w:rsidRPr="27AD517A">
        <w:rPr>
          <w:rFonts w:ascii="Arial" w:hAnsi="Arial" w:cs="Arial"/>
          <w:sz w:val="22"/>
          <w:szCs w:val="22"/>
        </w:rPr>
        <w:t xml:space="preserve"> through Ivanti </w:t>
      </w:r>
      <w:r w:rsidR="00A01029">
        <w:rPr>
          <w:rFonts w:ascii="Arial" w:hAnsi="Arial" w:cs="Arial"/>
          <w:sz w:val="22"/>
          <w:szCs w:val="22"/>
        </w:rPr>
        <w:t xml:space="preserve">workflows based </w:t>
      </w:r>
      <w:r w:rsidRPr="27AD517A">
        <w:rPr>
          <w:rFonts w:ascii="Arial" w:hAnsi="Arial" w:cs="Arial"/>
          <w:sz w:val="22"/>
          <w:szCs w:val="22"/>
        </w:rPr>
        <w:t>on career track</w:t>
      </w:r>
    </w:p>
    <w:p w14:paraId="16ECB2B4" w14:textId="4D1C0264" w:rsidR="7F00BC55" w:rsidRDefault="7F00BC55" w:rsidP="27AD517A">
      <w:pPr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27AD517A">
        <w:rPr>
          <w:rFonts w:ascii="Arial" w:hAnsi="Arial" w:cs="Arial"/>
          <w:sz w:val="22"/>
          <w:szCs w:val="22"/>
        </w:rPr>
        <w:t>Outlook</w:t>
      </w:r>
      <w:r w:rsidR="00A01029">
        <w:rPr>
          <w:rFonts w:ascii="Arial" w:hAnsi="Arial" w:cs="Arial"/>
          <w:sz w:val="22"/>
          <w:szCs w:val="22"/>
        </w:rPr>
        <w:t xml:space="preserve"> displays a single</w:t>
      </w:r>
      <w:r w:rsidRPr="27AD517A">
        <w:rPr>
          <w:rFonts w:ascii="Arial" w:hAnsi="Arial" w:cs="Arial"/>
          <w:sz w:val="22"/>
          <w:szCs w:val="22"/>
        </w:rPr>
        <w:t xml:space="preserve"> line manager </w:t>
      </w:r>
      <w:r w:rsidR="00A01029">
        <w:rPr>
          <w:rFonts w:ascii="Arial" w:hAnsi="Arial" w:cs="Arial"/>
          <w:sz w:val="22"/>
          <w:szCs w:val="22"/>
        </w:rPr>
        <w:t>only and is constrained to career-track alignment by Microsoft platform functionality</w:t>
      </w:r>
    </w:p>
    <w:p w14:paraId="0B024915" w14:textId="77777777" w:rsidR="001E3BA0" w:rsidRPr="001E3BA0" w:rsidRDefault="001E3BA0" w:rsidP="001E3BA0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1E3BA0">
        <w:rPr>
          <w:rFonts w:ascii="Arial" w:hAnsi="Arial" w:cs="Arial"/>
          <w:b/>
          <w:bCs/>
          <w:sz w:val="22"/>
          <w:szCs w:val="22"/>
        </w:rPr>
        <w:t>PDR / Promotion Visibility</w:t>
      </w:r>
    </w:p>
    <w:p w14:paraId="71BA62D3" w14:textId="44294388" w:rsidR="001E3BA0" w:rsidRPr="001E3BA0" w:rsidRDefault="001E3BA0" w:rsidP="005A14C3">
      <w:pPr>
        <w:numPr>
          <w:ilvl w:val="0"/>
          <w:numId w:val="19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 xml:space="preserve">PDR reviewer </w:t>
      </w:r>
      <w:r w:rsidR="000A263D">
        <w:rPr>
          <w:rFonts w:ascii="Arial" w:hAnsi="Arial" w:cs="Arial"/>
          <w:sz w:val="22"/>
          <w:szCs w:val="22"/>
        </w:rPr>
        <w:t>-</w:t>
      </w:r>
      <w:r w:rsidR="000A263D" w:rsidRPr="001E3BA0">
        <w:rPr>
          <w:rFonts w:ascii="Arial" w:hAnsi="Arial" w:cs="Arial"/>
          <w:sz w:val="22"/>
          <w:szCs w:val="22"/>
        </w:rPr>
        <w:t xml:space="preserve"> </w:t>
      </w:r>
      <w:r w:rsidR="00D87907">
        <w:rPr>
          <w:rFonts w:ascii="Arial" w:hAnsi="Arial" w:cs="Arial"/>
          <w:sz w:val="22"/>
          <w:szCs w:val="22"/>
        </w:rPr>
        <w:t>the system can only assign one reviewer</w:t>
      </w:r>
    </w:p>
    <w:p w14:paraId="166E1B56" w14:textId="77777777" w:rsidR="001E3BA0" w:rsidRPr="001E3BA0" w:rsidRDefault="001E3BA0" w:rsidP="005A14C3">
      <w:pPr>
        <w:numPr>
          <w:ilvl w:val="0"/>
          <w:numId w:val="19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Future dual-visibility options to be explored with PPR</w:t>
      </w:r>
    </w:p>
    <w:p w14:paraId="191B6E43" w14:textId="77777777" w:rsidR="001E3BA0" w:rsidRPr="001E3BA0" w:rsidRDefault="001E3BA0" w:rsidP="005A14C3">
      <w:pPr>
        <w:numPr>
          <w:ilvl w:val="0"/>
          <w:numId w:val="19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3BA0">
        <w:rPr>
          <w:rFonts w:ascii="Arial" w:hAnsi="Arial" w:cs="Arial"/>
          <w:sz w:val="22"/>
          <w:szCs w:val="22"/>
        </w:rPr>
        <w:t>UDF fields support reporting for promotions and reward processes</w:t>
      </w:r>
    </w:p>
    <w:p w14:paraId="76A50256" w14:textId="393A4CD4" w:rsidR="00A06A7A" w:rsidRPr="00C12B7D" w:rsidRDefault="00CD1A02" w:rsidP="009F3FF7">
      <w:pPr>
        <w:rPr>
          <w:rFonts w:ascii="Arial" w:hAnsi="Arial" w:cs="Arial"/>
          <w:sz w:val="22"/>
          <w:szCs w:val="22"/>
        </w:rPr>
      </w:pPr>
      <w:r>
        <w:pict w14:anchorId="7B650721">
          <v:rect id="Horizontal Line 7" o:spid="_x0000_s1026" style="width:451.3pt;height:.0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wrap type="none"/>
            <w10:anchorlock/>
          </v:rect>
        </w:pict>
      </w:r>
    </w:p>
    <w:p w14:paraId="65CF011C" w14:textId="3B7AFF71" w:rsidR="003543A3" w:rsidRPr="00884829" w:rsidRDefault="003543A3" w:rsidP="00396B3A">
      <w:pPr>
        <w:rPr>
          <w:rFonts w:ascii="Arial" w:hAnsi="Arial" w:cs="Arial"/>
          <w:i/>
          <w:iCs/>
          <w:sz w:val="22"/>
          <w:szCs w:val="22"/>
        </w:rPr>
      </w:pPr>
    </w:p>
    <w:sectPr w:rsidR="003543A3" w:rsidRPr="00884829" w:rsidSect="00494946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9553" w14:textId="77777777" w:rsidR="00CD1A02" w:rsidRDefault="00CD1A02" w:rsidP="00494946">
      <w:pPr>
        <w:spacing w:after="0" w:line="240" w:lineRule="auto"/>
      </w:pPr>
      <w:r>
        <w:separator/>
      </w:r>
    </w:p>
  </w:endnote>
  <w:endnote w:type="continuationSeparator" w:id="0">
    <w:p w14:paraId="3EA4F928" w14:textId="77777777" w:rsidR="00CD1A02" w:rsidRDefault="00CD1A02" w:rsidP="0049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C9AB" w14:textId="68082553" w:rsidR="00494946" w:rsidRPr="00494946" w:rsidRDefault="00494946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20"/>
        <w:szCs w:val="20"/>
      </w:rPr>
    </w:pPr>
  </w:p>
  <w:p w14:paraId="144C55B4" w14:textId="77777777" w:rsidR="00494946" w:rsidRDefault="00494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744858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FA00FA" w14:textId="77777777" w:rsidR="00494946" w:rsidRPr="00494946" w:rsidRDefault="0049494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494946">
          <w:rPr>
            <w:rFonts w:ascii="Arial" w:hAnsi="Arial" w:cs="Arial"/>
            <w:sz w:val="20"/>
            <w:szCs w:val="20"/>
          </w:rPr>
          <w:fldChar w:fldCharType="begin"/>
        </w:r>
        <w:r w:rsidRPr="0049494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94946">
          <w:rPr>
            <w:rFonts w:ascii="Arial" w:hAnsi="Arial" w:cs="Arial"/>
            <w:sz w:val="20"/>
            <w:szCs w:val="20"/>
          </w:rPr>
          <w:fldChar w:fldCharType="separate"/>
        </w:r>
        <w:r w:rsidRPr="00494946">
          <w:rPr>
            <w:rFonts w:ascii="Arial" w:hAnsi="Arial" w:cs="Arial"/>
            <w:noProof/>
            <w:sz w:val="20"/>
            <w:szCs w:val="20"/>
          </w:rPr>
          <w:t>2</w:t>
        </w:r>
        <w:r w:rsidRPr="00494946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94946">
          <w:rPr>
            <w:rFonts w:ascii="Arial" w:hAnsi="Arial" w:cs="Arial"/>
            <w:sz w:val="20"/>
            <w:szCs w:val="20"/>
          </w:rPr>
          <w:t xml:space="preserve"> | </w:t>
        </w:r>
        <w:r w:rsidRPr="00494946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40435EA" w14:textId="77777777" w:rsidR="00494946" w:rsidRDefault="00494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490E" w14:textId="77777777" w:rsidR="00CD1A02" w:rsidRDefault="00CD1A02" w:rsidP="00494946">
      <w:pPr>
        <w:spacing w:after="0" w:line="240" w:lineRule="auto"/>
      </w:pPr>
      <w:r>
        <w:separator/>
      </w:r>
    </w:p>
  </w:footnote>
  <w:footnote w:type="continuationSeparator" w:id="0">
    <w:p w14:paraId="13360933" w14:textId="77777777" w:rsidR="00CD1A02" w:rsidRDefault="00CD1A02" w:rsidP="00494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79"/>
    <w:multiLevelType w:val="multilevel"/>
    <w:tmpl w:val="F2B4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AD7"/>
    <w:multiLevelType w:val="multilevel"/>
    <w:tmpl w:val="C8B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E5002"/>
    <w:multiLevelType w:val="multilevel"/>
    <w:tmpl w:val="668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43292"/>
    <w:multiLevelType w:val="multilevel"/>
    <w:tmpl w:val="9C2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06D6F"/>
    <w:multiLevelType w:val="multilevel"/>
    <w:tmpl w:val="C8B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D41C8"/>
    <w:multiLevelType w:val="multilevel"/>
    <w:tmpl w:val="908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303BD"/>
    <w:multiLevelType w:val="hybridMultilevel"/>
    <w:tmpl w:val="1D08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C19"/>
    <w:multiLevelType w:val="multilevel"/>
    <w:tmpl w:val="12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A009C"/>
    <w:multiLevelType w:val="multilevel"/>
    <w:tmpl w:val="C8B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53079"/>
    <w:multiLevelType w:val="multilevel"/>
    <w:tmpl w:val="C8B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D6BB9"/>
    <w:multiLevelType w:val="multilevel"/>
    <w:tmpl w:val="9C2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22CCD"/>
    <w:multiLevelType w:val="multilevel"/>
    <w:tmpl w:val="E2B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C6D5C"/>
    <w:multiLevelType w:val="multilevel"/>
    <w:tmpl w:val="658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D3BFF"/>
    <w:multiLevelType w:val="multilevel"/>
    <w:tmpl w:val="C8B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733EF"/>
    <w:multiLevelType w:val="multilevel"/>
    <w:tmpl w:val="10E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25B23"/>
    <w:multiLevelType w:val="multilevel"/>
    <w:tmpl w:val="31B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109A6"/>
    <w:multiLevelType w:val="multilevel"/>
    <w:tmpl w:val="CED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64489"/>
    <w:multiLevelType w:val="multilevel"/>
    <w:tmpl w:val="F8E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54092"/>
    <w:multiLevelType w:val="multilevel"/>
    <w:tmpl w:val="A5C0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B0750"/>
    <w:multiLevelType w:val="multilevel"/>
    <w:tmpl w:val="71D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32BEF"/>
    <w:multiLevelType w:val="multilevel"/>
    <w:tmpl w:val="56AC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E6427"/>
    <w:multiLevelType w:val="multilevel"/>
    <w:tmpl w:val="E88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B3E2D"/>
    <w:multiLevelType w:val="multilevel"/>
    <w:tmpl w:val="F07E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410801">
    <w:abstractNumId w:val="5"/>
  </w:num>
  <w:num w:numId="2" w16cid:durableId="1850218371">
    <w:abstractNumId w:val="14"/>
  </w:num>
  <w:num w:numId="3" w16cid:durableId="1381443499">
    <w:abstractNumId w:val="11"/>
  </w:num>
  <w:num w:numId="4" w16cid:durableId="733629610">
    <w:abstractNumId w:val="21"/>
  </w:num>
  <w:num w:numId="5" w16cid:durableId="538006256">
    <w:abstractNumId w:val="0"/>
  </w:num>
  <w:num w:numId="6" w16cid:durableId="205223515">
    <w:abstractNumId w:val="20"/>
  </w:num>
  <w:num w:numId="7" w16cid:durableId="1888175213">
    <w:abstractNumId w:val="19"/>
  </w:num>
  <w:num w:numId="8" w16cid:durableId="937561857">
    <w:abstractNumId w:val="17"/>
  </w:num>
  <w:num w:numId="9" w16cid:durableId="2112818520">
    <w:abstractNumId w:val="6"/>
  </w:num>
  <w:num w:numId="10" w16cid:durableId="173420976">
    <w:abstractNumId w:val="16"/>
  </w:num>
  <w:num w:numId="11" w16cid:durableId="652678187">
    <w:abstractNumId w:val="22"/>
  </w:num>
  <w:num w:numId="12" w16cid:durableId="2091190688">
    <w:abstractNumId w:val="18"/>
  </w:num>
  <w:num w:numId="13" w16cid:durableId="64183680">
    <w:abstractNumId w:val="7"/>
  </w:num>
  <w:num w:numId="14" w16cid:durableId="1597250466">
    <w:abstractNumId w:val="12"/>
  </w:num>
  <w:num w:numId="15" w16cid:durableId="133840207">
    <w:abstractNumId w:val="13"/>
  </w:num>
  <w:num w:numId="16" w16cid:durableId="1088578973">
    <w:abstractNumId w:val="9"/>
  </w:num>
  <w:num w:numId="17" w16cid:durableId="2020890307">
    <w:abstractNumId w:val="1"/>
  </w:num>
  <w:num w:numId="18" w16cid:durableId="538514766">
    <w:abstractNumId w:val="8"/>
  </w:num>
  <w:num w:numId="19" w16cid:durableId="857399">
    <w:abstractNumId w:val="4"/>
  </w:num>
  <w:num w:numId="20" w16cid:durableId="1827241960">
    <w:abstractNumId w:val="10"/>
  </w:num>
  <w:num w:numId="21" w16cid:durableId="235673958">
    <w:abstractNumId w:val="3"/>
  </w:num>
  <w:num w:numId="22" w16cid:durableId="1504586330">
    <w:abstractNumId w:val="2"/>
  </w:num>
  <w:num w:numId="23" w16cid:durableId="87584888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1F"/>
    <w:rsid w:val="00001C38"/>
    <w:rsid w:val="00003CD2"/>
    <w:rsid w:val="000056B9"/>
    <w:rsid w:val="00010EFC"/>
    <w:rsid w:val="00012F76"/>
    <w:rsid w:val="000222EF"/>
    <w:rsid w:val="00025CC0"/>
    <w:rsid w:val="00031CD6"/>
    <w:rsid w:val="00033713"/>
    <w:rsid w:val="00035D87"/>
    <w:rsid w:val="00036BB6"/>
    <w:rsid w:val="0004184E"/>
    <w:rsid w:val="00047553"/>
    <w:rsid w:val="000531C9"/>
    <w:rsid w:val="00070047"/>
    <w:rsid w:val="000753F4"/>
    <w:rsid w:val="000757CD"/>
    <w:rsid w:val="00077044"/>
    <w:rsid w:val="00077D40"/>
    <w:rsid w:val="0008162F"/>
    <w:rsid w:val="00087040"/>
    <w:rsid w:val="00087A87"/>
    <w:rsid w:val="000944AA"/>
    <w:rsid w:val="000974A6"/>
    <w:rsid w:val="000A1147"/>
    <w:rsid w:val="000A263D"/>
    <w:rsid w:val="000D540D"/>
    <w:rsid w:val="000E4997"/>
    <w:rsid w:val="000F5491"/>
    <w:rsid w:val="00100C57"/>
    <w:rsid w:val="00102E9D"/>
    <w:rsid w:val="00105813"/>
    <w:rsid w:val="00106A57"/>
    <w:rsid w:val="00112208"/>
    <w:rsid w:val="00120B47"/>
    <w:rsid w:val="0012237B"/>
    <w:rsid w:val="00134533"/>
    <w:rsid w:val="00143D77"/>
    <w:rsid w:val="00151A3F"/>
    <w:rsid w:val="00156025"/>
    <w:rsid w:val="00160461"/>
    <w:rsid w:val="0016532B"/>
    <w:rsid w:val="00165C58"/>
    <w:rsid w:val="00171BEE"/>
    <w:rsid w:val="00176138"/>
    <w:rsid w:val="001814DE"/>
    <w:rsid w:val="0018645D"/>
    <w:rsid w:val="00197239"/>
    <w:rsid w:val="001A02D0"/>
    <w:rsid w:val="001A1BE3"/>
    <w:rsid w:val="001A278D"/>
    <w:rsid w:val="001A4F90"/>
    <w:rsid w:val="001A5134"/>
    <w:rsid w:val="001B2683"/>
    <w:rsid w:val="001C2408"/>
    <w:rsid w:val="001C4ED7"/>
    <w:rsid w:val="001C7239"/>
    <w:rsid w:val="001D7EC4"/>
    <w:rsid w:val="001E0739"/>
    <w:rsid w:val="001E3015"/>
    <w:rsid w:val="001E3BA0"/>
    <w:rsid w:val="0020562E"/>
    <w:rsid w:val="00205BA3"/>
    <w:rsid w:val="0024025C"/>
    <w:rsid w:val="00242311"/>
    <w:rsid w:val="002513D7"/>
    <w:rsid w:val="0026190E"/>
    <w:rsid w:val="00263213"/>
    <w:rsid w:val="00265469"/>
    <w:rsid w:val="0026560E"/>
    <w:rsid w:val="00272DB9"/>
    <w:rsid w:val="00273980"/>
    <w:rsid w:val="00273FAB"/>
    <w:rsid w:val="00275A79"/>
    <w:rsid w:val="002772E1"/>
    <w:rsid w:val="00284DF3"/>
    <w:rsid w:val="00296A7B"/>
    <w:rsid w:val="00297167"/>
    <w:rsid w:val="002A0906"/>
    <w:rsid w:val="002A1338"/>
    <w:rsid w:val="002A2046"/>
    <w:rsid w:val="002A61DB"/>
    <w:rsid w:val="002C6D1A"/>
    <w:rsid w:val="002E4E7B"/>
    <w:rsid w:val="002F46E1"/>
    <w:rsid w:val="00300BAB"/>
    <w:rsid w:val="00316386"/>
    <w:rsid w:val="0032256D"/>
    <w:rsid w:val="00323987"/>
    <w:rsid w:val="00323C5C"/>
    <w:rsid w:val="0032742F"/>
    <w:rsid w:val="00345B90"/>
    <w:rsid w:val="003543A3"/>
    <w:rsid w:val="00361FA4"/>
    <w:rsid w:val="0036369B"/>
    <w:rsid w:val="00363940"/>
    <w:rsid w:val="0036497C"/>
    <w:rsid w:val="00366212"/>
    <w:rsid w:val="003708AD"/>
    <w:rsid w:val="003904CC"/>
    <w:rsid w:val="00394109"/>
    <w:rsid w:val="00396B3A"/>
    <w:rsid w:val="003A0DDD"/>
    <w:rsid w:val="003A3EF1"/>
    <w:rsid w:val="003B4A04"/>
    <w:rsid w:val="003C28B1"/>
    <w:rsid w:val="003C5B1C"/>
    <w:rsid w:val="003C75BF"/>
    <w:rsid w:val="003D44AF"/>
    <w:rsid w:val="003D55DD"/>
    <w:rsid w:val="003E0B05"/>
    <w:rsid w:val="003F5D60"/>
    <w:rsid w:val="004005A4"/>
    <w:rsid w:val="004022BA"/>
    <w:rsid w:val="00404922"/>
    <w:rsid w:val="00411882"/>
    <w:rsid w:val="00414275"/>
    <w:rsid w:val="004144C7"/>
    <w:rsid w:val="00414ECF"/>
    <w:rsid w:val="00424363"/>
    <w:rsid w:val="00440277"/>
    <w:rsid w:val="004462B3"/>
    <w:rsid w:val="00454FCA"/>
    <w:rsid w:val="0045577C"/>
    <w:rsid w:val="004626E9"/>
    <w:rsid w:val="00463B32"/>
    <w:rsid w:val="004730C1"/>
    <w:rsid w:val="00474BBE"/>
    <w:rsid w:val="00494946"/>
    <w:rsid w:val="004A2263"/>
    <w:rsid w:val="004A462F"/>
    <w:rsid w:val="004C6DED"/>
    <w:rsid w:val="004D111F"/>
    <w:rsid w:val="004D5519"/>
    <w:rsid w:val="004D770B"/>
    <w:rsid w:val="004E3650"/>
    <w:rsid w:val="004E52F1"/>
    <w:rsid w:val="00503187"/>
    <w:rsid w:val="0050620A"/>
    <w:rsid w:val="005125F7"/>
    <w:rsid w:val="00512855"/>
    <w:rsid w:val="00520925"/>
    <w:rsid w:val="00540105"/>
    <w:rsid w:val="00545181"/>
    <w:rsid w:val="005472D7"/>
    <w:rsid w:val="00550445"/>
    <w:rsid w:val="005760A5"/>
    <w:rsid w:val="005913F4"/>
    <w:rsid w:val="00596F47"/>
    <w:rsid w:val="005A1378"/>
    <w:rsid w:val="005A14C3"/>
    <w:rsid w:val="005A3B10"/>
    <w:rsid w:val="005A4496"/>
    <w:rsid w:val="005B6BFC"/>
    <w:rsid w:val="005C4660"/>
    <w:rsid w:val="005D086D"/>
    <w:rsid w:val="005E58AF"/>
    <w:rsid w:val="005E7B56"/>
    <w:rsid w:val="005F023D"/>
    <w:rsid w:val="0062305E"/>
    <w:rsid w:val="00624E70"/>
    <w:rsid w:val="00627351"/>
    <w:rsid w:val="00643C34"/>
    <w:rsid w:val="0064509A"/>
    <w:rsid w:val="00650541"/>
    <w:rsid w:val="0065674C"/>
    <w:rsid w:val="0066441E"/>
    <w:rsid w:val="00667F23"/>
    <w:rsid w:val="00673956"/>
    <w:rsid w:val="00680AB6"/>
    <w:rsid w:val="006824B1"/>
    <w:rsid w:val="00691FCD"/>
    <w:rsid w:val="00694370"/>
    <w:rsid w:val="006A182D"/>
    <w:rsid w:val="006B563B"/>
    <w:rsid w:val="006C1E07"/>
    <w:rsid w:val="006C3F9B"/>
    <w:rsid w:val="006C6111"/>
    <w:rsid w:val="006C6DD4"/>
    <w:rsid w:val="006E5CC5"/>
    <w:rsid w:val="006F0CD5"/>
    <w:rsid w:val="006F2329"/>
    <w:rsid w:val="006F4B0C"/>
    <w:rsid w:val="007053E7"/>
    <w:rsid w:val="00711AF1"/>
    <w:rsid w:val="00711F51"/>
    <w:rsid w:val="007125E0"/>
    <w:rsid w:val="00716238"/>
    <w:rsid w:val="00716C3C"/>
    <w:rsid w:val="00716FCD"/>
    <w:rsid w:val="0071795F"/>
    <w:rsid w:val="0072383F"/>
    <w:rsid w:val="007323B8"/>
    <w:rsid w:val="00735BB2"/>
    <w:rsid w:val="0074118D"/>
    <w:rsid w:val="00741A87"/>
    <w:rsid w:val="00746BFD"/>
    <w:rsid w:val="007470B0"/>
    <w:rsid w:val="00750492"/>
    <w:rsid w:val="007504BC"/>
    <w:rsid w:val="00752790"/>
    <w:rsid w:val="007528C7"/>
    <w:rsid w:val="00755BA7"/>
    <w:rsid w:val="00757144"/>
    <w:rsid w:val="00762F6E"/>
    <w:rsid w:val="00783880"/>
    <w:rsid w:val="007876DF"/>
    <w:rsid w:val="00795CBE"/>
    <w:rsid w:val="007B14D6"/>
    <w:rsid w:val="007B50E6"/>
    <w:rsid w:val="007C3BF6"/>
    <w:rsid w:val="007C789B"/>
    <w:rsid w:val="007D40F7"/>
    <w:rsid w:val="00800195"/>
    <w:rsid w:val="00802CA6"/>
    <w:rsid w:val="0080467C"/>
    <w:rsid w:val="00804D9B"/>
    <w:rsid w:val="0080597C"/>
    <w:rsid w:val="008079B2"/>
    <w:rsid w:val="00813FE8"/>
    <w:rsid w:val="008174D2"/>
    <w:rsid w:val="00830C2F"/>
    <w:rsid w:val="00835A0B"/>
    <w:rsid w:val="00840DFC"/>
    <w:rsid w:val="00841576"/>
    <w:rsid w:val="00841675"/>
    <w:rsid w:val="00847D45"/>
    <w:rsid w:val="00854DA1"/>
    <w:rsid w:val="00872ECA"/>
    <w:rsid w:val="00877C64"/>
    <w:rsid w:val="008804DF"/>
    <w:rsid w:val="00884829"/>
    <w:rsid w:val="00886E95"/>
    <w:rsid w:val="00890BF9"/>
    <w:rsid w:val="008941AF"/>
    <w:rsid w:val="00895542"/>
    <w:rsid w:val="00897360"/>
    <w:rsid w:val="008A475D"/>
    <w:rsid w:val="008C294C"/>
    <w:rsid w:val="008C40E0"/>
    <w:rsid w:val="008C4711"/>
    <w:rsid w:val="008C7272"/>
    <w:rsid w:val="008E4F30"/>
    <w:rsid w:val="008F055D"/>
    <w:rsid w:val="008F4CD7"/>
    <w:rsid w:val="00903F12"/>
    <w:rsid w:val="0092156B"/>
    <w:rsid w:val="009251D5"/>
    <w:rsid w:val="00925814"/>
    <w:rsid w:val="009324FE"/>
    <w:rsid w:val="009339B8"/>
    <w:rsid w:val="00941C0A"/>
    <w:rsid w:val="00945038"/>
    <w:rsid w:val="0094753C"/>
    <w:rsid w:val="009629E7"/>
    <w:rsid w:val="00967003"/>
    <w:rsid w:val="00970B34"/>
    <w:rsid w:val="009719E6"/>
    <w:rsid w:val="009836E9"/>
    <w:rsid w:val="009A1341"/>
    <w:rsid w:val="009C5944"/>
    <w:rsid w:val="009E0A8D"/>
    <w:rsid w:val="009E5017"/>
    <w:rsid w:val="009F1A30"/>
    <w:rsid w:val="009F3FF7"/>
    <w:rsid w:val="009F726D"/>
    <w:rsid w:val="00A01029"/>
    <w:rsid w:val="00A03AB3"/>
    <w:rsid w:val="00A03BC2"/>
    <w:rsid w:val="00A04D01"/>
    <w:rsid w:val="00A06A7A"/>
    <w:rsid w:val="00A07D83"/>
    <w:rsid w:val="00A14AA1"/>
    <w:rsid w:val="00A3210C"/>
    <w:rsid w:val="00A32A0B"/>
    <w:rsid w:val="00A37CAE"/>
    <w:rsid w:val="00A40B22"/>
    <w:rsid w:val="00A4602A"/>
    <w:rsid w:val="00A55C31"/>
    <w:rsid w:val="00A65BBA"/>
    <w:rsid w:val="00A67980"/>
    <w:rsid w:val="00A8042B"/>
    <w:rsid w:val="00A92AB1"/>
    <w:rsid w:val="00A9778D"/>
    <w:rsid w:val="00AB151F"/>
    <w:rsid w:val="00AB7A2C"/>
    <w:rsid w:val="00AD2259"/>
    <w:rsid w:val="00AD35C5"/>
    <w:rsid w:val="00AD497F"/>
    <w:rsid w:val="00AF554A"/>
    <w:rsid w:val="00AF62A8"/>
    <w:rsid w:val="00AF6804"/>
    <w:rsid w:val="00B02A69"/>
    <w:rsid w:val="00B06E41"/>
    <w:rsid w:val="00B12D1D"/>
    <w:rsid w:val="00B16928"/>
    <w:rsid w:val="00B21469"/>
    <w:rsid w:val="00B31E7F"/>
    <w:rsid w:val="00B51289"/>
    <w:rsid w:val="00B614FC"/>
    <w:rsid w:val="00B61645"/>
    <w:rsid w:val="00B667B3"/>
    <w:rsid w:val="00B67181"/>
    <w:rsid w:val="00B71434"/>
    <w:rsid w:val="00B740F5"/>
    <w:rsid w:val="00B80627"/>
    <w:rsid w:val="00B81B62"/>
    <w:rsid w:val="00B81B83"/>
    <w:rsid w:val="00B835D2"/>
    <w:rsid w:val="00B8364A"/>
    <w:rsid w:val="00B85A24"/>
    <w:rsid w:val="00B86682"/>
    <w:rsid w:val="00BC00AC"/>
    <w:rsid w:val="00BC2A32"/>
    <w:rsid w:val="00BC4486"/>
    <w:rsid w:val="00BD0DE3"/>
    <w:rsid w:val="00BD7530"/>
    <w:rsid w:val="00BE2474"/>
    <w:rsid w:val="00BE4254"/>
    <w:rsid w:val="00C0227D"/>
    <w:rsid w:val="00C053C2"/>
    <w:rsid w:val="00C12630"/>
    <w:rsid w:val="00C12B7D"/>
    <w:rsid w:val="00C12BBB"/>
    <w:rsid w:val="00C2713F"/>
    <w:rsid w:val="00C339A1"/>
    <w:rsid w:val="00C3573F"/>
    <w:rsid w:val="00C519E7"/>
    <w:rsid w:val="00C53097"/>
    <w:rsid w:val="00C61A66"/>
    <w:rsid w:val="00C621D7"/>
    <w:rsid w:val="00C70419"/>
    <w:rsid w:val="00C773E8"/>
    <w:rsid w:val="00C95B89"/>
    <w:rsid w:val="00C966BB"/>
    <w:rsid w:val="00C967DF"/>
    <w:rsid w:val="00CA0F97"/>
    <w:rsid w:val="00CA2986"/>
    <w:rsid w:val="00CB2AAE"/>
    <w:rsid w:val="00CD1A02"/>
    <w:rsid w:val="00CD4338"/>
    <w:rsid w:val="00CD55C3"/>
    <w:rsid w:val="00CD67DC"/>
    <w:rsid w:val="00CD73AC"/>
    <w:rsid w:val="00CE3E26"/>
    <w:rsid w:val="00CE5A42"/>
    <w:rsid w:val="00CE6320"/>
    <w:rsid w:val="00CF0706"/>
    <w:rsid w:val="00CF3B7F"/>
    <w:rsid w:val="00D00B8A"/>
    <w:rsid w:val="00D33A9F"/>
    <w:rsid w:val="00D36E84"/>
    <w:rsid w:val="00D81CFA"/>
    <w:rsid w:val="00D84057"/>
    <w:rsid w:val="00D87907"/>
    <w:rsid w:val="00D956B8"/>
    <w:rsid w:val="00DA4B26"/>
    <w:rsid w:val="00DC1A9F"/>
    <w:rsid w:val="00DD04C6"/>
    <w:rsid w:val="00DD2A5E"/>
    <w:rsid w:val="00DD5EC2"/>
    <w:rsid w:val="00DE2B6E"/>
    <w:rsid w:val="00E04557"/>
    <w:rsid w:val="00E22DC1"/>
    <w:rsid w:val="00E33035"/>
    <w:rsid w:val="00E40225"/>
    <w:rsid w:val="00E467D5"/>
    <w:rsid w:val="00E61DF9"/>
    <w:rsid w:val="00E8359C"/>
    <w:rsid w:val="00E87681"/>
    <w:rsid w:val="00E924FD"/>
    <w:rsid w:val="00E93F7C"/>
    <w:rsid w:val="00EA31DD"/>
    <w:rsid w:val="00EB13DD"/>
    <w:rsid w:val="00EB6802"/>
    <w:rsid w:val="00EC1235"/>
    <w:rsid w:val="00EC45A6"/>
    <w:rsid w:val="00ED1770"/>
    <w:rsid w:val="00ED2FA8"/>
    <w:rsid w:val="00EE291A"/>
    <w:rsid w:val="00EE5F00"/>
    <w:rsid w:val="00EF205B"/>
    <w:rsid w:val="00EF532F"/>
    <w:rsid w:val="00EF7CE8"/>
    <w:rsid w:val="00EF7E57"/>
    <w:rsid w:val="00F107ED"/>
    <w:rsid w:val="00F16FA4"/>
    <w:rsid w:val="00F22723"/>
    <w:rsid w:val="00F25CF4"/>
    <w:rsid w:val="00F31565"/>
    <w:rsid w:val="00F36344"/>
    <w:rsid w:val="00F364E3"/>
    <w:rsid w:val="00F61C88"/>
    <w:rsid w:val="00F6683F"/>
    <w:rsid w:val="00F71111"/>
    <w:rsid w:val="00F72352"/>
    <w:rsid w:val="00F7431B"/>
    <w:rsid w:val="00F8280A"/>
    <w:rsid w:val="00F87CDB"/>
    <w:rsid w:val="00F906F7"/>
    <w:rsid w:val="00F95DB9"/>
    <w:rsid w:val="00FA074B"/>
    <w:rsid w:val="00FA1BC1"/>
    <w:rsid w:val="00FA22FA"/>
    <w:rsid w:val="00FA268A"/>
    <w:rsid w:val="00FA2DDB"/>
    <w:rsid w:val="00FA78EA"/>
    <w:rsid w:val="00FB03C8"/>
    <w:rsid w:val="00FB11FD"/>
    <w:rsid w:val="00FC0082"/>
    <w:rsid w:val="00FC1E5F"/>
    <w:rsid w:val="00FC5932"/>
    <w:rsid w:val="00FD1163"/>
    <w:rsid w:val="00FE1119"/>
    <w:rsid w:val="00FE7BBA"/>
    <w:rsid w:val="00FF7C02"/>
    <w:rsid w:val="0683B13B"/>
    <w:rsid w:val="0953AB78"/>
    <w:rsid w:val="0F17A25F"/>
    <w:rsid w:val="134B7238"/>
    <w:rsid w:val="134F2C9C"/>
    <w:rsid w:val="188F0FB6"/>
    <w:rsid w:val="1ED177F4"/>
    <w:rsid w:val="24CA55A7"/>
    <w:rsid w:val="27AD517A"/>
    <w:rsid w:val="2808DD9C"/>
    <w:rsid w:val="2A8E06D3"/>
    <w:rsid w:val="35A11AE7"/>
    <w:rsid w:val="3B6E28A5"/>
    <w:rsid w:val="3C861867"/>
    <w:rsid w:val="3F7423CD"/>
    <w:rsid w:val="423BE766"/>
    <w:rsid w:val="4378387C"/>
    <w:rsid w:val="492C3733"/>
    <w:rsid w:val="4BB3CD00"/>
    <w:rsid w:val="4E273951"/>
    <w:rsid w:val="5838434C"/>
    <w:rsid w:val="61B4639E"/>
    <w:rsid w:val="626BE660"/>
    <w:rsid w:val="6D450BD7"/>
    <w:rsid w:val="73EA6C5E"/>
    <w:rsid w:val="7598E22D"/>
    <w:rsid w:val="7850E44F"/>
    <w:rsid w:val="7B4AFE6C"/>
    <w:rsid w:val="7F00B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CE658F9"/>
  <w15:chartTrackingRefBased/>
  <w15:docId w15:val="{D1B8368C-C343-41A1-8D1A-26875FBD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B1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5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A2046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4B26"/>
  </w:style>
  <w:style w:type="character" w:customStyle="1" w:styleId="DateChar">
    <w:name w:val="Date Char"/>
    <w:basedOn w:val="DefaultParagraphFont"/>
    <w:link w:val="Date"/>
    <w:uiPriority w:val="99"/>
    <w:semiHidden/>
    <w:rsid w:val="00DA4B26"/>
  </w:style>
  <w:style w:type="paragraph" w:styleId="Revision">
    <w:name w:val="Revision"/>
    <w:hidden/>
    <w:uiPriority w:val="99"/>
    <w:semiHidden/>
    <w:rsid w:val="007504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1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D55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9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46"/>
  </w:style>
  <w:style w:type="paragraph" w:styleId="Footer">
    <w:name w:val="footer"/>
    <w:basedOn w:val="Normal"/>
    <w:link w:val="FooterChar"/>
    <w:uiPriority w:val="99"/>
    <w:unhideWhenUsed/>
    <w:rsid w:val="00494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2AD667439F441981CAB998C4E3DB8" ma:contentTypeVersion="16" ma:contentTypeDescription="Create a new document." ma:contentTypeScope="" ma:versionID="01c695057aec868f30f3a39df8e7b02f">
  <xsd:schema xmlns:xsd="http://www.w3.org/2001/XMLSchema" xmlns:xs="http://www.w3.org/2001/XMLSchema" xmlns:p="http://schemas.microsoft.com/office/2006/metadata/properties" xmlns:ns2="bb102925-99d3-4774-82da-016c51c1b774" xmlns:ns3="96bae960-4d45-4b2a-9cf3-4de3e3e50e67" targetNamespace="http://schemas.microsoft.com/office/2006/metadata/properties" ma:root="true" ma:fieldsID="7c4139cbf5274424c0de62ef77411983" ns2:_="" ns3:_="">
    <xsd:import namespace="bb102925-99d3-4774-82da-016c51c1b774"/>
    <xsd:import namespace="96bae960-4d45-4b2a-9cf3-4de3e3e5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2925-99d3-4774-82da-016c51c1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e960-4d45-4b2a-9cf3-4de3e3e50e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b5a0c9-fa2e-4ba8-8d0c-5c6a8f64e0cf}" ma:internalName="TaxCatchAll" ma:showField="CatchAllData" ma:web="96bae960-4d45-4b2a-9cf3-4de3e3e5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02925-99d3-4774-82da-016c51c1b774">
      <Terms xmlns="http://schemas.microsoft.com/office/infopath/2007/PartnerControls"/>
    </lcf76f155ced4ddcb4097134ff3c332f>
    <TaxCatchAll xmlns="96bae960-4d45-4b2a-9cf3-4de3e3e50e67" xsi:nil="true"/>
  </documentManagement>
</p:properties>
</file>

<file path=customXml/itemProps1.xml><?xml version="1.0" encoding="utf-8"?>
<ds:datastoreItem xmlns:ds="http://schemas.openxmlformats.org/officeDocument/2006/customXml" ds:itemID="{1D7CDA04-A28E-4FE1-A136-3D6C1445D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9D4A0-5B19-4F1C-A5AB-492F63F2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2925-99d3-4774-82da-016c51c1b774"/>
    <ds:schemaRef ds:uri="96bae960-4d45-4b2a-9cf3-4de3e3e5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A0C64-77FD-46EB-8D4D-907213A43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90E2E-2CC6-4AA7-8266-7806631A52D8}">
  <ds:schemaRefs>
    <ds:schemaRef ds:uri="http://schemas.microsoft.com/office/2006/metadata/properties"/>
    <ds:schemaRef ds:uri="http://schemas.microsoft.com/office/infopath/2007/PartnerControls"/>
    <ds:schemaRef ds:uri="bb102925-99d3-4774-82da-016c51c1b774"/>
    <ds:schemaRef ds:uri="96bae960-4d45-4b2a-9cf3-4de3e3e5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2412</Words>
  <Characters>15250</Characters>
  <Application>Microsoft Office Word</Application>
  <DocSecurity>0</DocSecurity>
  <Lines>423</Lines>
  <Paragraphs>280</Paragraphs>
  <ScaleCrop>false</ScaleCrop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Galabova</dc:creator>
  <cp:keywords/>
  <dc:description/>
  <cp:lastModifiedBy>Tania Galabova</cp:lastModifiedBy>
  <cp:revision>3</cp:revision>
  <dcterms:created xsi:type="dcterms:W3CDTF">2026-04-12T20:39:00Z</dcterms:created>
  <dcterms:modified xsi:type="dcterms:W3CDTF">2026-04-12T20:40:00Z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0x010100F532AD667439F441981CAB998C4E3DB8</vt:lpwstr>
  </property>
  <property fmtid="{D5CDD505-2E9C-101B-9397-08002B2CF9AE}" pid="3" name="MediaServiceImageTags">
    <vt:lpwstr/>
  </property>
</Properties>
</file>