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6FE4" w:rsidRDefault="00972358" w14:paraId="7850A0DB" w14:textId="2B7906A6">
      <w:pPr>
        <w:pStyle w:val="Heading1"/>
      </w:pPr>
      <w:r>
        <w:t>Finnish University Visit – Robbie Ewan Fellowship (October 2025)</w:t>
      </w:r>
    </w:p>
    <w:p w:rsidRPr="00573750" w:rsidR="00573750" w:rsidP="00573750" w:rsidRDefault="00573750" w14:paraId="051364EC" w14:textId="35FE8CDC">
      <w:r>
        <w:t xml:space="preserve">Magda Gamrat </w:t>
      </w:r>
    </w:p>
    <w:p w:rsidR="00DE6FE4" w:rsidRDefault="00972358" w14:paraId="4837E64C" w14:textId="77777777">
      <w:pPr>
        <w:pStyle w:val="Subtitle"/>
      </w:pPr>
      <w:r>
        <w:t>Reflections, Insights, and Next Steps</w:t>
      </w:r>
    </w:p>
    <w:p w:rsidR="00DE6FE4" w:rsidRDefault="00972358" w14:paraId="238ACB73" w14:textId="77777777">
      <w:pPr>
        <w:pStyle w:val="Heading2"/>
      </w:pPr>
      <w:r>
        <w:t>Background</w:t>
      </w:r>
    </w:p>
    <w:p w:rsidR="00DE6FE4" w:rsidRDefault="00972358" w14:paraId="1EABCC74" w14:textId="77777777">
      <w:r>
        <w:t>In October 2025, I travelled to Finland to explore how one of the world’s “happiest nations” supports its people and higher education community. My main objectives were to understand how multiple universities can successfully collaborate under one roof, how they communicate and share resources, and how Finnish universities promote student health, wellbeing, and inclusion. I wanted to observe their practices firsthand, learn from their culture, and reflect on what could be adapted and applied within the University of Glasgow.</w:t>
      </w:r>
    </w:p>
    <w:p w:rsidR="00DE6FE4" w:rsidRDefault="00972358" w14:paraId="3FCF312B" w14:textId="77777777">
      <w:pPr>
        <w:pStyle w:val="Heading2"/>
      </w:pPr>
      <w:r>
        <w:t>Key Observations and Insights</w:t>
      </w:r>
    </w:p>
    <w:p w:rsidR="00DE6FE4" w:rsidRDefault="00972358" w14:paraId="0A9E0CDA" w14:textId="1274C34D">
      <w:r>
        <w:t>During my visit, I explored the University Consortium of Pori, which for the past 20 years has hosted students from two other universities — the University of Turku and the University of Tampere — under one roof. The consortium also collaborates with SAMK University in Pori</w:t>
      </w:r>
      <w:r w:rsidR="00140ABD">
        <w:t>. Then I went to Hels</w:t>
      </w:r>
      <w:r w:rsidR="00D75519">
        <w:t xml:space="preserve">inki to </w:t>
      </w:r>
      <w:proofErr w:type="spellStart"/>
      <w:proofErr w:type="gramStart"/>
      <w:r w:rsidR="00D75519">
        <w:t>met</w:t>
      </w:r>
      <w:proofErr w:type="spellEnd"/>
      <w:proofErr w:type="gramEnd"/>
      <w:r w:rsidR="00D75519">
        <w:t xml:space="preserve"> with HR rep </w:t>
      </w:r>
      <w:proofErr w:type="gramStart"/>
      <w:r w:rsidR="00D75519">
        <w:t xml:space="preserve">from </w:t>
      </w:r>
      <w:r>
        <w:t xml:space="preserve"> University</w:t>
      </w:r>
      <w:proofErr w:type="gramEnd"/>
      <w:r>
        <w:t xml:space="preserve"> of Helsinki, offering invaluable insights into student engagement, wellbeing, and institutional culture. The experience was both inspiring and enlightening, offering a fresh perspective on how universities can create inclusive, supportive, and dynamic learning environments.</w:t>
      </w:r>
    </w:p>
    <w:p w:rsidR="00DE6FE4" w:rsidRDefault="00972358" w14:paraId="6C5FAC95" w14:textId="77777777">
      <w:pPr>
        <w:pStyle w:val="Heading3"/>
      </w:pPr>
      <w:r>
        <w:t>University Consortium of Pori</w:t>
      </w:r>
    </w:p>
    <w:p w:rsidR="00DE6FE4" w:rsidRDefault="00972358" w14:paraId="2D6CC279" w14:textId="77777777">
      <w:r>
        <w:t>I was particularly impressed by the student-led culture. The consortium blends modern facilities with a welcoming, industrial-style red-brick building. Students play a central role in shaping university life through their association — organising events, supporting peers, and even influencing decisions. Mentoring systems are integrated into academic credit, encouraging leadership while reinforcing a sense of belonging. One of the most striking traditions was the use of colourful student overalls, decorated with badges to mark achievements — a creative and tangible expression of community and accomplishment.</w:t>
      </w:r>
    </w:p>
    <w:p w:rsidR="00DE6FE4" w:rsidRDefault="00972358" w14:paraId="406D56A0" w14:textId="77777777">
      <w:pPr>
        <w:pStyle w:val="Heading3"/>
      </w:pPr>
      <w:r>
        <w:t>SAMK University</w:t>
      </w:r>
    </w:p>
    <w:p w:rsidR="00DE6FE4" w:rsidRDefault="00972358" w14:paraId="3DA11A95" w14:textId="77777777">
      <w:r>
        <w:t>A key highlight was meeting Erika, who oversees student wellbeing. Finland’s preventive approach to health was inspiring: students enjoy subsidised meals, access to gyms, and on-campus healthcare focused on early intervention. Movement and physical activity are embedded into daily routines — from ping-pong tables in communal areas to “active break” slides in lectures. Simple, approachable initiatives, such as creative activity tables for staff, highlighted the value of wellbeing and informal engagement. These practices left a lasting impression and inspired ideas to bring similar initiatives to Glasgow.</w:t>
      </w:r>
    </w:p>
    <w:p w:rsidR="00DE6FE4" w:rsidRDefault="00972358" w14:paraId="68859387" w14:textId="77777777">
      <w:pPr>
        <w:pStyle w:val="Heading3"/>
      </w:pPr>
      <w:r>
        <w:t>University of Helsinki</w:t>
      </w:r>
    </w:p>
    <w:p w:rsidR="00DE6FE4" w:rsidRDefault="00972358" w14:paraId="6779943B" w14:textId="77777777">
      <w:r>
        <w:t xml:space="preserve">At the University of Helsinki, I met Timo, HR and Wellbeing Lead, and learned about structures supporting equality, diversity, and student wellbeing. The university has </w:t>
      </w:r>
      <w:r>
        <w:lastRenderedPageBreak/>
        <w:t>streamlined its committees to enhance commitment and effectiveness, ensuring student voices are heard and action is taken. Peer tutors and harassment advisors provide first-line support, reflecting a prevention-focused approach. Finnish culture prioritises balance, wellbeing, and inclusion — lessons that strongly resonate with our work at Glasgow.</w:t>
      </w:r>
    </w:p>
    <w:p w:rsidR="00DE6FE4" w:rsidRDefault="00972358" w14:paraId="3E3894BE" w14:textId="77777777">
      <w:pPr>
        <w:pStyle w:val="Heading2"/>
      </w:pPr>
      <w:r>
        <w:t>Reflections and Impact</w:t>
      </w:r>
    </w:p>
    <w:p w:rsidR="00DE6FE4" w:rsidRDefault="00972358" w14:paraId="1BAF19CA" w14:textId="77777777">
      <w:r>
        <w:t>This trip inspired me deeply and encouraged me to be more proactive in applying what I learned. It has broadened my understanding of student agency, community, and wellbeing, and motivated me to pursue initiatives that can make a tangible difference within the School of Health and Wellbeing (SHW).</w:t>
      </w:r>
    </w:p>
    <w:p w:rsidR="00DE6FE4" w:rsidRDefault="00972358" w14:paraId="277D08EA" w14:textId="77777777">
      <w:pPr>
        <w:pStyle w:val="Heading2"/>
      </w:pPr>
      <w:r>
        <w:t>Proposed Actions and Next Steps</w:t>
      </w:r>
    </w:p>
    <w:p w:rsidR="00DE6FE4" w:rsidRDefault="00972358" w14:paraId="02CBCB22" w14:textId="77777777">
      <w:pPr>
        <w:pStyle w:val="ListBullet"/>
      </w:pPr>
      <w:r>
        <w:t>Develop an EDI project to raise awareness of cultural differences and introduce Nordic culture, potentially in collaboration with the Finnish student association.</w:t>
      </w:r>
    </w:p>
    <w:p w:rsidR="00DE6FE4" w:rsidRDefault="00972358" w14:paraId="5F3C8DD3" w14:textId="77777777">
      <w:pPr>
        <w:pStyle w:val="ListBullet"/>
      </w:pPr>
      <w:r>
        <w:t>Explore reducing UofG gym fees for SHW students (PGT and PGR).</w:t>
      </w:r>
    </w:p>
    <w:p w:rsidR="00DE6FE4" w:rsidRDefault="00972358" w14:paraId="3119B385" w14:textId="77777777">
      <w:pPr>
        <w:pStyle w:val="ListBullet"/>
      </w:pPr>
      <w:r>
        <w:t>Introduce active wellbeing initiatives at SHW:</w:t>
      </w:r>
    </w:p>
    <w:p w:rsidR="00DE6FE4" w:rsidRDefault="00972358" w14:paraId="4208B3F5" w14:textId="77777777">
      <w:pPr>
        <w:pStyle w:val="ListBullet"/>
      </w:pPr>
      <w:r>
        <w:t xml:space="preserve">  1. Install a ping-pong table or similar activity area to encourage movement and informal interaction.</w:t>
      </w:r>
    </w:p>
    <w:p w:rsidR="00DE6FE4" w:rsidRDefault="00972358" w14:paraId="62EC9226" w14:textId="77777777">
      <w:pPr>
        <w:pStyle w:val="ListBullet"/>
      </w:pPr>
      <w:r>
        <w:t xml:space="preserve">  2. Implement “active break slides” in lectures and meetings to create engaging moments for stretching and improving focus.</w:t>
      </w:r>
    </w:p>
    <w:p w:rsidR="00DE6FE4" w:rsidRDefault="00972358" w14:paraId="28AF94F9" w14:textId="77777777">
      <w:pPr>
        <w:pStyle w:val="ListBullet"/>
      </w:pPr>
      <w:r>
        <w:t xml:space="preserve">  3. Explore creating a Sensory Room — a calm, low-stimulation space for staff and students to relax, recharge, and support neurodiversity.</w:t>
      </w:r>
    </w:p>
    <w:p w:rsidR="00DE6FE4" w:rsidRDefault="00972358" w14:paraId="72F2CDC6" w14:textId="77777777">
      <w:pPr>
        <w:pStyle w:val="ListBullet"/>
      </w:pPr>
      <w:r>
        <w:t>Develop a “Welcome Pack” for international staff and students with practical guidance on living in Glasgow, including local services, transport, and cultural insights.</w:t>
      </w:r>
    </w:p>
    <w:p w:rsidR="00DE6FE4" w:rsidRDefault="00972358" w14:paraId="67CD2368" w14:textId="77777777">
      <w:pPr>
        <w:pStyle w:val="ListBullet"/>
      </w:pPr>
      <w:r>
        <w:t>Introduce a “Knitting Corner” in the Level 4 Social Kitchen or PGR hub, offering a low-barrier creative activity that encourages mindfulness, conversation, and connection.</w:t>
      </w:r>
    </w:p>
    <w:p w:rsidR="00DE6FE4" w:rsidRDefault="00972358" w14:paraId="43D43DFF" w14:textId="77777777">
      <w:pPr>
        <w:pStyle w:val="ListBullet"/>
      </w:pPr>
      <w:r>
        <w:t>Explore peer mentoring models, recognising students’ contributions through academic credits and strengthening support for new PGR and PGT students.</w:t>
      </w:r>
    </w:p>
    <w:p w:rsidR="00DE6FE4" w:rsidRDefault="00972358" w14:paraId="405B4B16" w14:textId="77777777">
      <w:pPr>
        <w:pStyle w:val="Heading2"/>
      </w:pPr>
      <w:r>
        <w:t>Conclusion</w:t>
      </w:r>
    </w:p>
    <w:p w:rsidR="00DE6FE4" w:rsidP="00B4270A" w:rsidRDefault="00972358" w14:paraId="095C509B" w14:textId="4988C50D">
      <w:r>
        <w:t>This visit has strengthened my understanding of student empowerment, community engagement, and preventive wellbeing. It provided me with practical strategies to enhance inclusion and wellbeing at the University of Glasgow. The experience not only enriched my professional perspective but also inspired concrete actions that can support both staff and students while contributing to a stronger, more connected university community.</w:t>
      </w:r>
      <w:r w:rsidRPr="00224109" w:rsidR="00224109">
        <w:t xml:space="preserve"> </w:t>
      </w:r>
      <w:r w:rsidRPr="00224109" w:rsidR="00224109">
        <w:t xml:space="preserve">Many next steps could be enhanced. As a large </w:t>
      </w:r>
      <w:proofErr w:type="spellStart"/>
      <w:r w:rsidRPr="00224109" w:rsidR="00224109">
        <w:t>organisation</w:t>
      </w:r>
      <w:proofErr w:type="spellEnd"/>
      <w:r w:rsidRPr="00224109" w:rsidR="00224109">
        <w:t>, the University of Glasgow already has many initiatives ongoing, but it’s valuable to reinforce good practices, connect the right people, and potentially introduce new ideas for the School of Health and Wellbeing</w:t>
      </w:r>
      <w:r w:rsidR="00B4270A">
        <w:t>.</w:t>
      </w:r>
      <w:r w:rsidRPr="00B4270A" w:rsidR="00B4270A">
        <w:t xml:space="preserve"> </w:t>
      </w:r>
      <w:r w:rsidRPr="00B4270A" w:rsidR="00B4270A">
        <w:t>I feel privileged and grateful for the opportunity to visit universities in Finland and see firsthand how they support staff and students. It was an amazing experience, and I truly appreciate it</w:t>
      </w:r>
    </w:p>
    <w:sectPr w:rsidR="00DE6FE4" w:rsidSect="00034616">
      <w:pgSz w:w="12240" w:h="15840" w:orient="portrait"/>
      <w:pgMar w:top="1440" w:right="1800" w:bottom="1440" w:left="1800" w:header="720" w:footer="720" w:gutter="0"/>
      <w:cols w:space="720"/>
      <w:docGrid w:linePitch="360"/>
      <w:headerReference w:type="default" r:id="R33aaa97aeb10470a"/>
      <w:footerReference w:type="default" r:id="R09d285f5923b4b8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880"/>
      <w:gridCol w:w="2880"/>
      <w:gridCol w:w="2880"/>
    </w:tblGrid>
    <w:tr w:rsidR="706978A7" w:rsidTr="55A8027B" w14:paraId="29189726">
      <w:trPr>
        <w:trHeight w:val="300"/>
      </w:trPr>
      <w:tc>
        <w:tcPr>
          <w:tcW w:w="2880" w:type="dxa"/>
          <w:tcMar/>
        </w:tcPr>
        <w:p w:rsidR="706978A7" w:rsidP="55A8027B" w:rsidRDefault="706978A7" w14:paraId="5BFED0F6" w14:textId="73E9A88E">
          <w:pPr>
            <w:pStyle w:val="Header"/>
            <w:bidi w:val="0"/>
            <w:ind w:left="-115"/>
            <w:jc w:val="left"/>
            <w:rPr>
              <w:rFonts w:ascii="Verdana" w:hAnsi="Verdana" w:eastAsia="Verdana" w:cs="Verdana"/>
              <w:sz w:val="16"/>
              <w:szCs w:val="16"/>
            </w:rPr>
          </w:pPr>
        </w:p>
      </w:tc>
      <w:tc>
        <w:tcPr>
          <w:tcW w:w="2880" w:type="dxa"/>
          <w:tcMar/>
        </w:tcPr>
        <w:p w:rsidR="706978A7" w:rsidP="55A8027B" w:rsidRDefault="706978A7" w14:paraId="2B545462" w14:textId="431372A5">
          <w:pPr>
            <w:pStyle w:val="Header"/>
            <w:bidi w:val="0"/>
            <w:jc w:val="center"/>
            <w:rPr>
              <w:rFonts w:ascii="Verdana" w:hAnsi="Verdana" w:eastAsia="Verdana" w:cs="Verdana"/>
              <w:sz w:val="16"/>
              <w:szCs w:val="16"/>
            </w:rPr>
          </w:pPr>
          <w:r w:rsidRPr="55A8027B">
            <w:rPr>
              <w:rFonts w:ascii="Verdana" w:hAnsi="Verdana" w:eastAsia="Verdana" w:cs="Verdana"/>
              <w:sz w:val="16"/>
              <w:szCs w:val="16"/>
            </w:rPr>
            <w:fldChar w:fldCharType="begin"/>
          </w:r>
          <w:r>
            <w:instrText xml:space="preserve">PAGE</w:instrText>
          </w:r>
          <w:r>
            <w:fldChar w:fldCharType="separate"/>
          </w:r>
          <w:r w:rsidRPr="55A8027B">
            <w:rPr>
              <w:rFonts w:ascii="Verdana" w:hAnsi="Verdana" w:eastAsia="Verdana" w:cs="Verdana"/>
              <w:sz w:val="16"/>
              <w:szCs w:val="16"/>
            </w:rPr>
            <w:fldChar w:fldCharType="end"/>
          </w:r>
        </w:p>
      </w:tc>
      <w:tc>
        <w:tcPr>
          <w:tcW w:w="2880" w:type="dxa"/>
          <w:tcMar/>
        </w:tcPr>
        <w:p w:rsidR="706978A7" w:rsidP="55A8027B" w:rsidRDefault="706978A7" w14:paraId="663B8BDF" w14:textId="71BE5970">
          <w:pPr>
            <w:pStyle w:val="Header"/>
            <w:bidi w:val="0"/>
            <w:ind w:right="-115"/>
            <w:jc w:val="right"/>
            <w:rPr>
              <w:rFonts w:ascii="Verdana" w:hAnsi="Verdana" w:eastAsia="Verdana" w:cs="Verdana"/>
              <w:sz w:val="16"/>
              <w:szCs w:val="16"/>
            </w:rPr>
          </w:pPr>
        </w:p>
      </w:tc>
    </w:tr>
  </w:tbl>
  <w:p w:rsidR="706978A7" w:rsidP="706978A7" w:rsidRDefault="706978A7" w14:paraId="2F7AFFB6" w14:textId="2F482B9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880"/>
      <w:gridCol w:w="2880"/>
      <w:gridCol w:w="2880"/>
    </w:tblGrid>
    <w:tr w:rsidR="706978A7" w:rsidTr="55A8027B" w14:paraId="3A106C83">
      <w:trPr>
        <w:trHeight w:val="300"/>
      </w:trPr>
      <w:tc>
        <w:tcPr>
          <w:tcW w:w="2880" w:type="dxa"/>
          <w:tcMar/>
        </w:tcPr>
        <w:p w:rsidR="706978A7" w:rsidP="706978A7" w:rsidRDefault="706978A7" w14:paraId="68F7EB52" w14:textId="357DC6FB">
          <w:pPr>
            <w:pStyle w:val="Header"/>
            <w:bidi w:val="0"/>
            <w:ind w:left="-115"/>
            <w:jc w:val="left"/>
          </w:pPr>
        </w:p>
      </w:tc>
      <w:tc>
        <w:tcPr>
          <w:tcW w:w="2880" w:type="dxa"/>
          <w:tcMar/>
        </w:tcPr>
        <w:p w:rsidR="706978A7" w:rsidP="706978A7" w:rsidRDefault="706978A7" w14:paraId="099BA2E4" w14:textId="2545C916">
          <w:pPr>
            <w:pStyle w:val="Header"/>
            <w:bidi w:val="0"/>
            <w:jc w:val="center"/>
          </w:pPr>
        </w:p>
      </w:tc>
      <w:tc>
        <w:tcPr>
          <w:tcW w:w="2880" w:type="dxa"/>
          <w:tcMar/>
        </w:tcPr>
        <w:p w:rsidR="706978A7" w:rsidP="706978A7" w:rsidRDefault="706978A7" w14:paraId="32137B73" w14:textId="7A5280F2">
          <w:pPr>
            <w:pStyle w:val="Header"/>
            <w:bidi w:val="0"/>
            <w:ind w:right="-115"/>
            <w:jc w:val="right"/>
          </w:pPr>
        </w:p>
      </w:tc>
    </w:tr>
  </w:tbl>
  <w:p w:rsidR="706978A7" w:rsidP="706978A7" w:rsidRDefault="706978A7" w14:paraId="0827D79C" w14:textId="2E5210C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070687984">
    <w:abstractNumId w:val="8"/>
  </w:num>
  <w:num w:numId="2" w16cid:durableId="668870918">
    <w:abstractNumId w:val="6"/>
  </w:num>
  <w:num w:numId="3" w16cid:durableId="414978371">
    <w:abstractNumId w:val="5"/>
  </w:num>
  <w:num w:numId="4" w16cid:durableId="1606232894">
    <w:abstractNumId w:val="4"/>
  </w:num>
  <w:num w:numId="5" w16cid:durableId="632177577">
    <w:abstractNumId w:val="7"/>
  </w:num>
  <w:num w:numId="6" w16cid:durableId="1132166589">
    <w:abstractNumId w:val="3"/>
  </w:num>
  <w:num w:numId="7" w16cid:durableId="1516459930">
    <w:abstractNumId w:val="2"/>
  </w:num>
  <w:num w:numId="8" w16cid:durableId="2131656542">
    <w:abstractNumId w:val="1"/>
  </w:num>
  <w:num w:numId="9" w16cid:durableId="1641494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0ABD"/>
    <w:rsid w:val="0015074B"/>
    <w:rsid w:val="00224109"/>
    <w:rsid w:val="0029639D"/>
    <w:rsid w:val="00326F90"/>
    <w:rsid w:val="00573750"/>
    <w:rsid w:val="006178E6"/>
    <w:rsid w:val="00972358"/>
    <w:rsid w:val="00AA1D8D"/>
    <w:rsid w:val="00B4270A"/>
    <w:rsid w:val="00B47730"/>
    <w:rsid w:val="00CB0664"/>
    <w:rsid w:val="00D75519"/>
    <w:rsid w:val="00DE6FE4"/>
    <w:rsid w:val="00ED7047"/>
    <w:rsid w:val="00FC693F"/>
    <w:rsid w:val="4A56A3C2"/>
    <w:rsid w:val="55A8027B"/>
    <w:rsid w:val="6AE4CEBF"/>
    <w:rsid w:val="706978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D12E1C"/>
  <w14:defaultImageDpi w14:val="300"/>
  <w15:docId w15:val="{D030FD9A-1C3A-4C8E-B41B-1B2C6A1C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 Type="http://schemas.openxmlformats.org/officeDocument/2006/relationships/header" Target="header.xml" Id="R33aaa97aeb10470a" /><Relationship Type="http://schemas.openxmlformats.org/officeDocument/2006/relationships/footer" Target="footer.xml" Id="R09d285f5923b4b8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60355E6C41754D9DF52AD2C95F00FA" ma:contentTypeVersion="17" ma:contentTypeDescription="Create a new document." ma:contentTypeScope="" ma:versionID="e71577244c08a54ee0a0d145e71571f1">
  <xsd:schema xmlns:xsd="http://www.w3.org/2001/XMLSchema" xmlns:xs="http://www.w3.org/2001/XMLSchema" xmlns:p="http://schemas.microsoft.com/office/2006/metadata/properties" xmlns:ns2="78228111-96dc-4832-b9e4-10e760abf5f3" xmlns:ns3="2725c1ec-b02a-4ed8-8d30-5538488a8fc3" targetNamespace="http://schemas.microsoft.com/office/2006/metadata/properties" ma:root="true" ma:fieldsID="56cbe087ac18546f856aff57331c799e" ns2:_="" ns3:_="">
    <xsd:import namespace="78228111-96dc-4832-b9e4-10e760abf5f3"/>
    <xsd:import namespace="2725c1ec-b02a-4ed8-8d30-5538488a8f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28111-96dc-4832-b9e4-10e760abf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25c1ec-b02a-4ed8-8d30-5538488a8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dc0c96-31b6-4316-8373-6bd1864f54e5}" ma:internalName="TaxCatchAll" ma:showField="CatchAllData" ma:web="2725c1ec-b02a-4ed8-8d30-5538488a8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25c1ec-b02a-4ed8-8d30-5538488a8fc3" xsi:nil="true"/>
    <lcf76f155ced4ddcb4097134ff3c332f xmlns="78228111-96dc-4832-b9e4-10e760abf5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5D01A02-7491-4079-A2D7-8282E5B8499D}"/>
</file>

<file path=customXml/itemProps3.xml><?xml version="1.0" encoding="utf-8"?>
<ds:datastoreItem xmlns:ds="http://schemas.openxmlformats.org/officeDocument/2006/customXml" ds:itemID="{771CB2A8-9320-4EF3-A261-5DAAFBABB841}"/>
</file>

<file path=customXml/itemProps4.xml><?xml version="1.0" encoding="utf-8"?>
<ds:datastoreItem xmlns:ds="http://schemas.openxmlformats.org/officeDocument/2006/customXml" ds:itemID="{847E85FB-5DC1-4DBC-989C-833993D055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Finlayson</cp:lastModifiedBy>
  <cp:revision>5</cp:revision>
  <dcterms:created xsi:type="dcterms:W3CDTF">2025-10-27T15:57:00Z</dcterms:created>
  <dcterms:modified xsi:type="dcterms:W3CDTF">2026-01-22T09:25:27Z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0x0101003E60355E6C41754D9DF52AD2C95F00FA</vt:lpwstr>
  </property>
  <property fmtid="{D5CDD505-2E9C-101B-9397-08002B2CF9AE}" pid="3" name="MediaServiceImageTags">
    <vt:lpwstr/>
  </property>
</Properties>
</file>