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19A4" w14:textId="77777777" w:rsidR="005C6BA5" w:rsidRPr="00D04EEA" w:rsidRDefault="005C6BA5" w:rsidP="006D794B">
      <w:pPr>
        <w:jc w:val="both"/>
        <w:rPr>
          <w:rFonts w:ascii="Arial" w:hAnsi="Arial" w:cs="Arial"/>
          <w:b/>
          <w:bCs/>
          <w:caps/>
          <w:sz w:val="24"/>
          <w:szCs w:val="24"/>
        </w:rPr>
      </w:pPr>
      <w:r w:rsidRPr="00D04EEA">
        <w:rPr>
          <w:rFonts w:ascii="Arial" w:hAnsi="Arial" w:cs="Arial"/>
          <w:b/>
          <w:bCs/>
          <w:caps/>
          <w:sz w:val="24"/>
          <w:szCs w:val="24"/>
        </w:rPr>
        <w:t xml:space="preserve">    </w:t>
      </w:r>
      <w:r w:rsidR="00A95214" w:rsidRPr="00D04EEA">
        <w:rPr>
          <w:rFonts w:ascii="Arial" w:hAnsi="Arial" w:cs="Arial"/>
          <w:b/>
          <w:bCs/>
          <w:caps/>
          <w:noProof/>
          <w:sz w:val="24"/>
          <w:szCs w:val="24"/>
        </w:rPr>
        <w:drawing>
          <wp:inline distT="0" distB="0" distL="0" distR="0" wp14:anchorId="65B0A85D" wp14:editId="4537E4E1">
            <wp:extent cx="182435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4355" cy="628650"/>
                    </a:xfrm>
                    <a:prstGeom prst="rect">
                      <a:avLst/>
                    </a:prstGeom>
                    <a:noFill/>
                    <a:ln>
                      <a:noFill/>
                    </a:ln>
                  </pic:spPr>
                </pic:pic>
              </a:graphicData>
            </a:graphic>
          </wp:inline>
        </w:drawing>
      </w:r>
    </w:p>
    <w:p w14:paraId="355F7DD9" w14:textId="78B65BB9" w:rsidR="005C6BA5" w:rsidRPr="00B86A9B" w:rsidRDefault="005C6BA5" w:rsidP="00E14980">
      <w:pPr>
        <w:keepNext/>
        <w:spacing w:after="120"/>
        <w:jc w:val="center"/>
        <w:rPr>
          <w:rFonts w:ascii="Arial" w:hAnsi="Arial" w:cs="Arial"/>
          <w:b/>
          <w:bCs/>
          <w:sz w:val="28"/>
          <w:szCs w:val="28"/>
        </w:rPr>
      </w:pPr>
      <w:bookmarkStart w:id="0" w:name="_Hlk212446312"/>
      <w:r w:rsidRPr="00B86A9B">
        <w:rPr>
          <w:rFonts w:ascii="Arial" w:hAnsi="Arial" w:cs="Arial"/>
          <w:b/>
          <w:bCs/>
          <w:sz w:val="28"/>
          <w:szCs w:val="28"/>
        </w:rPr>
        <w:t>Court</w:t>
      </w:r>
    </w:p>
    <w:p w14:paraId="095E0DCE" w14:textId="1D0D8D5A" w:rsidR="00C22DF6" w:rsidRPr="00B86A9B" w:rsidRDefault="005C6BA5" w:rsidP="00C22DF6">
      <w:pPr>
        <w:keepNext/>
        <w:spacing w:before="240" w:after="120"/>
        <w:jc w:val="center"/>
        <w:rPr>
          <w:rFonts w:ascii="Arial" w:hAnsi="Arial" w:cs="Arial"/>
          <w:b/>
          <w:bCs/>
          <w:sz w:val="28"/>
          <w:szCs w:val="28"/>
        </w:rPr>
      </w:pPr>
      <w:r w:rsidRPr="00B86A9B">
        <w:rPr>
          <w:rFonts w:ascii="Arial" w:hAnsi="Arial" w:cs="Arial"/>
          <w:b/>
          <w:bCs/>
          <w:sz w:val="28"/>
          <w:szCs w:val="28"/>
        </w:rPr>
        <w:t>Minute of Meeting held on</w:t>
      </w:r>
      <w:r w:rsidR="00E6640B">
        <w:rPr>
          <w:rFonts w:ascii="Arial" w:hAnsi="Arial" w:cs="Arial"/>
          <w:b/>
          <w:bCs/>
          <w:sz w:val="28"/>
          <w:szCs w:val="28"/>
        </w:rPr>
        <w:t xml:space="preserve"> </w:t>
      </w:r>
      <w:r w:rsidR="00BA64FF">
        <w:rPr>
          <w:rFonts w:ascii="Arial" w:hAnsi="Arial" w:cs="Arial"/>
          <w:b/>
          <w:bCs/>
          <w:sz w:val="28"/>
          <w:szCs w:val="28"/>
        </w:rPr>
        <w:t>26 November</w:t>
      </w:r>
      <w:r w:rsidR="002C0502">
        <w:rPr>
          <w:rFonts w:ascii="Arial" w:hAnsi="Arial" w:cs="Arial"/>
          <w:b/>
          <w:bCs/>
          <w:sz w:val="28"/>
          <w:szCs w:val="28"/>
        </w:rPr>
        <w:t xml:space="preserve"> </w:t>
      </w:r>
      <w:r w:rsidR="00515226" w:rsidRPr="00B86A9B">
        <w:rPr>
          <w:rFonts w:ascii="Arial" w:hAnsi="Arial" w:cs="Arial"/>
          <w:b/>
          <w:bCs/>
          <w:sz w:val="28"/>
          <w:szCs w:val="28"/>
        </w:rPr>
        <w:t>202</w:t>
      </w:r>
      <w:r w:rsidR="00D71DB6">
        <w:rPr>
          <w:rFonts w:ascii="Arial" w:hAnsi="Arial" w:cs="Arial"/>
          <w:b/>
          <w:bCs/>
          <w:sz w:val="28"/>
          <w:szCs w:val="28"/>
        </w:rPr>
        <w:t>5</w:t>
      </w:r>
      <w:r w:rsidR="00E6640B">
        <w:rPr>
          <w:rFonts w:ascii="Arial" w:hAnsi="Arial" w:cs="Arial"/>
          <w:b/>
          <w:bCs/>
          <w:sz w:val="28"/>
          <w:szCs w:val="28"/>
        </w:rPr>
        <w:t xml:space="preserve"> </w:t>
      </w:r>
      <w:r w:rsidR="00C22DF6">
        <w:rPr>
          <w:rFonts w:ascii="Arial" w:hAnsi="Arial" w:cs="Arial"/>
          <w:b/>
          <w:bCs/>
          <w:sz w:val="28"/>
          <w:szCs w:val="28"/>
        </w:rPr>
        <w:t xml:space="preserve">held </w:t>
      </w:r>
      <w:r w:rsidR="002C0502">
        <w:rPr>
          <w:rFonts w:ascii="Arial" w:hAnsi="Arial" w:cs="Arial"/>
          <w:b/>
          <w:bCs/>
          <w:sz w:val="28"/>
          <w:szCs w:val="28"/>
        </w:rPr>
        <w:t xml:space="preserve">in the Senate Room and </w:t>
      </w:r>
      <w:r w:rsidR="009A45D9">
        <w:rPr>
          <w:rFonts w:ascii="Arial" w:hAnsi="Arial" w:cs="Arial"/>
          <w:b/>
          <w:bCs/>
          <w:sz w:val="28"/>
          <w:szCs w:val="28"/>
        </w:rPr>
        <w:t>via Zoom</w:t>
      </w:r>
    </w:p>
    <w:p w14:paraId="5F28B68E" w14:textId="77777777" w:rsidR="004F5009" w:rsidRDefault="004F5009" w:rsidP="003F1095">
      <w:pPr>
        <w:jc w:val="both"/>
        <w:rPr>
          <w:rFonts w:ascii="Arial" w:eastAsiaTheme="minorEastAsia" w:hAnsi="Arial" w:cs="Arial"/>
          <w:b/>
          <w:bCs/>
          <w:sz w:val="22"/>
          <w:szCs w:val="22"/>
        </w:rPr>
      </w:pPr>
    </w:p>
    <w:p w14:paraId="37F04352" w14:textId="77777777" w:rsidR="004006F0" w:rsidRPr="00B86A9B" w:rsidRDefault="004006F0" w:rsidP="003F1095">
      <w:pPr>
        <w:jc w:val="both"/>
        <w:rPr>
          <w:rFonts w:ascii="Arial" w:eastAsiaTheme="minorEastAsia" w:hAnsi="Arial" w:cs="Arial"/>
          <w:b/>
          <w:bCs/>
          <w:sz w:val="22"/>
          <w:szCs w:val="22"/>
        </w:rPr>
      </w:pPr>
    </w:p>
    <w:p w14:paraId="1753838C" w14:textId="77777777" w:rsidR="005C6BA5" w:rsidRPr="00207522" w:rsidRDefault="005C6BA5" w:rsidP="003F1095">
      <w:pPr>
        <w:jc w:val="both"/>
        <w:rPr>
          <w:rFonts w:ascii="Arial" w:eastAsiaTheme="minorEastAsia" w:hAnsi="Arial" w:cs="Arial"/>
          <w:b/>
          <w:bCs/>
          <w:sz w:val="22"/>
          <w:szCs w:val="22"/>
        </w:rPr>
      </w:pPr>
      <w:r w:rsidRPr="00207522">
        <w:rPr>
          <w:rFonts w:ascii="Arial" w:eastAsiaTheme="minorEastAsia" w:hAnsi="Arial" w:cs="Arial"/>
          <w:b/>
          <w:bCs/>
          <w:sz w:val="22"/>
          <w:szCs w:val="22"/>
        </w:rPr>
        <w:t>Present:</w:t>
      </w:r>
    </w:p>
    <w:p w14:paraId="79EA54C4" w14:textId="51A11B2E" w:rsidR="00D37D2B" w:rsidRPr="00207522" w:rsidRDefault="00E6640B" w:rsidP="00E6640B">
      <w:pPr>
        <w:spacing w:after="120"/>
        <w:jc w:val="both"/>
        <w:rPr>
          <w:rFonts w:ascii="Arial" w:hAnsi="Arial" w:cs="Arial"/>
          <w:b/>
          <w:bCs/>
          <w:sz w:val="22"/>
          <w:szCs w:val="22"/>
        </w:rPr>
      </w:pPr>
      <w:bookmarkStart w:id="1" w:name="_Hlk80804069"/>
      <w:r w:rsidRPr="00207522">
        <w:rPr>
          <w:rFonts w:ascii="Arial" w:eastAsiaTheme="minorEastAsia" w:hAnsi="Arial" w:cs="Arial"/>
          <w:sz w:val="22"/>
          <w:szCs w:val="22"/>
        </w:rPr>
        <w:t xml:space="preserve">Gavin Stewart </w:t>
      </w:r>
      <w:r w:rsidR="00C241BE" w:rsidRPr="00207522">
        <w:rPr>
          <w:rFonts w:ascii="Arial" w:eastAsiaTheme="minorEastAsia" w:hAnsi="Arial" w:cs="Arial"/>
          <w:sz w:val="22"/>
          <w:szCs w:val="22"/>
        </w:rPr>
        <w:t>Co-opted Member (Convener of Court),</w:t>
      </w:r>
      <w:r w:rsidR="00FE11DC" w:rsidRPr="00207522">
        <w:rPr>
          <w:rFonts w:ascii="Arial" w:hAnsi="Arial" w:cs="Arial"/>
          <w:sz w:val="22"/>
          <w:szCs w:val="22"/>
        </w:rPr>
        <w:t xml:space="preserve"> </w:t>
      </w:r>
      <w:r w:rsidR="006E752A" w:rsidRPr="00207522">
        <w:rPr>
          <w:rFonts w:ascii="Arial" w:hAnsi="Arial" w:cs="Arial"/>
          <w:sz w:val="22"/>
          <w:szCs w:val="22"/>
        </w:rPr>
        <w:t xml:space="preserve">Dr Ghassan Abu-Sittah (Rector (Via Zoom for part of the meeting)), </w:t>
      </w:r>
      <w:r w:rsidR="00D71DB6" w:rsidRPr="00207522">
        <w:rPr>
          <w:rFonts w:ascii="Arial" w:hAnsi="Arial" w:cs="Arial"/>
          <w:sz w:val="22"/>
          <w:szCs w:val="22"/>
        </w:rPr>
        <w:t xml:space="preserve"> </w:t>
      </w:r>
      <w:r w:rsidR="00207522" w:rsidRPr="00207522">
        <w:rPr>
          <w:rFonts w:ascii="Arial" w:hAnsi="Arial" w:cs="Arial"/>
          <w:sz w:val="22"/>
          <w:szCs w:val="22"/>
        </w:rPr>
        <w:t xml:space="preserve">CJ Adebayo </w:t>
      </w:r>
      <w:proofErr w:type="spellStart"/>
      <w:r w:rsidR="00207522" w:rsidRPr="00207522">
        <w:rPr>
          <w:rFonts w:ascii="Arial" w:hAnsi="Arial" w:cs="Arial"/>
          <w:sz w:val="22"/>
          <w:szCs w:val="22"/>
        </w:rPr>
        <w:t>Omoaka</w:t>
      </w:r>
      <w:proofErr w:type="spellEnd"/>
      <w:r w:rsidR="00207522" w:rsidRPr="00207522">
        <w:rPr>
          <w:rFonts w:ascii="Arial" w:hAnsi="Arial" w:cs="Arial"/>
          <w:sz w:val="22"/>
          <w:szCs w:val="22"/>
        </w:rPr>
        <w:t xml:space="preserve"> (SRC Assessor), </w:t>
      </w:r>
      <w:r w:rsidR="003D3CC0" w:rsidRPr="00207522">
        <w:rPr>
          <w:rFonts w:ascii="Arial" w:eastAsiaTheme="minorEastAsia" w:hAnsi="Arial" w:cs="Arial"/>
          <w:sz w:val="22"/>
          <w:szCs w:val="22"/>
        </w:rPr>
        <w:t>Professor Sarah Armstrong (</w:t>
      </w:r>
      <w:r w:rsidR="003D3CC0" w:rsidRPr="00207522">
        <w:rPr>
          <w:rFonts w:ascii="Arial" w:hAnsi="Arial" w:cs="Arial"/>
          <w:sz w:val="22"/>
          <w:szCs w:val="22"/>
        </w:rPr>
        <w:t>Elected Academic Staff Member</w:t>
      </w:r>
      <w:r w:rsidR="003D3CC0" w:rsidRPr="00207522">
        <w:rPr>
          <w:rFonts w:ascii="Arial" w:eastAsiaTheme="minorEastAsia" w:hAnsi="Arial" w:cs="Arial"/>
          <w:sz w:val="22"/>
          <w:szCs w:val="22"/>
        </w:rPr>
        <w:t xml:space="preserve">), </w:t>
      </w:r>
      <w:r w:rsidRPr="00207522">
        <w:rPr>
          <w:rFonts w:ascii="Arial" w:eastAsiaTheme="minorEastAsia" w:hAnsi="Arial" w:cs="Arial"/>
          <w:sz w:val="22"/>
          <w:szCs w:val="22"/>
        </w:rPr>
        <w:t>Professor Tara Brendle (</w:t>
      </w:r>
      <w:r w:rsidRPr="00207522">
        <w:rPr>
          <w:rFonts w:ascii="Arial" w:hAnsi="Arial" w:cs="Arial"/>
          <w:sz w:val="22"/>
          <w:szCs w:val="22"/>
        </w:rPr>
        <w:t>Elected Academic Staff Member</w:t>
      </w:r>
      <w:r w:rsidRPr="00207522">
        <w:rPr>
          <w:rFonts w:ascii="Arial" w:eastAsiaTheme="minorEastAsia" w:hAnsi="Arial" w:cs="Arial"/>
          <w:sz w:val="22"/>
          <w:szCs w:val="22"/>
        </w:rPr>
        <w:t xml:space="preserve">), </w:t>
      </w:r>
      <w:r w:rsidR="00D71DB6" w:rsidRPr="00207522">
        <w:rPr>
          <w:rFonts w:ascii="Arial" w:hAnsi="Arial" w:cs="Arial"/>
          <w:sz w:val="22"/>
          <w:szCs w:val="22"/>
        </w:rPr>
        <w:t>Mary Jane Brouwers (Co-opted Member),</w:t>
      </w:r>
      <w:r w:rsidR="00451546" w:rsidRPr="00207522">
        <w:rPr>
          <w:rFonts w:ascii="Arial" w:hAnsi="Arial" w:cs="Arial"/>
          <w:sz w:val="22"/>
          <w:szCs w:val="22"/>
        </w:rPr>
        <w:t xml:space="preserve"> </w:t>
      </w:r>
      <w:r w:rsidR="00D71DB6" w:rsidRPr="00207522">
        <w:rPr>
          <w:rFonts w:ascii="Arial" w:hAnsi="Arial" w:cs="Arial"/>
          <w:sz w:val="22"/>
          <w:szCs w:val="22"/>
        </w:rPr>
        <w:t xml:space="preserve">Duncan Calvert (SRC President), </w:t>
      </w:r>
      <w:r w:rsidRPr="00207522">
        <w:rPr>
          <w:rFonts w:asciiTheme="minorBidi" w:hAnsiTheme="minorBidi" w:cstheme="minorBidi"/>
          <w:sz w:val="22"/>
          <w:szCs w:val="22"/>
        </w:rPr>
        <w:t>Kerry Christie (Co-opted member),</w:t>
      </w:r>
      <w:r w:rsidR="00D71DB6" w:rsidRPr="00207522">
        <w:rPr>
          <w:rFonts w:asciiTheme="minorBidi" w:hAnsiTheme="minorBidi" w:cstheme="minorBidi"/>
          <w:sz w:val="22"/>
          <w:szCs w:val="22"/>
        </w:rPr>
        <w:t xml:space="preserve"> Professor Ben Colburn (</w:t>
      </w:r>
      <w:r w:rsidR="00D71DB6" w:rsidRPr="00207522">
        <w:rPr>
          <w:rFonts w:ascii="Arial" w:hAnsi="Arial" w:cs="Arial"/>
          <w:sz w:val="22"/>
          <w:szCs w:val="22"/>
        </w:rPr>
        <w:t>Elected Academic Staff Member</w:t>
      </w:r>
      <w:r w:rsidR="00D71DB6" w:rsidRPr="00207522">
        <w:rPr>
          <w:rFonts w:ascii="Arial" w:eastAsiaTheme="minorEastAsia" w:hAnsi="Arial" w:cs="Arial"/>
          <w:sz w:val="22"/>
          <w:szCs w:val="22"/>
        </w:rPr>
        <w:t>),</w:t>
      </w:r>
      <w:r w:rsidR="00ED4F47" w:rsidRPr="00207522">
        <w:rPr>
          <w:rFonts w:ascii="Arial" w:hAnsi="Arial" w:cs="Arial"/>
          <w:sz w:val="22"/>
          <w:szCs w:val="22"/>
        </w:rPr>
        <w:t xml:space="preserve"> </w:t>
      </w:r>
      <w:r w:rsidR="00451546" w:rsidRPr="00207522">
        <w:rPr>
          <w:rFonts w:ascii="Arial" w:hAnsi="Arial" w:cs="Arial"/>
          <w:sz w:val="22"/>
          <w:szCs w:val="22"/>
        </w:rPr>
        <w:t>Stuart Hoggan (</w:t>
      </w:r>
      <w:r w:rsidR="00451546" w:rsidRPr="00207522">
        <w:rPr>
          <w:rFonts w:ascii="Arial" w:eastAsiaTheme="minorEastAsia" w:hAnsi="Arial" w:cs="Arial"/>
          <w:sz w:val="22"/>
          <w:szCs w:val="22"/>
        </w:rPr>
        <w:t xml:space="preserve">General Council Assessor), </w:t>
      </w:r>
      <w:r w:rsidR="003D3CC0" w:rsidRPr="00207522">
        <w:rPr>
          <w:rFonts w:ascii="Arial" w:eastAsiaTheme="minorEastAsia" w:hAnsi="Arial" w:cs="Arial"/>
          <w:sz w:val="22"/>
          <w:szCs w:val="22"/>
        </w:rPr>
        <w:t>Dr Bo Hu (Chancellor’s Assessor</w:t>
      </w:r>
      <w:r w:rsidR="00207522" w:rsidRPr="00207522">
        <w:rPr>
          <w:rFonts w:ascii="Arial" w:eastAsiaTheme="minorEastAsia" w:hAnsi="Arial" w:cs="Arial"/>
          <w:sz w:val="22"/>
          <w:szCs w:val="22"/>
        </w:rPr>
        <w:t xml:space="preserve"> (Via Zoom)</w:t>
      </w:r>
      <w:r w:rsidR="003D3CC0" w:rsidRPr="00207522">
        <w:rPr>
          <w:rFonts w:ascii="Arial" w:eastAsiaTheme="minorEastAsia" w:hAnsi="Arial" w:cs="Arial"/>
          <w:sz w:val="22"/>
          <w:szCs w:val="22"/>
        </w:rPr>
        <w:t xml:space="preserve">), </w:t>
      </w:r>
      <w:r w:rsidR="006E752A" w:rsidRPr="00207522">
        <w:rPr>
          <w:rFonts w:ascii="Arial" w:hAnsi="Arial" w:cs="Arial"/>
          <w:sz w:val="22"/>
          <w:szCs w:val="22"/>
        </w:rPr>
        <w:t xml:space="preserve">Mr Christopher Kennedy (Elected Professional Services Representative), </w:t>
      </w:r>
      <w:r w:rsidR="00C11939" w:rsidRPr="00207522">
        <w:rPr>
          <w:rFonts w:ascii="Arial" w:hAnsi="Arial" w:cs="Arial"/>
          <w:sz w:val="22"/>
          <w:szCs w:val="22"/>
        </w:rPr>
        <w:t xml:space="preserve">Jonathan Loukes </w:t>
      </w:r>
      <w:r w:rsidR="00C11939" w:rsidRPr="00207522">
        <w:rPr>
          <w:rFonts w:ascii="Arial" w:eastAsiaTheme="minorEastAsia" w:hAnsi="Arial" w:cs="Arial"/>
          <w:sz w:val="22"/>
          <w:szCs w:val="22"/>
        </w:rPr>
        <w:t>(Co-opted Member</w:t>
      </w:r>
      <w:r w:rsidR="00C11939" w:rsidRPr="00207522">
        <w:rPr>
          <w:rFonts w:ascii="Arial" w:hAnsi="Arial" w:cs="Arial"/>
          <w:sz w:val="22"/>
          <w:szCs w:val="22"/>
        </w:rPr>
        <w:t xml:space="preserve">), </w:t>
      </w:r>
      <w:r w:rsidR="00D71DB6" w:rsidRPr="00207522">
        <w:rPr>
          <w:rFonts w:ascii="Arial" w:hAnsi="Arial" w:cs="Arial"/>
          <w:sz w:val="22"/>
          <w:szCs w:val="22"/>
        </w:rPr>
        <w:t xml:space="preserve"> Duncan Lowther (Trade Union Nominee), Paula McKerrow (Trade Union Nominee), Lorra</w:t>
      </w:r>
      <w:r w:rsidR="009B37B5">
        <w:rPr>
          <w:rFonts w:ascii="Arial" w:hAnsi="Arial" w:cs="Arial"/>
          <w:sz w:val="22"/>
          <w:szCs w:val="22"/>
        </w:rPr>
        <w:t>i</w:t>
      </w:r>
      <w:r w:rsidR="00D71DB6" w:rsidRPr="00207522">
        <w:rPr>
          <w:rFonts w:ascii="Arial" w:hAnsi="Arial" w:cs="Arial"/>
          <w:sz w:val="22"/>
          <w:szCs w:val="22"/>
        </w:rPr>
        <w:t xml:space="preserve">ne McMillan (Co-opted Member), </w:t>
      </w:r>
      <w:r w:rsidR="003D3CC0" w:rsidRPr="00207522">
        <w:rPr>
          <w:rFonts w:ascii="Arial" w:eastAsiaTheme="minorEastAsia" w:hAnsi="Arial" w:cs="Arial"/>
          <w:sz w:val="22"/>
          <w:szCs w:val="22"/>
        </w:rPr>
        <w:t>Professor Richard Reeve (</w:t>
      </w:r>
      <w:r w:rsidR="00D71DB6" w:rsidRPr="00207522">
        <w:rPr>
          <w:rFonts w:ascii="Arial" w:hAnsi="Arial" w:cs="Arial"/>
          <w:sz w:val="22"/>
          <w:szCs w:val="22"/>
        </w:rPr>
        <w:t>Elected Academic Staff Member</w:t>
      </w:r>
      <w:r w:rsidR="00D71DB6" w:rsidRPr="00207522">
        <w:rPr>
          <w:rFonts w:ascii="Arial" w:eastAsiaTheme="minorEastAsia" w:hAnsi="Arial" w:cs="Arial"/>
          <w:sz w:val="22"/>
          <w:szCs w:val="22"/>
        </w:rPr>
        <w:t>)</w:t>
      </w:r>
      <w:r w:rsidRPr="00207522">
        <w:rPr>
          <w:rFonts w:ascii="Arial" w:eastAsiaTheme="minorEastAsia" w:hAnsi="Arial" w:cs="Arial"/>
          <w:sz w:val="22"/>
          <w:szCs w:val="22"/>
        </w:rPr>
        <w:t>,</w:t>
      </w:r>
      <w:r w:rsidR="00F544CA" w:rsidRPr="00207522">
        <w:rPr>
          <w:rFonts w:ascii="Arial" w:hAnsi="Arial" w:cs="Arial"/>
          <w:sz w:val="22"/>
          <w:szCs w:val="22"/>
        </w:rPr>
        <w:t xml:space="preserve"> </w:t>
      </w:r>
      <w:r w:rsidR="002C0502" w:rsidRPr="00207522">
        <w:rPr>
          <w:rFonts w:ascii="Arial" w:eastAsiaTheme="minorEastAsia" w:hAnsi="Arial" w:cs="Arial"/>
          <w:sz w:val="22"/>
          <w:szCs w:val="22"/>
        </w:rPr>
        <w:t>Shan Saba (Co-opted Member)</w:t>
      </w:r>
      <w:r w:rsidR="00207522" w:rsidRPr="00207522">
        <w:rPr>
          <w:rFonts w:ascii="Arial" w:eastAsiaTheme="minorEastAsia" w:hAnsi="Arial" w:cs="Arial"/>
          <w:sz w:val="22"/>
          <w:szCs w:val="22"/>
        </w:rPr>
        <w:t xml:space="preserve">, </w:t>
      </w:r>
      <w:r w:rsidR="00207522" w:rsidRPr="00207522">
        <w:rPr>
          <w:rFonts w:ascii="Arial" w:hAnsi="Arial" w:cs="Arial"/>
          <w:sz w:val="22"/>
          <w:szCs w:val="22"/>
        </w:rPr>
        <w:t>Professor Andy Schofield (Principal and Vice Chancellor),</w:t>
      </w:r>
      <w:r w:rsidR="007064A2" w:rsidRPr="007064A2">
        <w:rPr>
          <w:rFonts w:ascii="Arial" w:hAnsi="Arial" w:cs="Arial"/>
          <w:sz w:val="22"/>
          <w:szCs w:val="22"/>
        </w:rPr>
        <w:t xml:space="preserve"> </w:t>
      </w:r>
      <w:r w:rsidR="007064A2" w:rsidRPr="00207522">
        <w:rPr>
          <w:rFonts w:ascii="Arial" w:hAnsi="Arial" w:cs="Arial"/>
          <w:sz w:val="22"/>
          <w:szCs w:val="22"/>
        </w:rPr>
        <w:t>Martin Sinclair</w:t>
      </w:r>
      <w:r w:rsidR="007064A2">
        <w:rPr>
          <w:rFonts w:ascii="Arial" w:eastAsiaTheme="minorEastAsia" w:hAnsi="Arial" w:cs="Arial"/>
          <w:sz w:val="22"/>
          <w:szCs w:val="22"/>
        </w:rPr>
        <w:t xml:space="preserve"> </w:t>
      </w:r>
      <w:r w:rsidR="007064A2" w:rsidRPr="00207522">
        <w:rPr>
          <w:rFonts w:ascii="Arial" w:eastAsiaTheme="minorEastAsia" w:hAnsi="Arial" w:cs="Arial"/>
          <w:sz w:val="22"/>
          <w:szCs w:val="22"/>
        </w:rPr>
        <w:t>(Co-opted Member)</w:t>
      </w:r>
      <w:r w:rsidR="007064A2">
        <w:rPr>
          <w:rFonts w:ascii="Arial" w:eastAsiaTheme="minorEastAsia" w:hAnsi="Arial" w:cs="Arial"/>
          <w:sz w:val="22"/>
          <w:szCs w:val="22"/>
        </w:rPr>
        <w:t>.</w:t>
      </w:r>
    </w:p>
    <w:p w14:paraId="3CCD3A75" w14:textId="77777777" w:rsidR="00287D44" w:rsidRPr="00207522" w:rsidRDefault="00287D44" w:rsidP="00266A6D">
      <w:pPr>
        <w:spacing w:after="120"/>
        <w:jc w:val="both"/>
        <w:rPr>
          <w:rFonts w:ascii="Arial" w:hAnsi="Arial" w:cs="Arial"/>
          <w:b/>
          <w:bCs/>
          <w:sz w:val="22"/>
          <w:szCs w:val="22"/>
        </w:rPr>
      </w:pPr>
    </w:p>
    <w:p w14:paraId="5890D926" w14:textId="77777777" w:rsidR="00C241BE" w:rsidRPr="00207522" w:rsidRDefault="006B169D" w:rsidP="00C241BE">
      <w:pPr>
        <w:jc w:val="both"/>
        <w:rPr>
          <w:rFonts w:ascii="Arial" w:eastAsiaTheme="minorEastAsia" w:hAnsi="Arial" w:cs="Arial"/>
          <w:b/>
          <w:bCs/>
          <w:sz w:val="22"/>
          <w:szCs w:val="22"/>
        </w:rPr>
      </w:pPr>
      <w:r w:rsidRPr="00207522">
        <w:rPr>
          <w:rFonts w:ascii="Arial" w:eastAsiaTheme="minorEastAsia" w:hAnsi="Arial" w:cs="Arial"/>
          <w:b/>
          <w:bCs/>
          <w:sz w:val="22"/>
          <w:szCs w:val="22"/>
        </w:rPr>
        <w:t>Attending</w:t>
      </w:r>
      <w:r w:rsidR="005C6BA5" w:rsidRPr="00207522">
        <w:rPr>
          <w:rFonts w:ascii="Arial" w:eastAsiaTheme="minorEastAsia" w:hAnsi="Arial" w:cs="Arial"/>
          <w:b/>
          <w:bCs/>
          <w:sz w:val="22"/>
          <w:szCs w:val="22"/>
        </w:rPr>
        <w:t>:</w:t>
      </w:r>
    </w:p>
    <w:p w14:paraId="65C385B1" w14:textId="5A6CE91A" w:rsidR="00207522" w:rsidRPr="00207522" w:rsidRDefault="002C0502" w:rsidP="00207522">
      <w:pPr>
        <w:pStyle w:val="ItemText1"/>
        <w:spacing w:after="0"/>
        <w:ind w:left="0"/>
        <w:rPr>
          <w:rFonts w:ascii="Arial" w:hAnsi="Arial" w:cs="Arial"/>
          <w:sz w:val="22"/>
          <w:szCs w:val="22"/>
        </w:rPr>
      </w:pPr>
      <w:r w:rsidRPr="00207522">
        <w:rPr>
          <w:rFonts w:ascii="Arial" w:hAnsi="Arial" w:cs="Arial"/>
          <w:sz w:val="22"/>
          <w:szCs w:val="22"/>
        </w:rPr>
        <w:t>Gregor Caldow (Executive Director of Finance), Professor Frank Coton (</w:t>
      </w:r>
      <w:r w:rsidRPr="00207522">
        <w:rPr>
          <w:rFonts w:ascii="Arial" w:hAnsi="Arial" w:cs="Arial"/>
          <w:sz w:val="22"/>
          <w:szCs w:val="22"/>
          <w:lang w:eastAsia="zh-CN"/>
        </w:rPr>
        <w:t>Senior Vice Principal and Deputy Vice Chancellor (Academic)</w:t>
      </w:r>
      <w:r w:rsidRPr="00207522">
        <w:rPr>
          <w:rFonts w:ascii="Arial" w:hAnsi="Arial" w:cs="Arial"/>
          <w:color w:val="auto"/>
          <w:sz w:val="22"/>
          <w:szCs w:val="22"/>
        </w:rPr>
        <w:t xml:space="preserve">), </w:t>
      </w:r>
      <w:r w:rsidR="007A16D4" w:rsidRPr="00207522">
        <w:rPr>
          <w:rFonts w:ascii="Arial" w:eastAsiaTheme="minorEastAsia" w:hAnsi="Arial" w:cs="Arial"/>
          <w:color w:val="auto"/>
          <w:sz w:val="22"/>
          <w:szCs w:val="22"/>
        </w:rPr>
        <w:t xml:space="preserve">Dr </w:t>
      </w:r>
      <w:r w:rsidR="007A16D4" w:rsidRPr="00207522">
        <w:rPr>
          <w:rFonts w:ascii="Arial" w:eastAsiaTheme="minorEastAsia" w:hAnsi="Arial" w:cs="Arial"/>
          <w:sz w:val="22"/>
          <w:szCs w:val="22"/>
        </w:rPr>
        <w:t>David Duncan (Chief Operating Officer</w:t>
      </w:r>
      <w:r w:rsidR="00E6640B" w:rsidRPr="00207522">
        <w:rPr>
          <w:rFonts w:ascii="Arial" w:eastAsiaTheme="minorEastAsia" w:hAnsi="Arial" w:cs="Arial"/>
          <w:sz w:val="22"/>
          <w:szCs w:val="22"/>
        </w:rPr>
        <w:t xml:space="preserve"> </w:t>
      </w:r>
      <w:r w:rsidR="007A16D4" w:rsidRPr="00207522">
        <w:rPr>
          <w:rFonts w:ascii="Arial" w:eastAsiaTheme="minorEastAsia" w:hAnsi="Arial" w:cs="Arial"/>
          <w:sz w:val="22"/>
          <w:szCs w:val="22"/>
        </w:rPr>
        <w:t xml:space="preserve">&amp; University Secretary), </w:t>
      </w:r>
      <w:r w:rsidR="007A16D4" w:rsidRPr="00207522">
        <w:rPr>
          <w:rFonts w:ascii="Arial" w:hAnsi="Arial" w:cs="Arial"/>
          <w:sz w:val="22"/>
          <w:szCs w:val="22"/>
        </w:rPr>
        <w:t>Amber Higgins (</w:t>
      </w:r>
      <w:r w:rsidR="00E6640B" w:rsidRPr="00207522">
        <w:rPr>
          <w:rFonts w:ascii="Arial" w:hAnsi="Arial" w:cs="Arial"/>
          <w:sz w:val="22"/>
          <w:szCs w:val="22"/>
        </w:rPr>
        <w:t>Head of Court Office</w:t>
      </w:r>
      <w:r w:rsidR="007A16D4" w:rsidRPr="00207522">
        <w:rPr>
          <w:rFonts w:ascii="Arial" w:hAnsi="Arial" w:cs="Arial"/>
          <w:sz w:val="22"/>
          <w:szCs w:val="22"/>
        </w:rPr>
        <w:t xml:space="preserve"> and Clerk to Court)</w:t>
      </w:r>
      <w:r w:rsidR="007064A2">
        <w:rPr>
          <w:rFonts w:ascii="Arial" w:hAnsi="Arial" w:cs="Arial"/>
          <w:sz w:val="22"/>
          <w:szCs w:val="22"/>
        </w:rPr>
        <w:t xml:space="preserve">. </w:t>
      </w:r>
      <w:r w:rsidR="00D71DB6" w:rsidRPr="00207522">
        <w:rPr>
          <w:rFonts w:ascii="Arial" w:hAnsi="Arial" w:cs="Arial"/>
          <w:sz w:val="22"/>
          <w:szCs w:val="22"/>
        </w:rPr>
        <w:t>Professor Moira Fischbacher-Smith (Vice-Principal Learning and Teaching)</w:t>
      </w:r>
      <w:r w:rsidR="00207522">
        <w:rPr>
          <w:rFonts w:ascii="Arial" w:hAnsi="Arial" w:cs="Arial"/>
          <w:sz w:val="22"/>
          <w:szCs w:val="22"/>
        </w:rPr>
        <w:t xml:space="preserve">, </w:t>
      </w:r>
      <w:r w:rsidR="00207522" w:rsidRPr="00207522">
        <w:rPr>
          <w:rFonts w:ascii="Arial" w:hAnsi="Arial" w:cs="Arial"/>
          <w:sz w:val="22"/>
          <w:szCs w:val="22"/>
        </w:rPr>
        <w:t xml:space="preserve">Dr Sumi David, (Executive Director of Research) and Uzma Khan (Vice Principal for Economic Development and Innovations) </w:t>
      </w:r>
      <w:r w:rsidR="00207522">
        <w:rPr>
          <w:rFonts w:ascii="Arial" w:hAnsi="Arial" w:cs="Arial"/>
          <w:sz w:val="22"/>
          <w:szCs w:val="22"/>
        </w:rPr>
        <w:t xml:space="preserve">for </w:t>
      </w:r>
      <w:r w:rsidR="00207522" w:rsidRPr="00207522">
        <w:rPr>
          <w:rFonts w:ascii="Arial" w:hAnsi="Arial" w:cs="Arial"/>
          <w:sz w:val="22"/>
          <w:szCs w:val="22"/>
        </w:rPr>
        <w:t xml:space="preserve">Item </w:t>
      </w:r>
      <w:r w:rsidR="00207522" w:rsidRPr="00207522">
        <w:rPr>
          <w:rFonts w:ascii="Arial" w:eastAsiaTheme="minorEastAsia" w:hAnsi="Arial" w:cs="Arial"/>
          <w:i/>
          <w:iCs/>
          <w:sz w:val="22"/>
          <w:szCs w:val="22"/>
        </w:rPr>
        <w:t>CRT/2025/18</w:t>
      </w:r>
      <w:r w:rsidR="00207522" w:rsidRPr="00207522">
        <w:rPr>
          <w:rFonts w:ascii="Arial" w:hAnsi="Arial" w:cs="Arial"/>
          <w:i/>
          <w:iCs/>
          <w:sz w:val="22"/>
          <w:szCs w:val="22"/>
        </w:rPr>
        <w:t xml:space="preserve"> </w:t>
      </w:r>
      <w:r w:rsidR="00207522" w:rsidRPr="00207522">
        <w:rPr>
          <w:rFonts w:ascii="Arial" w:hAnsi="Arial" w:cs="Arial"/>
          <w:sz w:val="22"/>
          <w:szCs w:val="22"/>
        </w:rPr>
        <w:t>only</w:t>
      </w:r>
      <w:r w:rsidR="00207522">
        <w:rPr>
          <w:rFonts w:ascii="Arial" w:hAnsi="Arial" w:cs="Arial"/>
          <w:sz w:val="22"/>
          <w:szCs w:val="22"/>
        </w:rPr>
        <w:t>.</w:t>
      </w:r>
    </w:p>
    <w:p w14:paraId="1336500E" w14:textId="32EBE59B" w:rsidR="00273726" w:rsidRPr="00207522" w:rsidRDefault="00273726" w:rsidP="003F1095">
      <w:pPr>
        <w:jc w:val="both"/>
        <w:rPr>
          <w:rFonts w:ascii="Arial" w:eastAsiaTheme="minorEastAsia" w:hAnsi="Arial" w:cs="Arial"/>
          <w:b/>
          <w:bCs/>
          <w:sz w:val="22"/>
          <w:szCs w:val="22"/>
        </w:rPr>
      </w:pPr>
    </w:p>
    <w:p w14:paraId="25A9D1EC" w14:textId="77777777" w:rsidR="004006F0" w:rsidRPr="00207522" w:rsidRDefault="005C6BA5" w:rsidP="001B7310">
      <w:pPr>
        <w:jc w:val="both"/>
        <w:rPr>
          <w:rFonts w:ascii="Arial" w:eastAsiaTheme="minorEastAsia" w:hAnsi="Arial" w:cs="Arial"/>
          <w:b/>
          <w:bCs/>
          <w:sz w:val="22"/>
          <w:szCs w:val="22"/>
        </w:rPr>
      </w:pPr>
      <w:r w:rsidRPr="00207522">
        <w:rPr>
          <w:rFonts w:ascii="Arial" w:eastAsiaTheme="minorEastAsia" w:hAnsi="Arial" w:cs="Arial"/>
          <w:b/>
          <w:bCs/>
          <w:sz w:val="22"/>
          <w:szCs w:val="22"/>
        </w:rPr>
        <w:t xml:space="preserve">Apologies: </w:t>
      </w:r>
    </w:p>
    <w:bookmarkEnd w:id="1"/>
    <w:p w14:paraId="6E594915" w14:textId="0B26584C" w:rsidR="00917E4E" w:rsidRDefault="006E752A" w:rsidP="002C0502">
      <w:pPr>
        <w:spacing w:after="120"/>
        <w:jc w:val="both"/>
        <w:rPr>
          <w:rFonts w:ascii="Arial" w:hAnsi="Arial" w:cs="Arial"/>
          <w:sz w:val="22"/>
          <w:szCs w:val="22"/>
        </w:rPr>
      </w:pPr>
      <w:r w:rsidRPr="00207522">
        <w:rPr>
          <w:rFonts w:ascii="Arial" w:hAnsi="Arial" w:cs="Arial"/>
          <w:sz w:val="22"/>
          <w:szCs w:val="22"/>
        </w:rPr>
        <w:t>Cllr Susan Aitken (Glasgow City Council Assessor),</w:t>
      </w:r>
      <w:r w:rsidR="002C0502" w:rsidRPr="00207522">
        <w:rPr>
          <w:rFonts w:ascii="Arial" w:hAnsi="Arial" w:cs="Arial"/>
          <w:sz w:val="22"/>
          <w:szCs w:val="22"/>
        </w:rPr>
        <w:t xml:space="preserve"> </w:t>
      </w:r>
      <w:r w:rsidR="00207522" w:rsidRPr="00207522">
        <w:rPr>
          <w:rFonts w:ascii="Arial" w:eastAsiaTheme="minorEastAsia" w:hAnsi="Arial" w:cs="Arial"/>
          <w:sz w:val="22"/>
          <w:szCs w:val="22"/>
        </w:rPr>
        <w:t>Professor Nicola Dandridge (</w:t>
      </w:r>
      <w:r w:rsidR="00207522" w:rsidRPr="00207522">
        <w:rPr>
          <w:rFonts w:ascii="Arial" w:hAnsi="Arial" w:cs="Arial"/>
          <w:sz w:val="22"/>
          <w:szCs w:val="22"/>
        </w:rPr>
        <w:t xml:space="preserve">Co-opted Member), </w:t>
      </w:r>
      <w:r w:rsidRPr="00207522">
        <w:rPr>
          <w:rFonts w:ascii="Arial" w:hAnsi="Arial" w:cs="Arial"/>
          <w:sz w:val="22"/>
          <w:szCs w:val="22"/>
        </w:rPr>
        <w:t>Laic Khalique (Co-opted Member)</w:t>
      </w:r>
      <w:r w:rsidR="00207522" w:rsidRPr="00207522">
        <w:rPr>
          <w:rFonts w:ascii="Arial" w:eastAsiaTheme="minorEastAsia" w:hAnsi="Arial" w:cs="Arial"/>
          <w:sz w:val="22"/>
          <w:szCs w:val="22"/>
        </w:rPr>
        <w:t xml:space="preserve"> Dr Christine Middlemiss (General Council Assessor)</w:t>
      </w:r>
    </w:p>
    <w:p w14:paraId="54BD31F4" w14:textId="77777777" w:rsidR="002C0502" w:rsidRPr="002C0502" w:rsidRDefault="002C0502" w:rsidP="002C0502">
      <w:pPr>
        <w:spacing w:after="120"/>
        <w:jc w:val="both"/>
        <w:rPr>
          <w:rFonts w:ascii="Arial" w:hAnsi="Arial" w:cs="Arial"/>
          <w:sz w:val="22"/>
          <w:szCs w:val="22"/>
        </w:rPr>
      </w:pPr>
    </w:p>
    <w:p w14:paraId="4C96ABDC" w14:textId="12DECF1B" w:rsidR="002C0502" w:rsidRPr="008453AB" w:rsidRDefault="002C0502" w:rsidP="008D76D1">
      <w:pPr>
        <w:keepNext/>
        <w:tabs>
          <w:tab w:val="left" w:pos="567"/>
          <w:tab w:val="left" w:pos="850"/>
          <w:tab w:val="left" w:pos="1134"/>
          <w:tab w:val="left" w:pos="1418"/>
          <w:tab w:val="left" w:pos="1701"/>
          <w:tab w:val="left" w:pos="1985"/>
        </w:tabs>
        <w:spacing w:after="120"/>
        <w:ind w:left="567" w:hanging="567"/>
        <w:jc w:val="both"/>
        <w:rPr>
          <w:rFonts w:ascii="Arial" w:eastAsiaTheme="minorEastAsia" w:hAnsi="Arial" w:cs="Arial"/>
          <w:b/>
          <w:bCs/>
          <w:sz w:val="22"/>
          <w:szCs w:val="22"/>
        </w:rPr>
      </w:pPr>
      <w:r w:rsidRPr="001E2F38">
        <w:rPr>
          <w:rFonts w:ascii="Arial" w:eastAsiaTheme="minorEastAsia" w:hAnsi="Arial" w:cs="Arial"/>
          <w:b/>
          <w:bCs/>
          <w:sz w:val="22"/>
          <w:szCs w:val="22"/>
        </w:rPr>
        <w:t>CRT/202</w:t>
      </w:r>
      <w:r w:rsidR="00D71DB6">
        <w:rPr>
          <w:rFonts w:ascii="Arial" w:eastAsiaTheme="minorEastAsia" w:hAnsi="Arial" w:cs="Arial"/>
          <w:b/>
          <w:bCs/>
          <w:sz w:val="22"/>
          <w:szCs w:val="22"/>
        </w:rPr>
        <w:t>5/1</w:t>
      </w:r>
      <w:r w:rsidR="00BA64FF">
        <w:rPr>
          <w:rFonts w:ascii="Arial" w:eastAsiaTheme="minorEastAsia" w:hAnsi="Arial" w:cs="Arial"/>
          <w:b/>
          <w:bCs/>
          <w:sz w:val="22"/>
          <w:szCs w:val="22"/>
        </w:rPr>
        <w:t>5</w:t>
      </w:r>
      <w:r w:rsidRPr="001E2F38">
        <w:rPr>
          <w:rFonts w:ascii="Arial" w:eastAsiaTheme="minorEastAsia" w:hAnsi="Arial" w:cs="Arial"/>
          <w:b/>
          <w:bCs/>
          <w:sz w:val="22"/>
          <w:szCs w:val="22"/>
        </w:rPr>
        <w:t xml:space="preserve">. </w:t>
      </w:r>
      <w:r w:rsidRPr="00B86A9B">
        <w:rPr>
          <w:rFonts w:ascii="Arial" w:eastAsiaTheme="minorEastAsia" w:hAnsi="Arial" w:cs="Arial"/>
          <w:b/>
          <w:bCs/>
          <w:sz w:val="22"/>
          <w:szCs w:val="22"/>
        </w:rPr>
        <w:t>Announcements</w:t>
      </w:r>
      <w:r>
        <w:rPr>
          <w:rFonts w:ascii="Arial" w:eastAsiaTheme="minorEastAsia" w:hAnsi="Arial" w:cs="Arial"/>
          <w:b/>
          <w:bCs/>
          <w:sz w:val="22"/>
          <w:szCs w:val="22"/>
        </w:rPr>
        <w:t xml:space="preserve"> and declaration of Interests</w:t>
      </w:r>
    </w:p>
    <w:p w14:paraId="4B4BFA5A" w14:textId="0ED23982" w:rsidR="002C0502" w:rsidRDefault="00D71DB6" w:rsidP="00067EB8">
      <w:pPr>
        <w:rPr>
          <w:rFonts w:asciiTheme="minorBidi" w:hAnsiTheme="minorBidi" w:cstheme="minorBidi"/>
          <w:sz w:val="22"/>
          <w:szCs w:val="22"/>
        </w:rPr>
      </w:pPr>
      <w:r>
        <w:rPr>
          <w:rFonts w:ascii="Arial" w:hAnsi="Arial" w:cs="Arial"/>
          <w:sz w:val="22"/>
          <w:szCs w:val="22"/>
        </w:rPr>
        <w:t xml:space="preserve">The Convener </w:t>
      </w:r>
      <w:r w:rsidR="00BA64FF">
        <w:rPr>
          <w:rFonts w:ascii="Arial" w:hAnsi="Arial" w:cs="Arial"/>
          <w:sz w:val="22"/>
          <w:szCs w:val="22"/>
        </w:rPr>
        <w:t xml:space="preserve">of Court </w:t>
      </w:r>
      <w:r>
        <w:rPr>
          <w:rFonts w:ascii="Arial" w:hAnsi="Arial" w:cs="Arial"/>
          <w:sz w:val="22"/>
          <w:szCs w:val="22"/>
        </w:rPr>
        <w:t>welcomed</w:t>
      </w:r>
      <w:r w:rsidR="00BA64FF">
        <w:rPr>
          <w:rFonts w:ascii="Arial" w:hAnsi="Arial" w:cs="Arial"/>
          <w:sz w:val="22"/>
          <w:szCs w:val="22"/>
        </w:rPr>
        <w:t xml:space="preserve"> </w:t>
      </w:r>
      <w:r w:rsidR="00BA64FF" w:rsidRPr="00207522">
        <w:rPr>
          <w:rFonts w:ascii="Arial" w:hAnsi="Arial" w:cs="Arial"/>
          <w:sz w:val="22"/>
          <w:szCs w:val="22"/>
        </w:rPr>
        <w:t xml:space="preserve">CJ </w:t>
      </w:r>
      <w:r w:rsidR="00207522" w:rsidRPr="00207522">
        <w:rPr>
          <w:rFonts w:ascii="Arial" w:hAnsi="Arial" w:cs="Arial"/>
          <w:sz w:val="22"/>
          <w:szCs w:val="22"/>
        </w:rPr>
        <w:t xml:space="preserve">Adebayo </w:t>
      </w:r>
      <w:proofErr w:type="spellStart"/>
      <w:r w:rsidR="00207522" w:rsidRPr="00207522">
        <w:rPr>
          <w:rFonts w:ascii="Arial" w:hAnsi="Arial" w:cs="Arial"/>
          <w:sz w:val="22"/>
          <w:szCs w:val="22"/>
        </w:rPr>
        <w:t>Omoaka</w:t>
      </w:r>
      <w:proofErr w:type="spellEnd"/>
      <w:r w:rsidR="00207522" w:rsidRPr="00207522">
        <w:rPr>
          <w:rFonts w:ascii="Arial" w:hAnsi="Arial" w:cs="Arial"/>
          <w:sz w:val="22"/>
          <w:szCs w:val="22"/>
        </w:rPr>
        <w:t xml:space="preserve"> </w:t>
      </w:r>
      <w:r w:rsidR="00BA64FF">
        <w:rPr>
          <w:rFonts w:ascii="Arial" w:hAnsi="Arial" w:cs="Arial"/>
          <w:sz w:val="22"/>
          <w:szCs w:val="22"/>
        </w:rPr>
        <w:t>(SRC Assessor)</w:t>
      </w:r>
      <w:r>
        <w:rPr>
          <w:rFonts w:ascii="Arial" w:hAnsi="Arial" w:cs="Arial"/>
          <w:sz w:val="22"/>
          <w:szCs w:val="22"/>
        </w:rPr>
        <w:t xml:space="preserve"> </w:t>
      </w:r>
      <w:r w:rsidR="00507A50">
        <w:rPr>
          <w:rFonts w:ascii="Arial" w:hAnsi="Arial" w:cs="Arial"/>
          <w:sz w:val="22"/>
          <w:szCs w:val="22"/>
        </w:rPr>
        <w:t>to their new role on Court.</w:t>
      </w:r>
    </w:p>
    <w:p w14:paraId="3CD029F5" w14:textId="77777777" w:rsidR="002C0502" w:rsidRDefault="002C0502" w:rsidP="002C0502">
      <w:pPr>
        <w:jc w:val="both"/>
        <w:rPr>
          <w:rFonts w:ascii="Arial" w:eastAsiaTheme="minorEastAsia" w:hAnsi="Arial" w:cs="Arial"/>
          <w:sz w:val="22"/>
          <w:szCs w:val="22"/>
        </w:rPr>
      </w:pPr>
    </w:p>
    <w:p w14:paraId="18E67EFD" w14:textId="2383147E" w:rsidR="002C0502" w:rsidRPr="00FD1F18" w:rsidRDefault="002C0502" w:rsidP="00067EB8">
      <w:pPr>
        <w:rPr>
          <w:rFonts w:ascii="Arial" w:eastAsiaTheme="minorEastAsia" w:hAnsi="Arial" w:cs="Arial"/>
          <w:sz w:val="22"/>
          <w:szCs w:val="22"/>
        </w:rPr>
      </w:pPr>
      <w:r w:rsidRPr="008453AB">
        <w:rPr>
          <w:rFonts w:ascii="Arial" w:eastAsiaTheme="minorEastAsia" w:hAnsi="Arial" w:cs="Arial"/>
          <w:sz w:val="22"/>
          <w:szCs w:val="22"/>
        </w:rPr>
        <w:t>There was the following declaration of interest in relation to business to be conducted at the meeting:</w:t>
      </w:r>
      <w:r>
        <w:rPr>
          <w:rFonts w:ascii="Arial" w:eastAsiaTheme="minorEastAsia" w:hAnsi="Arial" w:cs="Arial"/>
          <w:sz w:val="22"/>
          <w:szCs w:val="22"/>
        </w:rPr>
        <w:t xml:space="preserve"> </w:t>
      </w:r>
      <w:r w:rsidRPr="008453AB">
        <w:rPr>
          <w:rFonts w:ascii="Arial" w:eastAsiaTheme="minorEastAsia" w:hAnsi="Arial" w:cs="Arial"/>
          <w:sz w:val="22"/>
          <w:szCs w:val="22"/>
        </w:rPr>
        <w:t>Dr David Duncan as a member of the UCEA - National Negotiating Team.</w:t>
      </w:r>
    </w:p>
    <w:p w14:paraId="5DA2615D" w14:textId="77777777" w:rsidR="002C0502" w:rsidRDefault="002C0502" w:rsidP="002C0502">
      <w:pPr>
        <w:jc w:val="both"/>
        <w:rPr>
          <w:rFonts w:ascii="Arial" w:eastAsiaTheme="minorEastAsia" w:hAnsi="Arial" w:cs="Arial"/>
          <w:sz w:val="22"/>
          <w:szCs w:val="22"/>
        </w:rPr>
      </w:pPr>
    </w:p>
    <w:p w14:paraId="397E0221" w14:textId="33594D97" w:rsidR="002C0502" w:rsidRPr="00207522" w:rsidRDefault="002C0502" w:rsidP="00067EB8">
      <w:pPr>
        <w:rPr>
          <w:rFonts w:cs="Arial"/>
          <w:bCs/>
          <w:sz w:val="22"/>
          <w:szCs w:val="22"/>
        </w:rPr>
      </w:pPr>
      <w:r w:rsidRPr="00207522">
        <w:rPr>
          <w:rFonts w:ascii="Arial" w:eastAsiaTheme="minorEastAsia" w:hAnsi="Arial" w:cs="Arial"/>
          <w:sz w:val="22"/>
          <w:szCs w:val="22"/>
        </w:rPr>
        <w:t xml:space="preserve">A pre-Court </w:t>
      </w:r>
      <w:r w:rsidR="00A87D24">
        <w:rPr>
          <w:rFonts w:ascii="Arial" w:eastAsiaTheme="minorEastAsia" w:hAnsi="Arial" w:cs="Arial"/>
          <w:sz w:val="22"/>
          <w:szCs w:val="22"/>
        </w:rPr>
        <w:t>meet</w:t>
      </w:r>
      <w:r w:rsidR="00A87D24" w:rsidRPr="00207522">
        <w:rPr>
          <w:rFonts w:ascii="Arial" w:eastAsiaTheme="minorEastAsia" w:hAnsi="Arial" w:cs="Arial"/>
          <w:sz w:val="22"/>
          <w:szCs w:val="22"/>
        </w:rPr>
        <w:t xml:space="preserve">ing </w:t>
      </w:r>
      <w:r w:rsidRPr="00207522">
        <w:rPr>
          <w:rFonts w:ascii="Arial" w:eastAsiaTheme="minorEastAsia" w:hAnsi="Arial" w:cs="Arial"/>
          <w:sz w:val="22"/>
          <w:szCs w:val="22"/>
        </w:rPr>
        <w:t xml:space="preserve">took place </w:t>
      </w:r>
      <w:r w:rsidR="00067EB8" w:rsidRPr="00207522">
        <w:rPr>
          <w:rFonts w:ascii="Arial" w:eastAsiaTheme="minorEastAsia" w:hAnsi="Arial" w:cs="Arial"/>
          <w:sz w:val="22"/>
          <w:szCs w:val="22"/>
        </w:rPr>
        <w:t>with</w:t>
      </w:r>
      <w:r w:rsidRPr="00207522">
        <w:rPr>
          <w:rFonts w:ascii="Arial" w:eastAsiaTheme="minorEastAsia" w:hAnsi="Arial" w:cs="Arial"/>
          <w:sz w:val="22"/>
          <w:szCs w:val="22"/>
        </w:rPr>
        <w:t xml:space="preserve"> </w:t>
      </w:r>
      <w:r w:rsidR="00067EB8" w:rsidRPr="00207522">
        <w:rPr>
          <w:rFonts w:ascii="Arial" w:eastAsiaTheme="minorEastAsia" w:hAnsi="Arial" w:cs="Arial"/>
          <w:sz w:val="22"/>
          <w:szCs w:val="22"/>
        </w:rPr>
        <w:t xml:space="preserve">a </w:t>
      </w:r>
      <w:r w:rsidR="00A87D24">
        <w:rPr>
          <w:rFonts w:ascii="Arial" w:eastAsiaTheme="minorEastAsia" w:hAnsi="Arial" w:cs="Arial"/>
          <w:sz w:val="22"/>
          <w:szCs w:val="22"/>
        </w:rPr>
        <w:t xml:space="preserve">discussion among Court members of the culture and values of Court with the structure of the meeting led by </w:t>
      </w:r>
      <w:r w:rsidR="00207522" w:rsidRPr="00207522">
        <w:rPr>
          <w:rFonts w:ascii="Arial" w:hAnsi="Arial" w:cs="Arial"/>
          <w:bCs/>
          <w:sz w:val="22"/>
          <w:szCs w:val="22"/>
        </w:rPr>
        <w:t xml:space="preserve">Christine Barr (Executive Director of People and Organisational Development), </w:t>
      </w:r>
      <w:r w:rsidR="007064A2">
        <w:rPr>
          <w:rFonts w:ascii="Arial" w:hAnsi="Arial" w:cs="Arial"/>
          <w:bCs/>
          <w:sz w:val="22"/>
          <w:szCs w:val="22"/>
        </w:rPr>
        <w:t xml:space="preserve">and </w:t>
      </w:r>
      <w:r w:rsidR="00207522" w:rsidRPr="00207522">
        <w:rPr>
          <w:rFonts w:ascii="Arial" w:hAnsi="Arial" w:cs="Arial"/>
          <w:bCs/>
          <w:sz w:val="22"/>
          <w:szCs w:val="22"/>
        </w:rPr>
        <w:t>James Hamilton (Director of Organisational Development).</w:t>
      </w:r>
      <w:r w:rsidR="006408E0">
        <w:rPr>
          <w:rFonts w:ascii="Arial" w:hAnsi="Arial" w:cs="Arial"/>
          <w:bCs/>
          <w:sz w:val="22"/>
          <w:szCs w:val="22"/>
        </w:rPr>
        <w:t xml:space="preserve"> Court noted that the output from the discussion would be </w:t>
      </w:r>
      <w:r w:rsidR="001B0378">
        <w:rPr>
          <w:rFonts w:ascii="Arial" w:hAnsi="Arial" w:cs="Arial"/>
          <w:bCs/>
          <w:sz w:val="22"/>
          <w:szCs w:val="22"/>
        </w:rPr>
        <w:t>feedback</w:t>
      </w:r>
      <w:r w:rsidR="006408E0">
        <w:rPr>
          <w:rFonts w:ascii="Arial" w:hAnsi="Arial" w:cs="Arial"/>
          <w:bCs/>
          <w:sz w:val="22"/>
          <w:szCs w:val="22"/>
        </w:rPr>
        <w:t xml:space="preserve"> to the Gillies Report Working Group to </w:t>
      </w:r>
      <w:r w:rsidR="00A87D24">
        <w:rPr>
          <w:rFonts w:ascii="Arial" w:hAnsi="Arial" w:cs="Arial"/>
          <w:bCs/>
          <w:sz w:val="22"/>
          <w:szCs w:val="22"/>
        </w:rPr>
        <w:t xml:space="preserve">use as input to its consideration of the lessons learned points in that Report.  It was also noted that it was intended that there would be future discussions on these issues among Court members approximately annually. </w:t>
      </w:r>
    </w:p>
    <w:p w14:paraId="3224818F" w14:textId="77777777" w:rsidR="002C0502" w:rsidRPr="00B86A9B" w:rsidRDefault="002C0502" w:rsidP="002C0502">
      <w:pPr>
        <w:tabs>
          <w:tab w:val="left" w:pos="1425"/>
        </w:tabs>
        <w:jc w:val="both"/>
        <w:rPr>
          <w:rFonts w:ascii="Arial" w:eastAsiaTheme="minorEastAsia" w:hAnsi="Arial" w:cs="Arial"/>
          <w:sz w:val="22"/>
          <w:szCs w:val="22"/>
        </w:rPr>
      </w:pPr>
      <w:r>
        <w:rPr>
          <w:rFonts w:ascii="Arial" w:eastAsiaTheme="minorEastAsia" w:hAnsi="Arial" w:cs="Arial"/>
          <w:sz w:val="22"/>
          <w:szCs w:val="22"/>
        </w:rPr>
        <w:tab/>
      </w:r>
    </w:p>
    <w:p w14:paraId="1ACD9090" w14:textId="0B31BCFB" w:rsidR="002C0502" w:rsidRDefault="002C0502" w:rsidP="00FD1FB0">
      <w:pPr>
        <w:jc w:val="both"/>
        <w:rPr>
          <w:rFonts w:ascii="Arial" w:eastAsiaTheme="minorEastAsia" w:hAnsi="Arial" w:cs="Arial"/>
          <w:sz w:val="22"/>
          <w:szCs w:val="22"/>
        </w:rPr>
      </w:pPr>
      <w:r w:rsidRPr="00B86A9B">
        <w:rPr>
          <w:rFonts w:ascii="Arial" w:eastAsiaTheme="minorEastAsia" w:hAnsi="Arial" w:cs="Arial"/>
          <w:sz w:val="22"/>
          <w:szCs w:val="22"/>
        </w:rPr>
        <w:lastRenderedPageBreak/>
        <w:t xml:space="preserve">Court was reminded that papers and business were confidential. </w:t>
      </w:r>
    </w:p>
    <w:p w14:paraId="34278D98" w14:textId="77777777" w:rsidR="006718D7" w:rsidRPr="00B86A9B" w:rsidRDefault="006718D7" w:rsidP="00FD1FB0">
      <w:pPr>
        <w:jc w:val="both"/>
        <w:rPr>
          <w:rFonts w:ascii="Arial" w:eastAsiaTheme="minorEastAsia" w:hAnsi="Arial" w:cs="Arial"/>
          <w:sz w:val="22"/>
          <w:szCs w:val="22"/>
        </w:rPr>
      </w:pPr>
    </w:p>
    <w:p w14:paraId="5B2F9D2F" w14:textId="0135EEE1" w:rsidR="002C0502" w:rsidRPr="00B86A9B" w:rsidRDefault="002C0502" w:rsidP="008D76D1">
      <w:pPr>
        <w:spacing w:after="120"/>
        <w:jc w:val="both"/>
        <w:rPr>
          <w:rFonts w:ascii="Arial" w:eastAsiaTheme="minorEastAsia" w:hAnsi="Arial" w:cs="Arial"/>
          <w:b/>
          <w:bCs/>
          <w:sz w:val="22"/>
          <w:szCs w:val="22"/>
        </w:rPr>
      </w:pPr>
      <w:r w:rsidRPr="00B86A9B">
        <w:rPr>
          <w:rFonts w:ascii="Arial" w:eastAsiaTheme="minorEastAsia" w:hAnsi="Arial" w:cs="Arial"/>
          <w:b/>
          <w:bCs/>
          <w:sz w:val="22"/>
          <w:szCs w:val="22"/>
        </w:rPr>
        <w:t>CRT/20</w:t>
      </w:r>
      <w:r>
        <w:rPr>
          <w:rFonts w:ascii="Arial" w:eastAsiaTheme="minorEastAsia" w:hAnsi="Arial" w:cs="Arial"/>
          <w:b/>
          <w:bCs/>
          <w:sz w:val="22"/>
          <w:szCs w:val="22"/>
        </w:rPr>
        <w:t>2</w:t>
      </w:r>
      <w:r w:rsidR="00D71DB6">
        <w:rPr>
          <w:rFonts w:ascii="Arial" w:eastAsiaTheme="minorEastAsia" w:hAnsi="Arial" w:cs="Arial"/>
          <w:b/>
          <w:bCs/>
          <w:sz w:val="22"/>
          <w:szCs w:val="22"/>
        </w:rPr>
        <w:t>5</w:t>
      </w:r>
      <w:r w:rsidRPr="00B86A9B">
        <w:rPr>
          <w:rFonts w:ascii="Arial" w:eastAsiaTheme="minorEastAsia" w:hAnsi="Arial" w:cs="Arial"/>
          <w:b/>
          <w:bCs/>
          <w:sz w:val="22"/>
          <w:szCs w:val="22"/>
        </w:rPr>
        <w:t>/</w:t>
      </w:r>
      <w:r w:rsidR="00BA64FF">
        <w:rPr>
          <w:rFonts w:ascii="Arial" w:eastAsiaTheme="minorEastAsia" w:hAnsi="Arial" w:cs="Arial"/>
          <w:b/>
          <w:bCs/>
          <w:sz w:val="22"/>
          <w:szCs w:val="22"/>
        </w:rPr>
        <w:t>16.</w:t>
      </w:r>
      <w:r w:rsidRPr="00B86A9B">
        <w:rPr>
          <w:rFonts w:ascii="Arial" w:eastAsiaTheme="minorEastAsia" w:hAnsi="Arial" w:cs="Arial"/>
          <w:b/>
          <w:bCs/>
          <w:sz w:val="22"/>
          <w:szCs w:val="22"/>
        </w:rPr>
        <w:t xml:space="preserve"> Minutes of the meetings held on </w:t>
      </w:r>
      <w:r>
        <w:rPr>
          <w:rFonts w:ascii="Arial" w:eastAsiaTheme="minorEastAsia" w:hAnsi="Arial" w:cs="Arial"/>
          <w:b/>
          <w:bCs/>
          <w:sz w:val="22"/>
          <w:szCs w:val="22"/>
        </w:rPr>
        <w:t>T</w:t>
      </w:r>
      <w:r w:rsidR="00BA64FF">
        <w:rPr>
          <w:rFonts w:ascii="Arial" w:eastAsiaTheme="minorEastAsia" w:hAnsi="Arial" w:cs="Arial"/>
          <w:b/>
          <w:bCs/>
          <w:sz w:val="22"/>
          <w:szCs w:val="22"/>
        </w:rPr>
        <w:t>hursday 25 September</w:t>
      </w:r>
      <w:r w:rsidRPr="00B86A9B">
        <w:rPr>
          <w:rFonts w:ascii="Arial" w:eastAsiaTheme="minorEastAsia" w:hAnsi="Arial" w:cs="Arial"/>
          <w:b/>
          <w:bCs/>
          <w:sz w:val="22"/>
          <w:szCs w:val="22"/>
        </w:rPr>
        <w:t xml:space="preserve"> 202</w:t>
      </w:r>
      <w:r w:rsidR="00507A50">
        <w:rPr>
          <w:rFonts w:ascii="Arial" w:eastAsiaTheme="minorEastAsia" w:hAnsi="Arial" w:cs="Arial"/>
          <w:b/>
          <w:bCs/>
          <w:sz w:val="22"/>
          <w:szCs w:val="22"/>
        </w:rPr>
        <w:t>5</w:t>
      </w:r>
    </w:p>
    <w:p w14:paraId="3990A75E" w14:textId="21644C6D" w:rsidR="00057B67" w:rsidRPr="00057B67" w:rsidRDefault="00862A39" w:rsidP="00057B67">
      <w:pPr>
        <w:jc w:val="both"/>
        <w:rPr>
          <w:rFonts w:ascii="Arial" w:eastAsiaTheme="minorEastAsia" w:hAnsi="Arial" w:cs="Arial"/>
          <w:i/>
          <w:iCs/>
          <w:sz w:val="22"/>
          <w:szCs w:val="22"/>
        </w:rPr>
      </w:pPr>
      <w:r>
        <w:rPr>
          <w:rFonts w:ascii="Arial" w:eastAsiaTheme="minorEastAsia" w:hAnsi="Arial" w:cs="Arial"/>
          <w:sz w:val="22"/>
          <w:szCs w:val="22"/>
        </w:rPr>
        <w:t xml:space="preserve">The </w:t>
      </w:r>
      <w:r w:rsidRPr="00B86A9B">
        <w:rPr>
          <w:rFonts w:ascii="Arial" w:eastAsiaTheme="minorEastAsia" w:hAnsi="Arial" w:cs="Arial"/>
          <w:sz w:val="22"/>
          <w:szCs w:val="22"/>
        </w:rPr>
        <w:t>minutes</w:t>
      </w:r>
      <w:r w:rsidR="007064A2">
        <w:rPr>
          <w:rFonts w:ascii="Arial" w:eastAsiaTheme="minorEastAsia" w:hAnsi="Arial" w:cs="Arial"/>
          <w:sz w:val="22"/>
          <w:szCs w:val="22"/>
        </w:rPr>
        <w:t xml:space="preserve"> </w:t>
      </w:r>
      <w:r>
        <w:rPr>
          <w:rFonts w:ascii="Arial" w:eastAsiaTheme="minorEastAsia" w:hAnsi="Arial" w:cs="Arial"/>
          <w:sz w:val="22"/>
          <w:szCs w:val="22"/>
        </w:rPr>
        <w:t xml:space="preserve">for the meeting of </w:t>
      </w:r>
      <w:r w:rsidR="00BA64FF">
        <w:rPr>
          <w:rFonts w:ascii="Arial" w:eastAsiaTheme="minorEastAsia" w:hAnsi="Arial" w:cs="Arial"/>
          <w:sz w:val="22"/>
          <w:szCs w:val="22"/>
        </w:rPr>
        <w:t xml:space="preserve">25 September </w:t>
      </w:r>
      <w:r>
        <w:rPr>
          <w:rFonts w:ascii="Arial" w:eastAsiaTheme="minorEastAsia" w:hAnsi="Arial" w:cs="Arial"/>
          <w:sz w:val="22"/>
          <w:szCs w:val="22"/>
        </w:rPr>
        <w:t>2025</w:t>
      </w:r>
      <w:r w:rsidR="007064A2" w:rsidRPr="007064A2">
        <w:rPr>
          <w:rFonts w:ascii="Arial" w:eastAsiaTheme="minorEastAsia" w:hAnsi="Arial" w:cs="Arial"/>
          <w:sz w:val="22"/>
          <w:szCs w:val="22"/>
        </w:rPr>
        <w:t xml:space="preserve"> </w:t>
      </w:r>
      <w:r w:rsidR="007064A2" w:rsidRPr="00B86A9B">
        <w:rPr>
          <w:rFonts w:ascii="Arial" w:eastAsiaTheme="minorEastAsia" w:hAnsi="Arial" w:cs="Arial"/>
          <w:sz w:val="22"/>
          <w:szCs w:val="22"/>
        </w:rPr>
        <w:t>were approved</w:t>
      </w:r>
      <w:r>
        <w:rPr>
          <w:rFonts w:ascii="Arial" w:eastAsiaTheme="minorEastAsia" w:hAnsi="Arial" w:cs="Arial"/>
          <w:sz w:val="22"/>
          <w:szCs w:val="22"/>
        </w:rPr>
        <w:t>.</w:t>
      </w:r>
    </w:p>
    <w:p w14:paraId="4DA59125" w14:textId="77777777" w:rsidR="002C0502" w:rsidRPr="00B86A9B" w:rsidRDefault="002C0502" w:rsidP="002C0502">
      <w:pPr>
        <w:jc w:val="both"/>
        <w:rPr>
          <w:rFonts w:ascii="Arial" w:eastAsiaTheme="minorEastAsia" w:hAnsi="Arial" w:cs="Arial"/>
          <w:b/>
          <w:bCs/>
          <w:sz w:val="22"/>
          <w:szCs w:val="22"/>
        </w:rPr>
      </w:pPr>
    </w:p>
    <w:p w14:paraId="63BE132D" w14:textId="0C73AEE5" w:rsidR="002C0502" w:rsidRPr="00B86A9B" w:rsidRDefault="002C0502" w:rsidP="008D76D1">
      <w:pPr>
        <w:spacing w:after="120"/>
        <w:jc w:val="both"/>
        <w:rPr>
          <w:rFonts w:ascii="Arial" w:eastAsiaTheme="minorEastAsia" w:hAnsi="Arial" w:cs="Arial"/>
          <w:b/>
          <w:bCs/>
          <w:sz w:val="22"/>
          <w:szCs w:val="22"/>
        </w:rPr>
      </w:pPr>
      <w:r w:rsidRPr="00B86A9B">
        <w:rPr>
          <w:rFonts w:ascii="Arial" w:eastAsiaTheme="minorEastAsia" w:hAnsi="Arial" w:cs="Arial"/>
          <w:b/>
          <w:bCs/>
          <w:sz w:val="22"/>
          <w:szCs w:val="22"/>
        </w:rPr>
        <w:t>CRT/20</w:t>
      </w:r>
      <w:r>
        <w:rPr>
          <w:rFonts w:ascii="Arial" w:eastAsiaTheme="minorEastAsia" w:hAnsi="Arial" w:cs="Arial"/>
          <w:b/>
          <w:bCs/>
          <w:sz w:val="22"/>
          <w:szCs w:val="22"/>
        </w:rPr>
        <w:t>2</w:t>
      </w:r>
      <w:r w:rsidR="00507A50">
        <w:rPr>
          <w:rFonts w:ascii="Arial" w:eastAsiaTheme="minorEastAsia" w:hAnsi="Arial" w:cs="Arial"/>
          <w:b/>
          <w:bCs/>
          <w:sz w:val="22"/>
          <w:szCs w:val="22"/>
        </w:rPr>
        <w:t>5</w:t>
      </w:r>
      <w:r w:rsidRPr="00B86A9B">
        <w:rPr>
          <w:rFonts w:ascii="Arial" w:eastAsiaTheme="minorEastAsia" w:hAnsi="Arial" w:cs="Arial"/>
          <w:b/>
          <w:bCs/>
          <w:sz w:val="22"/>
          <w:szCs w:val="22"/>
        </w:rPr>
        <w:t>/</w:t>
      </w:r>
      <w:r w:rsidR="00BA64FF">
        <w:rPr>
          <w:rFonts w:ascii="Arial" w:eastAsiaTheme="minorEastAsia" w:hAnsi="Arial" w:cs="Arial"/>
          <w:b/>
          <w:bCs/>
          <w:sz w:val="22"/>
          <w:szCs w:val="22"/>
        </w:rPr>
        <w:t>17</w:t>
      </w:r>
      <w:r w:rsidRPr="00B86A9B">
        <w:rPr>
          <w:rFonts w:ascii="Arial" w:eastAsiaTheme="minorEastAsia" w:hAnsi="Arial" w:cs="Arial"/>
          <w:b/>
          <w:bCs/>
          <w:sz w:val="22"/>
          <w:szCs w:val="22"/>
        </w:rPr>
        <w:t>. Matters Arising</w:t>
      </w:r>
    </w:p>
    <w:p w14:paraId="56C3CD38" w14:textId="60897AC7" w:rsidR="00556780" w:rsidRPr="006A4174" w:rsidRDefault="00556780" w:rsidP="00556780">
      <w:pPr>
        <w:pStyle w:val="SectText2"/>
        <w:ind w:left="539" w:right="-284" w:hanging="539"/>
        <w:rPr>
          <w:rFonts w:ascii="Arial" w:hAnsi="Arial" w:cs="Arial"/>
          <w:bCs/>
          <w:i/>
          <w:iCs/>
          <w:szCs w:val="22"/>
        </w:rPr>
      </w:pPr>
      <w:r w:rsidRPr="009C2E74">
        <w:rPr>
          <w:rFonts w:ascii="Arial" w:hAnsi="Arial" w:cs="Arial"/>
          <w:i/>
          <w:iCs/>
          <w:szCs w:val="22"/>
        </w:rPr>
        <w:t>CRT/202</w:t>
      </w:r>
      <w:r>
        <w:rPr>
          <w:rFonts w:ascii="Arial" w:hAnsi="Arial" w:cs="Arial"/>
          <w:i/>
          <w:iCs/>
          <w:szCs w:val="22"/>
        </w:rPr>
        <w:t>5</w:t>
      </w:r>
      <w:r w:rsidRPr="009C2E74">
        <w:rPr>
          <w:rFonts w:ascii="Arial" w:hAnsi="Arial" w:cs="Arial"/>
          <w:i/>
          <w:iCs/>
          <w:szCs w:val="22"/>
        </w:rPr>
        <w:t>/</w:t>
      </w:r>
      <w:r w:rsidR="00BA64FF">
        <w:rPr>
          <w:rFonts w:ascii="Arial" w:hAnsi="Arial" w:cs="Arial"/>
          <w:i/>
          <w:iCs/>
          <w:szCs w:val="22"/>
        </w:rPr>
        <w:t>17</w:t>
      </w:r>
      <w:r w:rsidRPr="009C2E74">
        <w:rPr>
          <w:rFonts w:ascii="Arial" w:hAnsi="Arial" w:cs="Arial"/>
          <w:i/>
          <w:iCs/>
          <w:szCs w:val="22"/>
        </w:rPr>
        <w:t xml:space="preserve">.1 </w:t>
      </w:r>
      <w:r w:rsidR="00BA64FF">
        <w:rPr>
          <w:rFonts w:asciiTheme="minorBidi" w:hAnsiTheme="minorBidi" w:cstheme="minorBidi"/>
          <w:i/>
          <w:iCs/>
          <w:szCs w:val="22"/>
        </w:rPr>
        <w:t>SPID Update</w:t>
      </w:r>
      <w:r>
        <w:rPr>
          <w:rFonts w:asciiTheme="minorBidi" w:hAnsiTheme="minorBidi" w:cstheme="minorBidi"/>
          <w:i/>
          <w:iCs/>
          <w:szCs w:val="22"/>
        </w:rPr>
        <w:t xml:space="preserve"> (CRT/202</w:t>
      </w:r>
      <w:r w:rsidR="00BA64FF">
        <w:rPr>
          <w:rFonts w:asciiTheme="minorBidi" w:hAnsiTheme="minorBidi" w:cstheme="minorBidi"/>
          <w:i/>
          <w:iCs/>
          <w:szCs w:val="22"/>
        </w:rPr>
        <w:t>5</w:t>
      </w:r>
      <w:r>
        <w:rPr>
          <w:rFonts w:asciiTheme="minorBidi" w:hAnsiTheme="minorBidi" w:cstheme="minorBidi"/>
          <w:i/>
          <w:iCs/>
          <w:szCs w:val="22"/>
        </w:rPr>
        <w:t>/</w:t>
      </w:r>
      <w:r w:rsidR="00BA64FF">
        <w:rPr>
          <w:rFonts w:asciiTheme="minorBidi" w:hAnsiTheme="minorBidi" w:cstheme="minorBidi"/>
          <w:i/>
          <w:iCs/>
          <w:szCs w:val="22"/>
        </w:rPr>
        <w:t>07</w:t>
      </w:r>
      <w:r>
        <w:rPr>
          <w:rFonts w:asciiTheme="minorBidi" w:hAnsiTheme="minorBidi" w:cstheme="minorBidi"/>
          <w:i/>
          <w:iCs/>
          <w:szCs w:val="22"/>
        </w:rPr>
        <w:t>)</w:t>
      </w:r>
    </w:p>
    <w:p w14:paraId="0EB7040D" w14:textId="5475957E" w:rsidR="003204E8" w:rsidRDefault="00BA64FF" w:rsidP="00BA64FF">
      <w:pPr>
        <w:tabs>
          <w:tab w:val="left" w:pos="0"/>
        </w:tabs>
        <w:autoSpaceDE/>
        <w:autoSpaceDN/>
        <w:spacing w:after="240"/>
        <w:rPr>
          <w:rFonts w:ascii="Arial" w:hAnsi="Arial" w:cs="Arial"/>
          <w:bCs/>
          <w:sz w:val="22"/>
          <w:szCs w:val="22"/>
        </w:rPr>
      </w:pPr>
      <w:bookmarkStart w:id="2" w:name="_Hlk214429545"/>
      <w:r w:rsidRPr="00B3565B">
        <w:rPr>
          <w:rFonts w:ascii="Arial" w:hAnsi="Arial" w:cs="Arial"/>
          <w:bCs/>
          <w:sz w:val="22"/>
          <w:szCs w:val="22"/>
        </w:rPr>
        <w:t>Court received a</w:t>
      </w:r>
      <w:r>
        <w:rPr>
          <w:rFonts w:ascii="Arial" w:hAnsi="Arial" w:cs="Arial"/>
          <w:bCs/>
          <w:sz w:val="22"/>
          <w:szCs w:val="22"/>
        </w:rPr>
        <w:t>n update</w:t>
      </w:r>
      <w:r w:rsidR="00C912D1">
        <w:rPr>
          <w:rFonts w:ascii="Arial" w:hAnsi="Arial" w:cs="Arial"/>
          <w:bCs/>
          <w:sz w:val="22"/>
          <w:szCs w:val="22"/>
        </w:rPr>
        <w:t xml:space="preserve"> on progress</w:t>
      </w:r>
      <w:r w:rsidRPr="00B3565B">
        <w:rPr>
          <w:rFonts w:ascii="Arial" w:hAnsi="Arial" w:cs="Arial"/>
          <w:bCs/>
          <w:sz w:val="22"/>
          <w:szCs w:val="22"/>
        </w:rPr>
        <w:t xml:space="preserve"> </w:t>
      </w:r>
      <w:r>
        <w:rPr>
          <w:rFonts w:ascii="Arial" w:hAnsi="Arial" w:cs="Arial"/>
          <w:bCs/>
          <w:sz w:val="22"/>
          <w:szCs w:val="22"/>
        </w:rPr>
        <w:t>from</w:t>
      </w:r>
      <w:r w:rsidRPr="00B3565B">
        <w:rPr>
          <w:rFonts w:ascii="Arial" w:hAnsi="Arial" w:cs="Arial"/>
          <w:bCs/>
          <w:sz w:val="22"/>
          <w:szCs w:val="22"/>
        </w:rPr>
        <w:t xml:space="preserve"> Gregor Caldow, </w:t>
      </w:r>
      <w:r w:rsidR="007064A2">
        <w:rPr>
          <w:rFonts w:ascii="Arial" w:hAnsi="Arial" w:cs="Arial"/>
          <w:bCs/>
          <w:sz w:val="22"/>
          <w:szCs w:val="22"/>
        </w:rPr>
        <w:t>(</w:t>
      </w:r>
      <w:r w:rsidRPr="00B3565B">
        <w:rPr>
          <w:rFonts w:ascii="Arial" w:hAnsi="Arial" w:cs="Arial"/>
          <w:bCs/>
          <w:sz w:val="22"/>
          <w:szCs w:val="22"/>
        </w:rPr>
        <w:t>Executive Director of Finance</w:t>
      </w:r>
      <w:r w:rsidR="007064A2">
        <w:rPr>
          <w:rFonts w:ascii="Arial" w:hAnsi="Arial" w:cs="Arial"/>
          <w:bCs/>
          <w:sz w:val="22"/>
          <w:szCs w:val="22"/>
        </w:rPr>
        <w:t>)</w:t>
      </w:r>
      <w:r w:rsidRPr="00B3565B">
        <w:rPr>
          <w:rFonts w:ascii="Arial" w:hAnsi="Arial" w:cs="Arial"/>
          <w:bCs/>
          <w:sz w:val="22"/>
          <w:szCs w:val="22"/>
        </w:rPr>
        <w:t xml:space="preserve"> </w:t>
      </w:r>
      <w:r>
        <w:rPr>
          <w:rFonts w:ascii="Arial" w:hAnsi="Arial" w:cs="Arial"/>
          <w:bCs/>
          <w:sz w:val="22"/>
          <w:szCs w:val="22"/>
        </w:rPr>
        <w:t>and</w:t>
      </w:r>
      <w:r w:rsidR="00B664CC">
        <w:rPr>
          <w:rFonts w:ascii="Arial" w:hAnsi="Arial" w:cs="Arial"/>
          <w:bCs/>
          <w:sz w:val="22"/>
          <w:szCs w:val="22"/>
        </w:rPr>
        <w:t xml:space="preserve"> Stuart Hoggan, Chair of SPID Board</w:t>
      </w:r>
      <w:r w:rsidR="007064A2">
        <w:rPr>
          <w:rFonts w:ascii="Arial" w:hAnsi="Arial" w:cs="Arial"/>
          <w:bCs/>
          <w:sz w:val="22"/>
          <w:szCs w:val="22"/>
        </w:rPr>
        <w:t>. It</w:t>
      </w:r>
      <w:r w:rsidR="00B664CC" w:rsidRPr="00B664CC">
        <w:rPr>
          <w:rFonts w:ascii="Arial" w:hAnsi="Arial" w:cs="Arial"/>
          <w:bCs/>
          <w:sz w:val="22"/>
          <w:szCs w:val="22"/>
        </w:rPr>
        <w:t xml:space="preserve"> was reported </w:t>
      </w:r>
      <w:r w:rsidR="007064A2">
        <w:rPr>
          <w:rFonts w:ascii="Arial" w:hAnsi="Arial" w:cs="Arial"/>
          <w:bCs/>
          <w:sz w:val="22"/>
          <w:szCs w:val="22"/>
        </w:rPr>
        <w:t xml:space="preserve">that the </w:t>
      </w:r>
      <w:r w:rsidR="00B664CC" w:rsidRPr="00B664CC">
        <w:rPr>
          <w:rFonts w:ascii="Arial" w:hAnsi="Arial" w:cs="Arial"/>
          <w:bCs/>
          <w:sz w:val="22"/>
          <w:szCs w:val="22"/>
        </w:rPr>
        <w:t>negotiations with partner companies</w:t>
      </w:r>
      <w:r w:rsidR="007064A2">
        <w:rPr>
          <w:rFonts w:ascii="Arial" w:hAnsi="Arial" w:cs="Arial"/>
          <w:bCs/>
          <w:sz w:val="22"/>
          <w:szCs w:val="22"/>
        </w:rPr>
        <w:t xml:space="preserve"> were proceeding well with</w:t>
      </w:r>
      <w:r w:rsidR="00B664CC" w:rsidRPr="00B664CC">
        <w:rPr>
          <w:rFonts w:ascii="Arial" w:hAnsi="Arial" w:cs="Arial"/>
          <w:bCs/>
          <w:sz w:val="22"/>
          <w:szCs w:val="22"/>
        </w:rPr>
        <w:t xml:space="preserve"> heads of terms expected to be signed imminently. </w:t>
      </w:r>
      <w:r w:rsidR="007064A2">
        <w:rPr>
          <w:rFonts w:ascii="Arial" w:hAnsi="Arial" w:cs="Arial"/>
          <w:bCs/>
          <w:sz w:val="22"/>
          <w:szCs w:val="22"/>
        </w:rPr>
        <w:t>It was noted that p</w:t>
      </w:r>
      <w:r w:rsidR="00B664CC" w:rsidRPr="00B664CC">
        <w:rPr>
          <w:rFonts w:ascii="Arial" w:hAnsi="Arial" w:cs="Arial"/>
          <w:bCs/>
          <w:sz w:val="22"/>
          <w:szCs w:val="22"/>
        </w:rPr>
        <w:t xml:space="preserve">lanning permission for Plot J and Church Street </w:t>
      </w:r>
      <w:r w:rsidR="00B664CC">
        <w:rPr>
          <w:rFonts w:ascii="Arial" w:hAnsi="Arial" w:cs="Arial"/>
          <w:bCs/>
          <w:sz w:val="22"/>
          <w:szCs w:val="22"/>
        </w:rPr>
        <w:t>had been</w:t>
      </w:r>
      <w:r w:rsidR="00B664CC" w:rsidRPr="00B664CC">
        <w:rPr>
          <w:rFonts w:ascii="Arial" w:hAnsi="Arial" w:cs="Arial"/>
          <w:bCs/>
          <w:sz w:val="22"/>
          <w:szCs w:val="22"/>
        </w:rPr>
        <w:t xml:space="preserve"> confirmed, whil</w:t>
      </w:r>
      <w:r w:rsidR="007064A2">
        <w:rPr>
          <w:rFonts w:ascii="Arial" w:hAnsi="Arial" w:cs="Arial"/>
          <w:bCs/>
          <w:sz w:val="22"/>
          <w:szCs w:val="22"/>
        </w:rPr>
        <w:t>st</w:t>
      </w:r>
      <w:r w:rsidR="00B664CC" w:rsidRPr="00B664CC">
        <w:rPr>
          <w:rFonts w:ascii="Arial" w:hAnsi="Arial" w:cs="Arial"/>
          <w:bCs/>
          <w:sz w:val="22"/>
          <w:szCs w:val="22"/>
        </w:rPr>
        <w:t xml:space="preserve"> </w:t>
      </w:r>
      <w:proofErr w:type="spellStart"/>
      <w:r w:rsidR="00B664CC" w:rsidRPr="00B664CC">
        <w:rPr>
          <w:rFonts w:ascii="Arial" w:hAnsi="Arial" w:cs="Arial"/>
          <w:bCs/>
          <w:sz w:val="22"/>
          <w:szCs w:val="22"/>
        </w:rPr>
        <w:t>Lilybank</w:t>
      </w:r>
      <w:proofErr w:type="spellEnd"/>
      <w:r w:rsidR="00B664CC">
        <w:rPr>
          <w:rFonts w:ascii="Arial" w:hAnsi="Arial" w:cs="Arial"/>
          <w:bCs/>
          <w:sz w:val="22"/>
          <w:szCs w:val="22"/>
        </w:rPr>
        <w:t xml:space="preserve"> (Student Residences)</w:t>
      </w:r>
      <w:r w:rsidR="00B664CC" w:rsidRPr="00B664CC">
        <w:rPr>
          <w:rFonts w:ascii="Arial" w:hAnsi="Arial" w:cs="Arial"/>
          <w:bCs/>
          <w:sz w:val="22"/>
          <w:szCs w:val="22"/>
        </w:rPr>
        <w:t xml:space="preserve"> remain</w:t>
      </w:r>
      <w:r w:rsidR="00B664CC">
        <w:rPr>
          <w:rFonts w:ascii="Arial" w:hAnsi="Arial" w:cs="Arial"/>
          <w:bCs/>
          <w:sz w:val="22"/>
          <w:szCs w:val="22"/>
        </w:rPr>
        <w:t>ed</w:t>
      </w:r>
      <w:r w:rsidR="00B664CC" w:rsidRPr="00B664CC">
        <w:rPr>
          <w:rFonts w:ascii="Arial" w:hAnsi="Arial" w:cs="Arial"/>
          <w:bCs/>
          <w:sz w:val="22"/>
          <w:szCs w:val="22"/>
        </w:rPr>
        <w:t xml:space="preserve"> subject to a hearing. </w:t>
      </w:r>
      <w:r w:rsidR="00C912D1">
        <w:rPr>
          <w:rFonts w:ascii="Arial" w:hAnsi="Arial" w:cs="Arial"/>
          <w:bCs/>
          <w:sz w:val="22"/>
          <w:szCs w:val="22"/>
        </w:rPr>
        <w:t>F</w:t>
      </w:r>
      <w:r w:rsidR="00B664CC" w:rsidRPr="00B664CC">
        <w:rPr>
          <w:rFonts w:ascii="Arial" w:hAnsi="Arial" w:cs="Arial"/>
          <w:bCs/>
          <w:sz w:val="22"/>
          <w:szCs w:val="22"/>
        </w:rPr>
        <w:t xml:space="preserve">inancial exposure </w:t>
      </w:r>
      <w:r w:rsidR="00B664CC">
        <w:rPr>
          <w:rFonts w:ascii="Arial" w:hAnsi="Arial" w:cs="Arial"/>
          <w:bCs/>
          <w:sz w:val="22"/>
          <w:szCs w:val="22"/>
        </w:rPr>
        <w:t>was</w:t>
      </w:r>
      <w:r w:rsidR="00B664CC" w:rsidRPr="00B664CC">
        <w:rPr>
          <w:rFonts w:ascii="Arial" w:hAnsi="Arial" w:cs="Arial"/>
          <w:bCs/>
          <w:sz w:val="22"/>
          <w:szCs w:val="22"/>
        </w:rPr>
        <w:t xml:space="preserve"> currently estimated at £3 million, and importantly, no additional capital injection </w:t>
      </w:r>
      <w:r w:rsidR="00B664CC">
        <w:rPr>
          <w:rFonts w:ascii="Arial" w:hAnsi="Arial" w:cs="Arial"/>
          <w:bCs/>
          <w:sz w:val="22"/>
          <w:szCs w:val="22"/>
        </w:rPr>
        <w:t>was</w:t>
      </w:r>
      <w:r w:rsidR="00B664CC" w:rsidRPr="00B664CC">
        <w:rPr>
          <w:rFonts w:ascii="Arial" w:hAnsi="Arial" w:cs="Arial"/>
          <w:bCs/>
          <w:sz w:val="22"/>
          <w:szCs w:val="22"/>
        </w:rPr>
        <w:t xml:space="preserve"> required at this stage. </w:t>
      </w:r>
      <w:r w:rsidR="00C912D1">
        <w:rPr>
          <w:rFonts w:ascii="Arial" w:hAnsi="Arial" w:cs="Arial"/>
          <w:bCs/>
          <w:sz w:val="22"/>
          <w:szCs w:val="22"/>
        </w:rPr>
        <w:t>T</w:t>
      </w:r>
      <w:r w:rsidR="003204E8" w:rsidRPr="003204E8">
        <w:rPr>
          <w:rFonts w:ascii="Arial" w:hAnsi="Arial" w:cs="Arial"/>
          <w:bCs/>
          <w:sz w:val="22"/>
          <w:szCs w:val="22"/>
        </w:rPr>
        <w:t>he University continue</w:t>
      </w:r>
      <w:r w:rsidR="003204E8">
        <w:rPr>
          <w:rFonts w:ascii="Arial" w:hAnsi="Arial" w:cs="Arial"/>
          <w:bCs/>
          <w:sz w:val="22"/>
          <w:szCs w:val="22"/>
        </w:rPr>
        <w:t>d</w:t>
      </w:r>
      <w:r w:rsidR="003204E8" w:rsidRPr="003204E8">
        <w:rPr>
          <w:rFonts w:ascii="Arial" w:hAnsi="Arial" w:cs="Arial"/>
          <w:bCs/>
          <w:sz w:val="22"/>
          <w:szCs w:val="22"/>
        </w:rPr>
        <w:t xml:space="preserve"> to review investment proportions across plots, balancing strategic benefit and accounting considerations.</w:t>
      </w:r>
      <w:r w:rsidR="003204E8">
        <w:rPr>
          <w:rFonts w:ascii="Arial" w:hAnsi="Arial" w:cs="Arial"/>
          <w:bCs/>
          <w:sz w:val="22"/>
          <w:szCs w:val="22"/>
        </w:rPr>
        <w:t xml:space="preserve"> </w:t>
      </w:r>
    </w:p>
    <w:p w14:paraId="620D0D53" w14:textId="194E1AF3" w:rsidR="003204E8" w:rsidRDefault="003204E8" w:rsidP="00BA64FF">
      <w:pPr>
        <w:tabs>
          <w:tab w:val="left" w:pos="0"/>
        </w:tabs>
        <w:autoSpaceDE/>
        <w:autoSpaceDN/>
        <w:spacing w:after="240"/>
        <w:rPr>
          <w:rFonts w:ascii="Arial" w:hAnsi="Arial" w:cs="Arial"/>
          <w:bCs/>
          <w:sz w:val="22"/>
          <w:szCs w:val="22"/>
        </w:rPr>
      </w:pPr>
      <w:r w:rsidRPr="003204E8">
        <w:rPr>
          <w:rFonts w:ascii="Arial" w:hAnsi="Arial" w:cs="Arial"/>
          <w:bCs/>
          <w:sz w:val="22"/>
          <w:szCs w:val="22"/>
        </w:rPr>
        <w:t xml:space="preserve">Court </w:t>
      </w:r>
      <w:r>
        <w:rPr>
          <w:rFonts w:ascii="Arial" w:hAnsi="Arial" w:cs="Arial"/>
          <w:bCs/>
          <w:sz w:val="22"/>
          <w:szCs w:val="22"/>
        </w:rPr>
        <w:t xml:space="preserve">also </w:t>
      </w:r>
      <w:r w:rsidRPr="003204E8">
        <w:rPr>
          <w:rFonts w:ascii="Arial" w:hAnsi="Arial" w:cs="Arial"/>
          <w:bCs/>
          <w:sz w:val="22"/>
          <w:szCs w:val="22"/>
        </w:rPr>
        <w:t>noted the planned relocation of Glasgow International College (GIC) from Anderson College to a new site east of campus by March 2026.</w:t>
      </w:r>
      <w:r w:rsidR="00C912D1">
        <w:rPr>
          <w:rFonts w:ascii="Arial" w:hAnsi="Arial" w:cs="Arial"/>
          <w:bCs/>
          <w:sz w:val="22"/>
          <w:szCs w:val="22"/>
        </w:rPr>
        <w:t xml:space="preserve"> GIC had made a submission to the UKVI to operate from the new premises in the Craft Works building in Finnieston. </w:t>
      </w:r>
      <w:r w:rsidRPr="003204E8">
        <w:rPr>
          <w:rFonts w:ascii="Arial" w:hAnsi="Arial" w:cs="Arial"/>
          <w:bCs/>
          <w:sz w:val="22"/>
          <w:szCs w:val="22"/>
        </w:rPr>
        <w:t xml:space="preserve"> While the new facility w</w:t>
      </w:r>
      <w:r>
        <w:rPr>
          <w:rFonts w:ascii="Arial" w:hAnsi="Arial" w:cs="Arial"/>
          <w:bCs/>
          <w:sz w:val="22"/>
          <w:szCs w:val="22"/>
        </w:rPr>
        <w:t>ould</w:t>
      </w:r>
      <w:r w:rsidRPr="003204E8">
        <w:rPr>
          <w:rFonts w:ascii="Arial" w:hAnsi="Arial" w:cs="Arial"/>
          <w:bCs/>
          <w:sz w:val="22"/>
          <w:szCs w:val="22"/>
        </w:rPr>
        <w:t xml:space="preserve"> provide improved space, members expressed concern about potential disruption to student experience and conversion rates during the transition. Management assured Court that detailed planning </w:t>
      </w:r>
      <w:r>
        <w:rPr>
          <w:rFonts w:ascii="Arial" w:hAnsi="Arial" w:cs="Arial"/>
          <w:bCs/>
          <w:sz w:val="22"/>
          <w:szCs w:val="22"/>
        </w:rPr>
        <w:t>was</w:t>
      </w:r>
      <w:r w:rsidRPr="003204E8">
        <w:rPr>
          <w:rFonts w:ascii="Arial" w:hAnsi="Arial" w:cs="Arial"/>
          <w:bCs/>
          <w:sz w:val="22"/>
          <w:szCs w:val="22"/>
        </w:rPr>
        <w:t xml:space="preserve"> underway with GIC to minimi</w:t>
      </w:r>
      <w:r>
        <w:rPr>
          <w:rFonts w:ascii="Arial" w:hAnsi="Arial" w:cs="Arial"/>
          <w:bCs/>
          <w:sz w:val="22"/>
          <w:szCs w:val="22"/>
        </w:rPr>
        <w:t>s</w:t>
      </w:r>
      <w:r w:rsidRPr="003204E8">
        <w:rPr>
          <w:rFonts w:ascii="Arial" w:hAnsi="Arial" w:cs="Arial"/>
          <w:bCs/>
          <w:sz w:val="22"/>
          <w:szCs w:val="22"/>
        </w:rPr>
        <w:t>e disruption, maintain continuity of teaching and assessment, and ensure</w:t>
      </w:r>
      <w:r w:rsidR="007064A2">
        <w:rPr>
          <w:rFonts w:ascii="Arial" w:hAnsi="Arial" w:cs="Arial"/>
          <w:bCs/>
          <w:sz w:val="22"/>
          <w:szCs w:val="22"/>
        </w:rPr>
        <w:t xml:space="preserve"> that </w:t>
      </w:r>
      <w:r w:rsidRPr="003204E8">
        <w:rPr>
          <w:rFonts w:ascii="Arial" w:hAnsi="Arial" w:cs="Arial"/>
          <w:bCs/>
          <w:sz w:val="22"/>
          <w:szCs w:val="22"/>
        </w:rPr>
        <w:t xml:space="preserve">the new premises </w:t>
      </w:r>
      <w:r>
        <w:rPr>
          <w:rFonts w:ascii="Arial" w:hAnsi="Arial" w:cs="Arial"/>
          <w:bCs/>
          <w:sz w:val="22"/>
          <w:szCs w:val="22"/>
        </w:rPr>
        <w:t>were</w:t>
      </w:r>
      <w:r w:rsidRPr="003204E8">
        <w:rPr>
          <w:rFonts w:ascii="Arial" w:hAnsi="Arial" w:cs="Arial"/>
          <w:bCs/>
          <w:sz w:val="22"/>
          <w:szCs w:val="22"/>
        </w:rPr>
        <w:t xml:space="preserve"> attractive and fit for purpose.</w:t>
      </w:r>
    </w:p>
    <w:p w14:paraId="04CF4217" w14:textId="47624AE7" w:rsidR="00057B67" w:rsidRPr="0081733C" w:rsidRDefault="00057B67" w:rsidP="00057B67">
      <w:pPr>
        <w:tabs>
          <w:tab w:val="left" w:pos="0"/>
        </w:tabs>
        <w:autoSpaceDE/>
        <w:autoSpaceDN/>
        <w:spacing w:after="120"/>
        <w:jc w:val="both"/>
        <w:rPr>
          <w:rFonts w:ascii="Arial" w:hAnsi="Arial" w:cs="Arial"/>
          <w:sz w:val="22"/>
          <w:szCs w:val="22"/>
        </w:rPr>
      </w:pPr>
      <w:r w:rsidRPr="00A4389D">
        <w:rPr>
          <w:rFonts w:ascii="Arial" w:eastAsiaTheme="minorEastAsia" w:hAnsi="Arial" w:cs="Arial"/>
          <w:b/>
          <w:bCs/>
          <w:sz w:val="22"/>
          <w:szCs w:val="22"/>
        </w:rPr>
        <w:t>CRT/202</w:t>
      </w:r>
      <w:r w:rsidR="00507A50">
        <w:rPr>
          <w:rFonts w:ascii="Arial" w:eastAsiaTheme="minorEastAsia" w:hAnsi="Arial" w:cs="Arial"/>
          <w:b/>
          <w:bCs/>
          <w:sz w:val="22"/>
          <w:szCs w:val="22"/>
        </w:rPr>
        <w:t>5</w:t>
      </w:r>
      <w:r w:rsidRPr="00A4389D">
        <w:rPr>
          <w:rFonts w:ascii="Arial" w:eastAsiaTheme="minorEastAsia" w:hAnsi="Arial" w:cs="Arial"/>
          <w:b/>
          <w:bCs/>
          <w:sz w:val="22"/>
          <w:szCs w:val="22"/>
        </w:rPr>
        <w:t>/</w:t>
      </w:r>
      <w:r w:rsidR="00BA64FF">
        <w:rPr>
          <w:rFonts w:ascii="Arial" w:eastAsiaTheme="minorEastAsia" w:hAnsi="Arial" w:cs="Arial"/>
          <w:b/>
          <w:bCs/>
          <w:sz w:val="22"/>
          <w:szCs w:val="22"/>
        </w:rPr>
        <w:t>18</w:t>
      </w:r>
      <w:r w:rsidRPr="00A4389D">
        <w:rPr>
          <w:rFonts w:ascii="Arial" w:eastAsiaTheme="minorEastAsia" w:hAnsi="Arial" w:cs="Arial"/>
          <w:b/>
          <w:bCs/>
          <w:sz w:val="22"/>
          <w:szCs w:val="22"/>
        </w:rPr>
        <w:t xml:space="preserve">. </w:t>
      </w:r>
      <w:r w:rsidR="00BA64FF" w:rsidRPr="00BA64FF">
        <w:rPr>
          <w:rFonts w:ascii="Arial" w:eastAsiaTheme="minorEastAsia" w:hAnsi="Arial" w:cs="Arial"/>
          <w:b/>
          <w:bCs/>
          <w:sz w:val="22"/>
          <w:szCs w:val="22"/>
        </w:rPr>
        <w:t>Annual Reports for the Scottish Funding Council</w:t>
      </w:r>
    </w:p>
    <w:p w14:paraId="4C3C7508" w14:textId="318012A6" w:rsidR="003520C4" w:rsidRPr="00B664CC" w:rsidRDefault="00AE1B77" w:rsidP="00B664CC">
      <w:pPr>
        <w:tabs>
          <w:tab w:val="left" w:pos="720"/>
        </w:tabs>
        <w:rPr>
          <w:rFonts w:ascii="Arial" w:hAnsi="Arial" w:cs="Arial"/>
          <w:bCs/>
          <w:sz w:val="22"/>
          <w:szCs w:val="22"/>
        </w:rPr>
      </w:pPr>
      <w:r w:rsidRPr="00B664CC">
        <w:rPr>
          <w:rFonts w:ascii="Arial" w:hAnsi="Arial" w:cs="Arial"/>
          <w:bCs/>
          <w:sz w:val="22"/>
          <w:szCs w:val="22"/>
        </w:rPr>
        <w:t xml:space="preserve">Court </w:t>
      </w:r>
      <w:r w:rsidR="00B664CC" w:rsidRPr="00B664CC">
        <w:rPr>
          <w:rFonts w:ascii="Arial" w:hAnsi="Arial" w:cs="Arial"/>
          <w:bCs/>
          <w:sz w:val="22"/>
          <w:szCs w:val="22"/>
        </w:rPr>
        <w:t>noted the</w:t>
      </w:r>
      <w:r w:rsidR="007064A2">
        <w:rPr>
          <w:rFonts w:ascii="Arial" w:hAnsi="Arial" w:cs="Arial"/>
          <w:bCs/>
          <w:sz w:val="22"/>
          <w:szCs w:val="22"/>
        </w:rPr>
        <w:t xml:space="preserve"> three Annual Reports which were due to be submitted to the SFC. The reports were the</w:t>
      </w:r>
      <w:r w:rsidR="00B664CC" w:rsidRPr="00B664CC">
        <w:rPr>
          <w:rFonts w:ascii="Arial" w:hAnsi="Arial" w:cs="Arial"/>
          <w:bCs/>
          <w:sz w:val="22"/>
          <w:szCs w:val="22"/>
        </w:rPr>
        <w:t xml:space="preserve"> Research Assurance and Accountability Return, the Knowledge Exchange and Innovation Fund Annual Report and the Learning and Teaching Self Evaluation and Action Plan</w:t>
      </w:r>
      <w:r w:rsidR="00B664CC">
        <w:rPr>
          <w:rFonts w:ascii="Arial" w:hAnsi="Arial" w:cs="Arial"/>
          <w:bCs/>
          <w:sz w:val="22"/>
          <w:szCs w:val="22"/>
        </w:rPr>
        <w:t>.</w:t>
      </w:r>
      <w:r w:rsidR="007064A2">
        <w:rPr>
          <w:rFonts w:ascii="Arial" w:hAnsi="Arial" w:cs="Arial"/>
          <w:bCs/>
          <w:sz w:val="22"/>
          <w:szCs w:val="22"/>
        </w:rPr>
        <w:t xml:space="preserve"> No comments were raised on the reports</w:t>
      </w:r>
      <w:r w:rsidR="00D76731">
        <w:rPr>
          <w:rFonts w:ascii="Arial" w:hAnsi="Arial" w:cs="Arial"/>
          <w:bCs/>
          <w:sz w:val="22"/>
          <w:szCs w:val="22"/>
        </w:rPr>
        <w:t xml:space="preserve"> and Court endorsed the submission of the three Annual Reports to the SFC</w:t>
      </w:r>
      <w:r w:rsidR="007064A2">
        <w:rPr>
          <w:rFonts w:ascii="Arial" w:hAnsi="Arial" w:cs="Arial"/>
          <w:bCs/>
          <w:sz w:val="22"/>
          <w:szCs w:val="22"/>
        </w:rPr>
        <w:t>.</w:t>
      </w:r>
      <w:r w:rsidR="00A87D24">
        <w:rPr>
          <w:rFonts w:ascii="Arial" w:hAnsi="Arial" w:cs="Arial"/>
          <w:bCs/>
          <w:sz w:val="22"/>
          <w:szCs w:val="22"/>
        </w:rPr>
        <w:t xml:space="preserve">  </w:t>
      </w:r>
    </w:p>
    <w:p w14:paraId="1F87870D" w14:textId="77777777" w:rsidR="000D7B8E" w:rsidRDefault="000D7B8E" w:rsidP="007D10B6">
      <w:pPr>
        <w:tabs>
          <w:tab w:val="left" w:pos="0"/>
        </w:tabs>
        <w:spacing w:after="240"/>
        <w:contextualSpacing/>
        <w:jc w:val="both"/>
        <w:rPr>
          <w:rFonts w:ascii="Arial" w:hAnsi="Arial" w:cs="Arial"/>
          <w:bCs/>
          <w:sz w:val="22"/>
          <w:szCs w:val="22"/>
        </w:rPr>
      </w:pPr>
      <w:bookmarkStart w:id="3" w:name="_Hlk148106457"/>
    </w:p>
    <w:p w14:paraId="182268A9" w14:textId="72B0D36B" w:rsidR="000D7B8E" w:rsidRPr="0081733C" w:rsidRDefault="000D7B8E" w:rsidP="000D7B8E">
      <w:pPr>
        <w:tabs>
          <w:tab w:val="left" w:pos="0"/>
        </w:tabs>
        <w:autoSpaceDE/>
        <w:autoSpaceDN/>
        <w:spacing w:after="120"/>
        <w:jc w:val="both"/>
        <w:rPr>
          <w:rFonts w:ascii="Arial" w:hAnsi="Arial" w:cs="Arial"/>
          <w:sz w:val="22"/>
          <w:szCs w:val="22"/>
        </w:rPr>
      </w:pPr>
      <w:bookmarkStart w:id="4" w:name="_Hlk210748475"/>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sidR="00BA64FF">
        <w:rPr>
          <w:rFonts w:ascii="Arial" w:eastAsiaTheme="minorEastAsia" w:hAnsi="Arial" w:cs="Arial"/>
          <w:b/>
          <w:bCs/>
          <w:sz w:val="22"/>
          <w:szCs w:val="22"/>
        </w:rPr>
        <w:t>19</w:t>
      </w:r>
      <w:r>
        <w:rPr>
          <w:rFonts w:ascii="Arial" w:eastAsiaTheme="minorEastAsia" w:hAnsi="Arial" w:cs="Arial"/>
          <w:b/>
          <w:bCs/>
          <w:sz w:val="22"/>
          <w:szCs w:val="22"/>
        </w:rPr>
        <w:t>.</w:t>
      </w:r>
      <w:r w:rsidRPr="00645CCE">
        <w:rPr>
          <w:rFonts w:ascii="Arial" w:eastAsiaTheme="minorEastAsia" w:hAnsi="Arial" w:cs="Arial"/>
          <w:b/>
          <w:bCs/>
          <w:sz w:val="22"/>
          <w:szCs w:val="22"/>
        </w:rPr>
        <w:t xml:space="preserve"> </w:t>
      </w:r>
      <w:r>
        <w:rPr>
          <w:rFonts w:ascii="Arial" w:eastAsiaTheme="minorEastAsia" w:hAnsi="Arial" w:cs="Arial"/>
          <w:b/>
          <w:bCs/>
          <w:sz w:val="22"/>
          <w:szCs w:val="22"/>
        </w:rPr>
        <w:t>Gillies Report Update</w:t>
      </w:r>
    </w:p>
    <w:bookmarkEnd w:id="4"/>
    <w:p w14:paraId="6E18534F" w14:textId="6E8ED7E4" w:rsidR="00A427C0" w:rsidRPr="00A427C0" w:rsidRDefault="00B664CC" w:rsidP="00BA64FF">
      <w:pPr>
        <w:tabs>
          <w:tab w:val="left" w:pos="0"/>
        </w:tabs>
        <w:spacing w:before="120" w:after="120"/>
        <w:contextualSpacing/>
        <w:rPr>
          <w:rFonts w:ascii="Arial" w:hAnsi="Arial" w:cs="Arial"/>
          <w:bCs/>
          <w:sz w:val="22"/>
          <w:szCs w:val="22"/>
        </w:rPr>
      </w:pPr>
      <w:r w:rsidRPr="00B664CC">
        <w:rPr>
          <w:rFonts w:ascii="Arial" w:hAnsi="Arial" w:cs="Arial"/>
          <w:bCs/>
          <w:sz w:val="22"/>
          <w:szCs w:val="22"/>
        </w:rPr>
        <w:t>The Convener</w:t>
      </w:r>
      <w:r>
        <w:rPr>
          <w:rFonts w:ascii="Arial" w:hAnsi="Arial" w:cs="Arial"/>
          <w:bCs/>
          <w:sz w:val="22"/>
          <w:szCs w:val="22"/>
        </w:rPr>
        <w:t xml:space="preserve"> of Court</w:t>
      </w:r>
      <w:r w:rsidRPr="00B664CC">
        <w:rPr>
          <w:rFonts w:ascii="Arial" w:hAnsi="Arial" w:cs="Arial"/>
          <w:bCs/>
          <w:sz w:val="22"/>
          <w:szCs w:val="22"/>
        </w:rPr>
        <w:t xml:space="preserve"> updated Court on progress </w:t>
      </w:r>
      <w:r w:rsidR="007064A2">
        <w:rPr>
          <w:rFonts w:ascii="Arial" w:hAnsi="Arial" w:cs="Arial"/>
          <w:bCs/>
          <w:sz w:val="22"/>
          <w:szCs w:val="22"/>
        </w:rPr>
        <w:t>of the</w:t>
      </w:r>
      <w:r w:rsidRPr="00B664CC">
        <w:rPr>
          <w:rFonts w:ascii="Arial" w:hAnsi="Arial" w:cs="Arial"/>
          <w:bCs/>
          <w:sz w:val="22"/>
          <w:szCs w:val="22"/>
        </w:rPr>
        <w:t xml:space="preserve"> Gillies </w:t>
      </w:r>
      <w:r w:rsidR="007064A2">
        <w:rPr>
          <w:rFonts w:ascii="Arial" w:hAnsi="Arial" w:cs="Arial"/>
          <w:bCs/>
          <w:sz w:val="22"/>
          <w:szCs w:val="22"/>
        </w:rPr>
        <w:t>Report Working Group</w:t>
      </w:r>
      <w:r w:rsidRPr="00B664CC">
        <w:rPr>
          <w:rFonts w:ascii="Arial" w:hAnsi="Arial" w:cs="Arial"/>
          <w:bCs/>
          <w:sz w:val="22"/>
          <w:szCs w:val="22"/>
        </w:rPr>
        <w:t xml:space="preserve">. </w:t>
      </w:r>
      <w:r>
        <w:rPr>
          <w:rFonts w:ascii="Arial" w:hAnsi="Arial" w:cs="Arial"/>
          <w:bCs/>
          <w:sz w:val="22"/>
          <w:szCs w:val="22"/>
        </w:rPr>
        <w:t>It was noted that d</w:t>
      </w:r>
      <w:r w:rsidRPr="00B664CC">
        <w:rPr>
          <w:rFonts w:ascii="Arial" w:hAnsi="Arial" w:cs="Arial"/>
          <w:bCs/>
          <w:sz w:val="22"/>
          <w:szCs w:val="22"/>
        </w:rPr>
        <w:t xml:space="preserve">rafting of a guidance document for Court and committee chairs and members </w:t>
      </w:r>
      <w:r>
        <w:rPr>
          <w:rFonts w:ascii="Arial" w:hAnsi="Arial" w:cs="Arial"/>
          <w:bCs/>
          <w:sz w:val="22"/>
          <w:szCs w:val="22"/>
        </w:rPr>
        <w:t>was</w:t>
      </w:r>
      <w:r w:rsidRPr="00B664CC">
        <w:rPr>
          <w:rFonts w:ascii="Arial" w:hAnsi="Arial" w:cs="Arial"/>
          <w:bCs/>
          <w:sz w:val="22"/>
          <w:szCs w:val="22"/>
        </w:rPr>
        <w:t xml:space="preserve"> underway</w:t>
      </w:r>
      <w:r>
        <w:rPr>
          <w:rFonts w:ascii="Arial" w:hAnsi="Arial" w:cs="Arial"/>
          <w:bCs/>
          <w:sz w:val="22"/>
          <w:szCs w:val="22"/>
        </w:rPr>
        <w:t xml:space="preserve"> which </w:t>
      </w:r>
      <w:r w:rsidRPr="00B664CC">
        <w:rPr>
          <w:rFonts w:ascii="Arial" w:hAnsi="Arial" w:cs="Arial"/>
          <w:bCs/>
          <w:sz w:val="22"/>
          <w:szCs w:val="22"/>
        </w:rPr>
        <w:t xml:space="preserve">aimed </w:t>
      </w:r>
      <w:r>
        <w:rPr>
          <w:rFonts w:ascii="Arial" w:hAnsi="Arial" w:cs="Arial"/>
          <w:bCs/>
          <w:sz w:val="22"/>
          <w:szCs w:val="22"/>
        </w:rPr>
        <w:t xml:space="preserve">to </w:t>
      </w:r>
      <w:r w:rsidRPr="00B664CC">
        <w:rPr>
          <w:rFonts w:ascii="Arial" w:hAnsi="Arial" w:cs="Arial"/>
          <w:bCs/>
          <w:sz w:val="22"/>
          <w:szCs w:val="22"/>
        </w:rPr>
        <w:t>clarifying roles and expectations. Court</w:t>
      </w:r>
      <w:r>
        <w:rPr>
          <w:rFonts w:ascii="Arial" w:hAnsi="Arial" w:cs="Arial"/>
          <w:bCs/>
          <w:sz w:val="22"/>
          <w:szCs w:val="22"/>
        </w:rPr>
        <w:t xml:space="preserve"> also </w:t>
      </w:r>
      <w:r w:rsidRPr="00B664CC">
        <w:rPr>
          <w:rFonts w:ascii="Arial" w:hAnsi="Arial" w:cs="Arial"/>
          <w:bCs/>
          <w:sz w:val="22"/>
          <w:szCs w:val="22"/>
        </w:rPr>
        <w:t>noted that cultural aspects highlighted in pr</w:t>
      </w:r>
      <w:r w:rsidR="007064A2">
        <w:rPr>
          <w:rFonts w:ascii="Arial" w:hAnsi="Arial" w:cs="Arial"/>
          <w:bCs/>
          <w:sz w:val="22"/>
          <w:szCs w:val="22"/>
        </w:rPr>
        <w:t>e-Court briefing</w:t>
      </w:r>
      <w:r w:rsidRPr="00B664CC">
        <w:rPr>
          <w:rFonts w:ascii="Arial" w:hAnsi="Arial" w:cs="Arial"/>
          <w:bCs/>
          <w:sz w:val="22"/>
          <w:szCs w:val="22"/>
        </w:rPr>
        <w:t xml:space="preserve"> w</w:t>
      </w:r>
      <w:r>
        <w:rPr>
          <w:rFonts w:ascii="Arial" w:hAnsi="Arial" w:cs="Arial"/>
          <w:bCs/>
          <w:sz w:val="22"/>
          <w:szCs w:val="22"/>
        </w:rPr>
        <w:t>ould</w:t>
      </w:r>
      <w:r w:rsidRPr="00B664CC">
        <w:rPr>
          <w:rFonts w:ascii="Arial" w:hAnsi="Arial" w:cs="Arial"/>
          <w:bCs/>
          <w:sz w:val="22"/>
          <w:szCs w:val="22"/>
        </w:rPr>
        <w:t xml:space="preserve"> inform th</w:t>
      </w:r>
      <w:r>
        <w:rPr>
          <w:rFonts w:ascii="Arial" w:hAnsi="Arial" w:cs="Arial"/>
          <w:bCs/>
          <w:sz w:val="22"/>
          <w:szCs w:val="22"/>
        </w:rPr>
        <w:t>e</w:t>
      </w:r>
      <w:r w:rsidRPr="00B664CC">
        <w:rPr>
          <w:rFonts w:ascii="Arial" w:hAnsi="Arial" w:cs="Arial"/>
          <w:bCs/>
          <w:sz w:val="22"/>
          <w:szCs w:val="22"/>
        </w:rPr>
        <w:t xml:space="preserve"> work</w:t>
      </w:r>
      <w:r>
        <w:rPr>
          <w:rFonts w:ascii="Arial" w:hAnsi="Arial" w:cs="Arial"/>
          <w:bCs/>
          <w:sz w:val="22"/>
          <w:szCs w:val="22"/>
        </w:rPr>
        <w:t xml:space="preserve"> of the group and a</w:t>
      </w:r>
      <w:r w:rsidRPr="00B664CC">
        <w:rPr>
          <w:rFonts w:ascii="Arial" w:hAnsi="Arial" w:cs="Arial"/>
          <w:bCs/>
          <w:sz w:val="22"/>
          <w:szCs w:val="22"/>
        </w:rPr>
        <w:t xml:space="preserve"> full report </w:t>
      </w:r>
      <w:r>
        <w:rPr>
          <w:rFonts w:ascii="Arial" w:hAnsi="Arial" w:cs="Arial"/>
          <w:bCs/>
          <w:sz w:val="22"/>
          <w:szCs w:val="22"/>
        </w:rPr>
        <w:t>was</w:t>
      </w:r>
      <w:r w:rsidRPr="00B664CC">
        <w:rPr>
          <w:rFonts w:ascii="Arial" w:hAnsi="Arial" w:cs="Arial"/>
          <w:bCs/>
          <w:sz w:val="22"/>
          <w:szCs w:val="22"/>
        </w:rPr>
        <w:t xml:space="preserve"> expected in early 2026.</w:t>
      </w:r>
      <w:r w:rsidR="00A427C0" w:rsidRPr="00A427C0">
        <w:rPr>
          <w:rFonts w:ascii="Arial" w:hAnsi="Arial" w:cs="Arial"/>
          <w:bCs/>
          <w:sz w:val="22"/>
          <w:szCs w:val="22"/>
        </w:rPr>
        <w:t xml:space="preserve"> </w:t>
      </w:r>
    </w:p>
    <w:p w14:paraId="26FECD9B" w14:textId="77777777" w:rsidR="000D7B8E" w:rsidRDefault="000D7B8E" w:rsidP="007D10B6">
      <w:pPr>
        <w:tabs>
          <w:tab w:val="left" w:pos="0"/>
        </w:tabs>
        <w:spacing w:after="240"/>
        <w:contextualSpacing/>
        <w:jc w:val="both"/>
        <w:rPr>
          <w:rFonts w:ascii="Arial" w:hAnsi="Arial" w:cs="Arial"/>
          <w:bCs/>
          <w:sz w:val="22"/>
          <w:szCs w:val="22"/>
        </w:rPr>
      </w:pPr>
    </w:p>
    <w:p w14:paraId="3612DC09" w14:textId="0BB6CD0E" w:rsidR="000D7B8E" w:rsidRPr="0081733C" w:rsidRDefault="000D7B8E" w:rsidP="000D7B8E">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sidR="00BA64FF">
        <w:rPr>
          <w:rFonts w:ascii="Arial" w:eastAsiaTheme="minorEastAsia" w:hAnsi="Arial" w:cs="Arial"/>
          <w:b/>
          <w:bCs/>
          <w:sz w:val="22"/>
          <w:szCs w:val="22"/>
        </w:rPr>
        <w:t>20</w:t>
      </w:r>
      <w:r>
        <w:rPr>
          <w:rFonts w:ascii="Arial" w:eastAsiaTheme="minorEastAsia" w:hAnsi="Arial" w:cs="Arial"/>
          <w:b/>
          <w:bCs/>
          <w:sz w:val="22"/>
          <w:szCs w:val="22"/>
        </w:rPr>
        <w:t>.</w:t>
      </w:r>
      <w:r w:rsidRPr="00645CCE">
        <w:rPr>
          <w:rFonts w:ascii="Arial" w:eastAsiaTheme="minorEastAsia" w:hAnsi="Arial" w:cs="Arial"/>
          <w:b/>
          <w:bCs/>
          <w:sz w:val="22"/>
          <w:szCs w:val="22"/>
        </w:rPr>
        <w:t xml:space="preserve"> </w:t>
      </w:r>
      <w:r w:rsidR="00BA64FF" w:rsidRPr="00BA64FF">
        <w:rPr>
          <w:rFonts w:ascii="Arial" w:eastAsiaTheme="minorEastAsia" w:hAnsi="Arial" w:cs="Arial"/>
          <w:b/>
          <w:bCs/>
          <w:sz w:val="22"/>
          <w:szCs w:val="22"/>
        </w:rPr>
        <w:t>2024/2025 Annual Financial Statements</w:t>
      </w:r>
    </w:p>
    <w:p w14:paraId="5B948CE6" w14:textId="539A3ED3" w:rsidR="00B664CC" w:rsidRPr="00FD2A27" w:rsidRDefault="00B664CC" w:rsidP="00B664CC">
      <w:pPr>
        <w:keepNext/>
        <w:tabs>
          <w:tab w:val="left" w:pos="850"/>
        </w:tabs>
        <w:spacing w:after="120"/>
        <w:ind w:right="-46"/>
        <w:rPr>
          <w:rFonts w:asciiTheme="minorBidi" w:hAnsiTheme="minorBidi" w:cstheme="minorBidi"/>
          <w:sz w:val="22"/>
          <w:szCs w:val="22"/>
        </w:rPr>
      </w:pPr>
      <w:r>
        <w:rPr>
          <w:rFonts w:asciiTheme="minorBidi" w:hAnsiTheme="minorBidi" w:cstheme="minorBidi"/>
          <w:sz w:val="22"/>
          <w:szCs w:val="22"/>
        </w:rPr>
        <w:t xml:space="preserve">Court </w:t>
      </w:r>
      <w:r w:rsidRPr="00FD2A27">
        <w:rPr>
          <w:rFonts w:asciiTheme="minorBidi" w:hAnsiTheme="minorBidi" w:cstheme="minorBidi"/>
          <w:sz w:val="22"/>
          <w:szCs w:val="22"/>
        </w:rPr>
        <w:t>received the financial statements for the year ended 31 July 202</w:t>
      </w:r>
      <w:r>
        <w:rPr>
          <w:rFonts w:asciiTheme="minorBidi" w:hAnsiTheme="minorBidi" w:cstheme="minorBidi"/>
          <w:sz w:val="22"/>
          <w:szCs w:val="22"/>
        </w:rPr>
        <w:t>5</w:t>
      </w:r>
      <w:r w:rsidRPr="00FD2A27">
        <w:rPr>
          <w:rFonts w:asciiTheme="minorBidi" w:hAnsiTheme="minorBidi" w:cstheme="minorBidi"/>
          <w:sz w:val="22"/>
          <w:szCs w:val="22"/>
        </w:rPr>
        <w:t>.    </w:t>
      </w:r>
    </w:p>
    <w:p w14:paraId="6CEE4704" w14:textId="67D008D1" w:rsidR="00B664CC" w:rsidRDefault="00B664CC" w:rsidP="00B664CC">
      <w:pPr>
        <w:keepNext/>
        <w:tabs>
          <w:tab w:val="left" w:pos="850"/>
        </w:tabs>
        <w:spacing w:after="120"/>
        <w:ind w:right="-46"/>
        <w:rPr>
          <w:rFonts w:asciiTheme="minorBidi" w:hAnsiTheme="minorBidi" w:cstheme="minorBidi"/>
          <w:sz w:val="22"/>
          <w:szCs w:val="22"/>
        </w:rPr>
      </w:pPr>
      <w:r>
        <w:rPr>
          <w:rFonts w:asciiTheme="minorBidi" w:hAnsiTheme="minorBidi" w:cstheme="minorBidi"/>
          <w:sz w:val="22"/>
          <w:szCs w:val="22"/>
        </w:rPr>
        <w:t xml:space="preserve">Gregor Caldow (Executive Director of Finance), </w:t>
      </w:r>
      <w:r w:rsidRPr="00FD2A27">
        <w:rPr>
          <w:rFonts w:asciiTheme="minorBidi" w:hAnsiTheme="minorBidi" w:cstheme="minorBidi"/>
          <w:sz w:val="22"/>
          <w:szCs w:val="22"/>
        </w:rPr>
        <w:t>summarised the position, highlighting the strong financial performance and growth during the year, with a</w:t>
      </w:r>
      <w:r>
        <w:rPr>
          <w:rFonts w:asciiTheme="minorBidi" w:hAnsiTheme="minorBidi" w:cstheme="minorBidi"/>
          <w:sz w:val="22"/>
          <w:szCs w:val="22"/>
        </w:rPr>
        <w:t>n</w:t>
      </w:r>
      <w:r w:rsidRPr="00FD2A27">
        <w:rPr>
          <w:rFonts w:asciiTheme="minorBidi" w:hAnsiTheme="minorBidi" w:cstheme="minorBidi"/>
          <w:sz w:val="22"/>
          <w:szCs w:val="22"/>
        </w:rPr>
        <w:t xml:space="preserve"> underlying surplus of £</w:t>
      </w:r>
      <w:r>
        <w:rPr>
          <w:rFonts w:asciiTheme="minorBidi" w:hAnsiTheme="minorBidi" w:cstheme="minorBidi"/>
          <w:sz w:val="22"/>
          <w:szCs w:val="22"/>
        </w:rPr>
        <w:t>62.4</w:t>
      </w:r>
      <w:r w:rsidRPr="00FD2A27">
        <w:rPr>
          <w:rFonts w:asciiTheme="minorBidi" w:hAnsiTheme="minorBidi" w:cstheme="minorBidi"/>
          <w:sz w:val="22"/>
          <w:szCs w:val="22"/>
        </w:rPr>
        <w:t xml:space="preserve">m </w:t>
      </w:r>
      <w:r>
        <w:rPr>
          <w:rFonts w:asciiTheme="minorBidi" w:hAnsiTheme="minorBidi" w:cstheme="minorBidi"/>
          <w:sz w:val="22"/>
          <w:szCs w:val="22"/>
        </w:rPr>
        <w:t xml:space="preserve">excluding </w:t>
      </w:r>
      <w:r w:rsidRPr="00FD2A27">
        <w:rPr>
          <w:rFonts w:asciiTheme="minorBidi" w:hAnsiTheme="minorBidi" w:cstheme="minorBidi"/>
          <w:sz w:val="22"/>
          <w:szCs w:val="22"/>
        </w:rPr>
        <w:t xml:space="preserve">USS </w:t>
      </w:r>
      <w:r w:rsidR="00C912D1">
        <w:rPr>
          <w:rFonts w:asciiTheme="minorBidi" w:hAnsiTheme="minorBidi" w:cstheme="minorBidi"/>
          <w:sz w:val="22"/>
          <w:szCs w:val="22"/>
        </w:rPr>
        <w:t>P</w:t>
      </w:r>
      <w:r w:rsidRPr="00FD2A27">
        <w:rPr>
          <w:rFonts w:asciiTheme="minorBidi" w:hAnsiTheme="minorBidi" w:cstheme="minorBidi"/>
          <w:sz w:val="22"/>
          <w:szCs w:val="22"/>
        </w:rPr>
        <w:t>ension Scheme</w:t>
      </w:r>
      <w:r>
        <w:rPr>
          <w:rFonts w:asciiTheme="minorBidi" w:hAnsiTheme="minorBidi" w:cstheme="minorBidi"/>
          <w:sz w:val="22"/>
          <w:szCs w:val="22"/>
        </w:rPr>
        <w:t xml:space="preserve"> provisions and other gains and losses</w:t>
      </w:r>
      <w:r w:rsidRPr="00FD2A27">
        <w:rPr>
          <w:rFonts w:asciiTheme="minorBidi" w:hAnsiTheme="minorBidi" w:cstheme="minorBidi"/>
          <w:sz w:val="22"/>
          <w:szCs w:val="22"/>
        </w:rPr>
        <w:t>.   </w:t>
      </w:r>
      <w:r w:rsidR="00C912D1" w:rsidRPr="00A7764A">
        <w:rPr>
          <w:rFonts w:asciiTheme="minorBidi" w:hAnsiTheme="minorBidi" w:cstheme="minorBidi"/>
          <w:sz w:val="22"/>
          <w:szCs w:val="22"/>
        </w:rPr>
        <w:t xml:space="preserve"> </w:t>
      </w:r>
      <w:r w:rsidR="00C912D1">
        <w:rPr>
          <w:rFonts w:asciiTheme="minorBidi" w:hAnsiTheme="minorBidi" w:cstheme="minorBidi"/>
          <w:sz w:val="22"/>
          <w:szCs w:val="22"/>
        </w:rPr>
        <w:t>T</w:t>
      </w:r>
      <w:r w:rsidRPr="00A7764A">
        <w:rPr>
          <w:rFonts w:asciiTheme="minorBidi" w:hAnsiTheme="minorBidi" w:cstheme="minorBidi"/>
          <w:sz w:val="22"/>
          <w:szCs w:val="22"/>
        </w:rPr>
        <w:t>otal income exceed</w:t>
      </w:r>
      <w:r w:rsidR="00A87D24">
        <w:rPr>
          <w:rFonts w:asciiTheme="minorBidi" w:hAnsiTheme="minorBidi" w:cstheme="minorBidi"/>
          <w:sz w:val="22"/>
          <w:szCs w:val="22"/>
        </w:rPr>
        <w:t>ed</w:t>
      </w:r>
      <w:r w:rsidRPr="00A7764A">
        <w:rPr>
          <w:rFonts w:asciiTheme="minorBidi" w:hAnsiTheme="minorBidi" w:cstheme="minorBidi"/>
          <w:sz w:val="22"/>
          <w:szCs w:val="22"/>
        </w:rPr>
        <w:t xml:space="preserve"> £1 billion for the first time, driven by growth in international tuition fees and research income</w:t>
      </w:r>
      <w:r>
        <w:rPr>
          <w:rFonts w:asciiTheme="minorBidi" w:hAnsiTheme="minorBidi" w:cstheme="minorBidi"/>
          <w:sz w:val="22"/>
          <w:szCs w:val="22"/>
        </w:rPr>
        <w:t>.</w:t>
      </w:r>
    </w:p>
    <w:p w14:paraId="0C276123" w14:textId="1F376004" w:rsidR="00B664CC" w:rsidRDefault="00B664CC" w:rsidP="00B664CC">
      <w:pPr>
        <w:keepNext/>
        <w:tabs>
          <w:tab w:val="left" w:pos="850"/>
        </w:tabs>
        <w:spacing w:after="120"/>
        <w:ind w:right="-46"/>
        <w:rPr>
          <w:rFonts w:asciiTheme="minorBidi" w:hAnsiTheme="minorBidi" w:cstheme="minorBidi"/>
          <w:sz w:val="22"/>
          <w:szCs w:val="22"/>
        </w:rPr>
      </w:pPr>
      <w:r>
        <w:rPr>
          <w:rFonts w:asciiTheme="minorBidi" w:hAnsiTheme="minorBidi" w:cstheme="minorBidi"/>
          <w:sz w:val="22"/>
          <w:szCs w:val="22"/>
        </w:rPr>
        <w:t xml:space="preserve">Court </w:t>
      </w:r>
      <w:r w:rsidRPr="00D753B5">
        <w:rPr>
          <w:rFonts w:asciiTheme="minorBidi" w:hAnsiTheme="minorBidi" w:cstheme="minorBidi"/>
          <w:sz w:val="22"/>
          <w:szCs w:val="22"/>
        </w:rPr>
        <w:t>noted that total income for the year increased by £9</w:t>
      </w:r>
      <w:r>
        <w:rPr>
          <w:rFonts w:asciiTheme="minorBidi" w:hAnsiTheme="minorBidi" w:cstheme="minorBidi"/>
          <w:sz w:val="22"/>
          <w:szCs w:val="22"/>
        </w:rPr>
        <w:t>1m</w:t>
      </w:r>
      <w:r w:rsidRPr="00D753B5">
        <w:rPr>
          <w:rFonts w:asciiTheme="minorBidi" w:hAnsiTheme="minorBidi" w:cstheme="minorBidi"/>
          <w:sz w:val="22"/>
          <w:szCs w:val="22"/>
        </w:rPr>
        <w:t>, representing a significant uplift compared to the prior year. This was primarily driven by £60</w:t>
      </w:r>
      <w:r>
        <w:rPr>
          <w:rFonts w:asciiTheme="minorBidi" w:hAnsiTheme="minorBidi" w:cstheme="minorBidi"/>
          <w:sz w:val="22"/>
          <w:szCs w:val="22"/>
        </w:rPr>
        <w:t>m</w:t>
      </w:r>
      <w:r w:rsidRPr="00D753B5">
        <w:rPr>
          <w:rFonts w:asciiTheme="minorBidi" w:hAnsiTheme="minorBidi" w:cstheme="minorBidi"/>
          <w:sz w:val="22"/>
          <w:szCs w:val="22"/>
        </w:rPr>
        <w:t xml:space="preserve"> </w:t>
      </w:r>
      <w:r w:rsidR="00C912D1">
        <w:rPr>
          <w:rFonts w:asciiTheme="minorBidi" w:hAnsiTheme="minorBidi" w:cstheme="minorBidi"/>
          <w:sz w:val="22"/>
          <w:szCs w:val="22"/>
        </w:rPr>
        <w:t>additional</w:t>
      </w:r>
      <w:r w:rsidRPr="00D753B5">
        <w:rPr>
          <w:rFonts w:asciiTheme="minorBidi" w:hAnsiTheme="minorBidi" w:cstheme="minorBidi"/>
          <w:sz w:val="22"/>
          <w:szCs w:val="22"/>
        </w:rPr>
        <w:t xml:space="preserve"> tuition fee</w:t>
      </w:r>
      <w:r w:rsidR="00C912D1">
        <w:rPr>
          <w:rFonts w:asciiTheme="minorBidi" w:hAnsiTheme="minorBidi" w:cstheme="minorBidi"/>
          <w:sz w:val="22"/>
          <w:szCs w:val="22"/>
        </w:rPr>
        <w:t xml:space="preserve"> and </w:t>
      </w:r>
      <w:r w:rsidRPr="00D753B5">
        <w:rPr>
          <w:rFonts w:asciiTheme="minorBidi" w:hAnsiTheme="minorBidi" w:cstheme="minorBidi"/>
          <w:sz w:val="22"/>
          <w:szCs w:val="22"/>
        </w:rPr>
        <w:t xml:space="preserve">research income, </w:t>
      </w:r>
      <w:r w:rsidR="00C912D1">
        <w:rPr>
          <w:rFonts w:asciiTheme="minorBidi" w:hAnsiTheme="minorBidi" w:cstheme="minorBidi"/>
          <w:sz w:val="22"/>
          <w:szCs w:val="22"/>
        </w:rPr>
        <w:t>with the latter including</w:t>
      </w:r>
      <w:r w:rsidRPr="00D753B5">
        <w:rPr>
          <w:rFonts w:asciiTheme="minorBidi" w:hAnsiTheme="minorBidi" w:cstheme="minorBidi"/>
          <w:sz w:val="22"/>
          <w:szCs w:val="22"/>
        </w:rPr>
        <w:t xml:space="preserve"> a £</w:t>
      </w:r>
      <w:r>
        <w:rPr>
          <w:rFonts w:asciiTheme="minorBidi" w:hAnsiTheme="minorBidi" w:cstheme="minorBidi"/>
          <w:sz w:val="22"/>
          <w:szCs w:val="22"/>
        </w:rPr>
        <w:t xml:space="preserve">14m </w:t>
      </w:r>
      <w:r w:rsidRPr="00D753B5">
        <w:rPr>
          <w:rFonts w:asciiTheme="minorBidi" w:hAnsiTheme="minorBidi" w:cstheme="minorBidi"/>
          <w:sz w:val="22"/>
          <w:szCs w:val="22"/>
        </w:rPr>
        <w:t>Strength in Places award from UKRI. Excluding actuarial</w:t>
      </w:r>
      <w:r w:rsidR="00A87D24">
        <w:rPr>
          <w:rFonts w:asciiTheme="minorBidi" w:hAnsiTheme="minorBidi" w:cstheme="minorBidi"/>
          <w:sz w:val="22"/>
          <w:szCs w:val="22"/>
        </w:rPr>
        <w:t>/pension</w:t>
      </w:r>
      <w:r w:rsidRPr="00D753B5">
        <w:rPr>
          <w:rFonts w:asciiTheme="minorBidi" w:hAnsiTheme="minorBidi" w:cstheme="minorBidi"/>
          <w:sz w:val="22"/>
          <w:szCs w:val="22"/>
        </w:rPr>
        <w:t xml:space="preserve"> and other one-off adjustments, the underlying surplus improved </w:t>
      </w:r>
      <w:r w:rsidRPr="00D753B5">
        <w:rPr>
          <w:rFonts w:asciiTheme="minorBidi" w:hAnsiTheme="minorBidi" w:cstheme="minorBidi"/>
          <w:sz w:val="22"/>
          <w:szCs w:val="22"/>
        </w:rPr>
        <w:lastRenderedPageBreak/>
        <w:t>by £34</w:t>
      </w:r>
      <w:r>
        <w:rPr>
          <w:rFonts w:asciiTheme="minorBidi" w:hAnsiTheme="minorBidi" w:cstheme="minorBidi"/>
          <w:sz w:val="22"/>
          <w:szCs w:val="22"/>
        </w:rPr>
        <w:t>m</w:t>
      </w:r>
      <w:r w:rsidRPr="00D753B5">
        <w:rPr>
          <w:rFonts w:asciiTheme="minorBidi" w:hAnsiTheme="minorBidi" w:cstheme="minorBidi"/>
          <w:sz w:val="22"/>
          <w:szCs w:val="22"/>
        </w:rPr>
        <w:t>, reflecting both revenue growth and effective cost management.</w:t>
      </w:r>
    </w:p>
    <w:p w14:paraId="1413434B" w14:textId="6A31B1A0" w:rsidR="00B963ED" w:rsidRDefault="00B963ED" w:rsidP="00B963ED">
      <w:pPr>
        <w:spacing w:before="120" w:after="120"/>
        <w:ind w:right="96"/>
        <w:jc w:val="both"/>
        <w:rPr>
          <w:rFonts w:asciiTheme="minorBidi" w:hAnsiTheme="minorBidi" w:cstheme="minorBidi"/>
          <w:sz w:val="22"/>
          <w:szCs w:val="22"/>
        </w:rPr>
      </w:pPr>
      <w:r>
        <w:rPr>
          <w:rFonts w:asciiTheme="minorBidi" w:hAnsiTheme="minorBidi" w:cstheme="minorBidi"/>
          <w:sz w:val="22"/>
          <w:szCs w:val="22"/>
        </w:rPr>
        <w:t xml:space="preserve">The Chair of the Audit and Risk Committee </w:t>
      </w:r>
      <w:r w:rsidRPr="00D93CCD">
        <w:rPr>
          <w:rFonts w:asciiTheme="minorBidi" w:hAnsiTheme="minorBidi" w:cstheme="minorBidi"/>
          <w:sz w:val="22"/>
          <w:szCs w:val="22"/>
        </w:rPr>
        <w:t xml:space="preserve">reported that the External Auditors, PWC </w:t>
      </w:r>
      <w:r>
        <w:rPr>
          <w:rFonts w:asciiTheme="minorBidi" w:hAnsiTheme="minorBidi" w:cstheme="minorBidi"/>
          <w:sz w:val="22"/>
          <w:szCs w:val="22"/>
        </w:rPr>
        <w:t xml:space="preserve">had </w:t>
      </w:r>
      <w:r w:rsidRPr="00D93CCD">
        <w:rPr>
          <w:rFonts w:asciiTheme="minorBidi" w:hAnsiTheme="minorBidi" w:cstheme="minorBidi"/>
          <w:sz w:val="22"/>
          <w:szCs w:val="22"/>
        </w:rPr>
        <w:t>issue</w:t>
      </w:r>
      <w:r>
        <w:rPr>
          <w:rFonts w:asciiTheme="minorBidi" w:hAnsiTheme="minorBidi" w:cstheme="minorBidi"/>
          <w:sz w:val="22"/>
          <w:szCs w:val="22"/>
        </w:rPr>
        <w:t>d</w:t>
      </w:r>
      <w:r w:rsidRPr="00D93CCD">
        <w:rPr>
          <w:rFonts w:asciiTheme="minorBidi" w:hAnsiTheme="minorBidi" w:cstheme="minorBidi"/>
          <w:sz w:val="22"/>
          <w:szCs w:val="22"/>
        </w:rPr>
        <w:t xml:space="preserve"> an unqualified audit opinion and that the Audit and Risk </w:t>
      </w:r>
      <w:r>
        <w:rPr>
          <w:rFonts w:asciiTheme="minorBidi" w:hAnsiTheme="minorBidi" w:cstheme="minorBidi"/>
          <w:sz w:val="22"/>
          <w:szCs w:val="22"/>
        </w:rPr>
        <w:t>C</w:t>
      </w:r>
      <w:r w:rsidRPr="00D93CCD">
        <w:rPr>
          <w:rFonts w:asciiTheme="minorBidi" w:hAnsiTheme="minorBidi" w:cstheme="minorBidi"/>
          <w:sz w:val="22"/>
          <w:szCs w:val="22"/>
        </w:rPr>
        <w:t xml:space="preserve">ommittee had recommended the Financial </w:t>
      </w:r>
      <w:r>
        <w:rPr>
          <w:rFonts w:asciiTheme="minorBidi" w:hAnsiTheme="minorBidi" w:cstheme="minorBidi"/>
          <w:sz w:val="22"/>
          <w:szCs w:val="22"/>
        </w:rPr>
        <w:t>A</w:t>
      </w:r>
      <w:r w:rsidRPr="00D93CCD">
        <w:rPr>
          <w:rFonts w:asciiTheme="minorBidi" w:hAnsiTheme="minorBidi" w:cstheme="minorBidi"/>
          <w:sz w:val="22"/>
          <w:szCs w:val="22"/>
        </w:rPr>
        <w:t xml:space="preserve">ccounts for approval. </w:t>
      </w:r>
      <w:r>
        <w:rPr>
          <w:rFonts w:asciiTheme="minorBidi" w:hAnsiTheme="minorBidi" w:cstheme="minorBidi"/>
          <w:sz w:val="22"/>
          <w:szCs w:val="22"/>
        </w:rPr>
        <w:t>Court</w:t>
      </w:r>
      <w:r w:rsidRPr="00D93CCD">
        <w:rPr>
          <w:rFonts w:asciiTheme="minorBidi" w:hAnsiTheme="minorBidi" w:cstheme="minorBidi"/>
          <w:sz w:val="22"/>
          <w:szCs w:val="22"/>
        </w:rPr>
        <w:t xml:space="preserve"> noted that there were no material </w:t>
      </w:r>
      <w:r>
        <w:rPr>
          <w:rFonts w:asciiTheme="minorBidi" w:hAnsiTheme="minorBidi" w:cstheme="minorBidi"/>
          <w:sz w:val="22"/>
          <w:szCs w:val="22"/>
        </w:rPr>
        <w:t>points</w:t>
      </w:r>
      <w:r w:rsidRPr="00D93CCD">
        <w:rPr>
          <w:rFonts w:asciiTheme="minorBidi" w:hAnsiTheme="minorBidi" w:cstheme="minorBidi"/>
          <w:sz w:val="22"/>
          <w:szCs w:val="22"/>
        </w:rPr>
        <w:t xml:space="preserve"> of disagreement with management.</w:t>
      </w:r>
      <w:r>
        <w:rPr>
          <w:rFonts w:asciiTheme="minorBidi" w:hAnsiTheme="minorBidi" w:cstheme="minorBidi"/>
          <w:sz w:val="22"/>
          <w:szCs w:val="22"/>
        </w:rPr>
        <w:t xml:space="preserve"> The Chair of Finance Committee reported that Finance Committee also recommended the Financial Accounts for approval.</w:t>
      </w:r>
    </w:p>
    <w:p w14:paraId="53293BEF" w14:textId="171273CD" w:rsidR="00B664CC" w:rsidRDefault="00B664CC" w:rsidP="00B664CC">
      <w:pPr>
        <w:keepNext/>
        <w:tabs>
          <w:tab w:val="left" w:pos="850"/>
        </w:tabs>
        <w:spacing w:after="120"/>
        <w:ind w:right="-46"/>
        <w:rPr>
          <w:rFonts w:asciiTheme="minorBidi" w:hAnsiTheme="minorBidi" w:cstheme="minorBidi"/>
          <w:sz w:val="22"/>
          <w:szCs w:val="22"/>
        </w:rPr>
      </w:pPr>
      <w:r>
        <w:rPr>
          <w:rFonts w:asciiTheme="minorBidi" w:hAnsiTheme="minorBidi" w:cstheme="minorBidi"/>
          <w:sz w:val="22"/>
          <w:szCs w:val="22"/>
        </w:rPr>
        <w:t>Court noted th</w:t>
      </w:r>
      <w:r w:rsidR="007064A2">
        <w:rPr>
          <w:rFonts w:asciiTheme="minorBidi" w:hAnsiTheme="minorBidi" w:cstheme="minorBidi"/>
          <w:sz w:val="22"/>
          <w:szCs w:val="22"/>
        </w:rPr>
        <w:t xml:space="preserve">at </w:t>
      </w:r>
      <w:r>
        <w:rPr>
          <w:rFonts w:asciiTheme="minorBidi" w:hAnsiTheme="minorBidi" w:cstheme="minorBidi"/>
          <w:sz w:val="22"/>
          <w:szCs w:val="22"/>
        </w:rPr>
        <w:t>discussion a</w:t>
      </w:r>
      <w:r w:rsidR="003204E8">
        <w:rPr>
          <w:rFonts w:asciiTheme="minorBidi" w:hAnsiTheme="minorBidi" w:cstheme="minorBidi"/>
          <w:sz w:val="22"/>
          <w:szCs w:val="22"/>
        </w:rPr>
        <w:t xml:space="preserve">t </w:t>
      </w:r>
      <w:r>
        <w:rPr>
          <w:rFonts w:asciiTheme="minorBidi" w:hAnsiTheme="minorBidi" w:cstheme="minorBidi"/>
          <w:sz w:val="22"/>
          <w:szCs w:val="22"/>
        </w:rPr>
        <w:t>the Finance and A</w:t>
      </w:r>
      <w:r w:rsidR="003204E8">
        <w:rPr>
          <w:rFonts w:asciiTheme="minorBidi" w:hAnsiTheme="minorBidi" w:cstheme="minorBidi"/>
          <w:sz w:val="22"/>
          <w:szCs w:val="22"/>
        </w:rPr>
        <w:t>ud</w:t>
      </w:r>
      <w:r>
        <w:rPr>
          <w:rFonts w:asciiTheme="minorBidi" w:hAnsiTheme="minorBidi" w:cstheme="minorBidi"/>
          <w:sz w:val="22"/>
          <w:szCs w:val="22"/>
        </w:rPr>
        <w:t>it</w:t>
      </w:r>
      <w:r w:rsidR="003204E8">
        <w:rPr>
          <w:rFonts w:asciiTheme="minorBidi" w:hAnsiTheme="minorBidi" w:cstheme="minorBidi"/>
          <w:sz w:val="22"/>
          <w:szCs w:val="22"/>
        </w:rPr>
        <w:t xml:space="preserve"> and Risk Committee</w:t>
      </w:r>
      <w:r w:rsidR="007064A2">
        <w:rPr>
          <w:rFonts w:asciiTheme="minorBidi" w:hAnsiTheme="minorBidi" w:cstheme="minorBidi"/>
          <w:sz w:val="22"/>
          <w:szCs w:val="22"/>
        </w:rPr>
        <w:t>s</w:t>
      </w:r>
      <w:r>
        <w:rPr>
          <w:rFonts w:asciiTheme="minorBidi" w:hAnsiTheme="minorBidi" w:cstheme="minorBidi"/>
          <w:sz w:val="22"/>
          <w:szCs w:val="22"/>
        </w:rPr>
        <w:t xml:space="preserve"> </w:t>
      </w:r>
      <w:r w:rsidR="003204E8">
        <w:rPr>
          <w:rFonts w:asciiTheme="minorBidi" w:hAnsiTheme="minorBidi" w:cstheme="minorBidi"/>
          <w:sz w:val="22"/>
          <w:szCs w:val="22"/>
        </w:rPr>
        <w:t xml:space="preserve">had led to changes </w:t>
      </w:r>
      <w:r w:rsidR="00C912D1">
        <w:rPr>
          <w:rFonts w:asciiTheme="minorBidi" w:hAnsiTheme="minorBidi" w:cstheme="minorBidi"/>
          <w:sz w:val="22"/>
          <w:szCs w:val="22"/>
        </w:rPr>
        <w:t>in</w:t>
      </w:r>
      <w:r>
        <w:rPr>
          <w:rFonts w:asciiTheme="minorBidi" w:hAnsiTheme="minorBidi" w:cstheme="minorBidi"/>
          <w:sz w:val="22"/>
          <w:szCs w:val="22"/>
        </w:rPr>
        <w:t xml:space="preserve"> t</w:t>
      </w:r>
      <w:r w:rsidRPr="004572F8">
        <w:rPr>
          <w:rFonts w:asciiTheme="minorBidi" w:hAnsiTheme="minorBidi" w:cstheme="minorBidi"/>
          <w:sz w:val="22"/>
          <w:szCs w:val="22"/>
        </w:rPr>
        <w:t xml:space="preserve">he narrative section of the annual financial statements </w:t>
      </w:r>
      <w:r w:rsidR="00C912D1">
        <w:rPr>
          <w:rFonts w:asciiTheme="minorBidi" w:hAnsiTheme="minorBidi" w:cstheme="minorBidi"/>
          <w:sz w:val="22"/>
          <w:szCs w:val="22"/>
        </w:rPr>
        <w:t>with the text</w:t>
      </w:r>
      <w:r w:rsidRPr="004572F8">
        <w:rPr>
          <w:rFonts w:asciiTheme="minorBidi" w:hAnsiTheme="minorBidi" w:cstheme="minorBidi"/>
          <w:sz w:val="22"/>
          <w:szCs w:val="22"/>
        </w:rPr>
        <w:t xml:space="preserve"> reflecting both the university’s strong financial performance and the significant challenges facing the sector. </w:t>
      </w:r>
    </w:p>
    <w:p w14:paraId="34B07127" w14:textId="430A3F44" w:rsidR="00F04610" w:rsidRPr="00F04610" w:rsidRDefault="00B963ED" w:rsidP="00F04610">
      <w:pPr>
        <w:keepNext/>
        <w:tabs>
          <w:tab w:val="left" w:pos="850"/>
        </w:tabs>
        <w:spacing w:after="120"/>
        <w:ind w:right="-46"/>
        <w:rPr>
          <w:rFonts w:asciiTheme="minorBidi" w:hAnsiTheme="minorBidi" w:cstheme="minorBidi"/>
          <w:sz w:val="22"/>
          <w:szCs w:val="22"/>
        </w:rPr>
      </w:pPr>
      <w:r w:rsidRPr="00B963ED">
        <w:rPr>
          <w:rFonts w:asciiTheme="minorBidi" w:hAnsiTheme="minorBidi" w:cstheme="minorBidi"/>
          <w:sz w:val="22"/>
          <w:szCs w:val="22"/>
        </w:rPr>
        <w:t xml:space="preserve">During the discussion a query was raised about University’s </w:t>
      </w:r>
      <w:r w:rsidR="00A87D24">
        <w:rPr>
          <w:rFonts w:asciiTheme="minorBidi" w:hAnsiTheme="minorBidi" w:cstheme="minorBidi"/>
          <w:sz w:val="22"/>
          <w:szCs w:val="22"/>
        </w:rPr>
        <w:t xml:space="preserve">relatively </w:t>
      </w:r>
      <w:r w:rsidRPr="00B963ED">
        <w:rPr>
          <w:rFonts w:asciiTheme="minorBidi" w:hAnsiTheme="minorBidi" w:cstheme="minorBidi"/>
          <w:sz w:val="22"/>
          <w:szCs w:val="22"/>
        </w:rPr>
        <w:t>high liquidity</w:t>
      </w:r>
      <w:r w:rsidR="00C912D1">
        <w:rPr>
          <w:rFonts w:asciiTheme="minorBidi" w:hAnsiTheme="minorBidi" w:cstheme="minorBidi"/>
          <w:sz w:val="22"/>
          <w:szCs w:val="22"/>
        </w:rPr>
        <w:t>. M</w:t>
      </w:r>
      <w:r w:rsidRPr="00B963ED">
        <w:rPr>
          <w:rFonts w:asciiTheme="minorBidi" w:hAnsiTheme="minorBidi" w:cstheme="minorBidi"/>
          <w:sz w:val="22"/>
          <w:szCs w:val="22"/>
        </w:rPr>
        <w:t xml:space="preserve">anagement confirmed that a reserves policy </w:t>
      </w:r>
      <w:r>
        <w:rPr>
          <w:rFonts w:asciiTheme="minorBidi" w:hAnsiTheme="minorBidi" w:cstheme="minorBidi"/>
          <w:sz w:val="22"/>
          <w:szCs w:val="22"/>
        </w:rPr>
        <w:t>was</w:t>
      </w:r>
      <w:r w:rsidRPr="00B963ED">
        <w:rPr>
          <w:rFonts w:asciiTheme="minorBidi" w:hAnsiTheme="minorBidi" w:cstheme="minorBidi"/>
          <w:sz w:val="22"/>
          <w:szCs w:val="22"/>
        </w:rPr>
        <w:t xml:space="preserve"> embedded in</w:t>
      </w:r>
      <w:r w:rsidR="007064A2">
        <w:rPr>
          <w:rFonts w:asciiTheme="minorBidi" w:hAnsiTheme="minorBidi" w:cstheme="minorBidi"/>
          <w:sz w:val="22"/>
          <w:szCs w:val="22"/>
        </w:rPr>
        <w:t xml:space="preserve">to </w:t>
      </w:r>
      <w:r w:rsidRPr="00B963ED">
        <w:rPr>
          <w:rFonts w:asciiTheme="minorBidi" w:hAnsiTheme="minorBidi" w:cstheme="minorBidi"/>
          <w:sz w:val="22"/>
          <w:szCs w:val="22"/>
        </w:rPr>
        <w:t xml:space="preserve">the financial framework </w:t>
      </w:r>
      <w:r w:rsidR="00A87D24">
        <w:rPr>
          <w:rFonts w:asciiTheme="minorBidi" w:hAnsiTheme="minorBidi" w:cstheme="minorBidi"/>
          <w:sz w:val="22"/>
          <w:szCs w:val="22"/>
        </w:rPr>
        <w:t xml:space="preserve">and that investment of these assets </w:t>
      </w:r>
      <w:r w:rsidR="00AC3015">
        <w:rPr>
          <w:rFonts w:asciiTheme="minorBidi" w:hAnsiTheme="minorBidi" w:cstheme="minorBidi"/>
          <w:sz w:val="22"/>
          <w:szCs w:val="22"/>
        </w:rPr>
        <w:t>is</w:t>
      </w:r>
      <w:r w:rsidR="00A87D24">
        <w:rPr>
          <w:rFonts w:asciiTheme="minorBidi" w:hAnsiTheme="minorBidi" w:cstheme="minorBidi"/>
          <w:sz w:val="22"/>
          <w:szCs w:val="22"/>
        </w:rPr>
        <w:t xml:space="preserve"> </w:t>
      </w:r>
      <w:r w:rsidRPr="00B963ED">
        <w:rPr>
          <w:rFonts w:asciiTheme="minorBidi" w:hAnsiTheme="minorBidi" w:cstheme="minorBidi"/>
          <w:sz w:val="22"/>
          <w:szCs w:val="22"/>
        </w:rPr>
        <w:t>overseen by a dedicated cash committee to ensure prudent investment and alignment with strategic priorities.</w:t>
      </w:r>
      <w:r w:rsidRPr="00F04610">
        <w:rPr>
          <w:rFonts w:asciiTheme="minorBidi" w:hAnsiTheme="minorBidi" w:cstheme="minorBidi"/>
          <w:sz w:val="22"/>
          <w:szCs w:val="22"/>
        </w:rPr>
        <w:t xml:space="preserve"> </w:t>
      </w:r>
      <w:r w:rsidR="00F04610">
        <w:rPr>
          <w:rFonts w:asciiTheme="minorBidi" w:hAnsiTheme="minorBidi" w:cstheme="minorBidi"/>
          <w:sz w:val="22"/>
          <w:szCs w:val="22"/>
        </w:rPr>
        <w:t>A</w:t>
      </w:r>
      <w:r w:rsidR="00F04610" w:rsidRPr="009010F2">
        <w:rPr>
          <w:rFonts w:asciiTheme="minorBidi" w:hAnsiTheme="minorBidi" w:cstheme="minorBidi"/>
          <w:sz w:val="22"/>
          <w:szCs w:val="22"/>
        </w:rPr>
        <w:t xml:space="preserve"> member raised the issue of </w:t>
      </w:r>
      <w:r w:rsidR="00F04610" w:rsidRPr="00F04610">
        <w:rPr>
          <w:rFonts w:asciiTheme="minorBidi" w:hAnsiTheme="minorBidi" w:cstheme="minorBidi"/>
          <w:sz w:val="22"/>
          <w:szCs w:val="22"/>
        </w:rPr>
        <w:t>OSCR (the Scottish Charity Regulator) expectations regarding reserves policies, noting that OSCR typically require</w:t>
      </w:r>
      <w:r w:rsidR="00F04610">
        <w:rPr>
          <w:rFonts w:asciiTheme="minorBidi" w:hAnsiTheme="minorBidi" w:cstheme="minorBidi"/>
          <w:sz w:val="22"/>
          <w:szCs w:val="22"/>
        </w:rPr>
        <w:t>d</w:t>
      </w:r>
      <w:r w:rsidR="00F04610" w:rsidRPr="00F04610">
        <w:rPr>
          <w:rFonts w:asciiTheme="minorBidi" w:hAnsiTheme="minorBidi" w:cstheme="minorBidi"/>
          <w:sz w:val="22"/>
          <w:szCs w:val="22"/>
        </w:rPr>
        <w:t xml:space="preserve"> charities to articulate how reserves </w:t>
      </w:r>
      <w:r w:rsidR="00F04610">
        <w:rPr>
          <w:rFonts w:asciiTheme="minorBidi" w:hAnsiTheme="minorBidi" w:cstheme="minorBidi"/>
          <w:sz w:val="22"/>
          <w:szCs w:val="22"/>
        </w:rPr>
        <w:t>were</w:t>
      </w:r>
      <w:r w:rsidR="00F04610" w:rsidRPr="00F04610">
        <w:rPr>
          <w:rFonts w:asciiTheme="minorBidi" w:hAnsiTheme="minorBidi" w:cstheme="minorBidi"/>
          <w:sz w:val="22"/>
          <w:szCs w:val="22"/>
        </w:rPr>
        <w:t xml:space="preserve"> held, managed, and designated, including whether any </w:t>
      </w:r>
      <w:r w:rsidR="00F04610" w:rsidRPr="00F04610">
        <w:rPr>
          <w:rFonts w:asciiTheme="minorBidi" w:hAnsiTheme="minorBidi" w:cstheme="minorBidi"/>
          <w:i/>
          <w:iCs/>
          <w:sz w:val="22"/>
          <w:szCs w:val="22"/>
        </w:rPr>
        <w:t>excess reserves</w:t>
      </w:r>
      <w:r w:rsidR="00F04610" w:rsidRPr="00F04610">
        <w:rPr>
          <w:rFonts w:asciiTheme="minorBidi" w:hAnsiTheme="minorBidi" w:cstheme="minorBidi"/>
          <w:sz w:val="22"/>
          <w:szCs w:val="22"/>
        </w:rPr>
        <w:t xml:space="preserve"> exist</w:t>
      </w:r>
      <w:r w:rsidR="00AC3015">
        <w:rPr>
          <w:rFonts w:asciiTheme="minorBidi" w:hAnsiTheme="minorBidi" w:cstheme="minorBidi"/>
          <w:sz w:val="22"/>
          <w:szCs w:val="22"/>
        </w:rPr>
        <w:t>ed</w:t>
      </w:r>
      <w:r w:rsidR="00F04610">
        <w:rPr>
          <w:rFonts w:asciiTheme="minorBidi" w:hAnsiTheme="minorBidi" w:cstheme="minorBidi"/>
          <w:sz w:val="22"/>
          <w:szCs w:val="22"/>
        </w:rPr>
        <w:t>.</w:t>
      </w:r>
      <w:r w:rsidR="00F04610" w:rsidRPr="00F04610">
        <w:rPr>
          <w:rFonts w:ascii="Segoe UI" w:hAnsi="Segoe UI" w:cs="Segoe UI"/>
          <w:kern w:val="0"/>
          <w:sz w:val="21"/>
          <w:szCs w:val="21"/>
        </w:rPr>
        <w:t xml:space="preserve"> </w:t>
      </w:r>
      <w:r w:rsidR="00F04610">
        <w:rPr>
          <w:rFonts w:asciiTheme="minorBidi" w:hAnsiTheme="minorBidi" w:cstheme="minorBidi"/>
          <w:sz w:val="22"/>
          <w:szCs w:val="22"/>
        </w:rPr>
        <w:t>M</w:t>
      </w:r>
      <w:r w:rsidR="00F04610" w:rsidRPr="00F04610">
        <w:rPr>
          <w:rFonts w:asciiTheme="minorBidi" w:hAnsiTheme="minorBidi" w:cstheme="minorBidi"/>
          <w:sz w:val="22"/>
          <w:szCs w:val="22"/>
        </w:rPr>
        <w:t>anagement confirmed that the University does operate a Reserves Policy embedded within the financial framework, reviewed annually as part of the budget cycle, and supplemented by oversight from a Cash Committee which monitors the use, investment, and designation of cash balances.</w:t>
      </w:r>
    </w:p>
    <w:p w14:paraId="148C8214" w14:textId="6FF1B843" w:rsidR="002F7462" w:rsidRDefault="00B963ED" w:rsidP="00B664CC">
      <w:pPr>
        <w:keepNext/>
        <w:tabs>
          <w:tab w:val="left" w:pos="850"/>
        </w:tabs>
        <w:spacing w:after="120"/>
        <w:ind w:right="-46"/>
        <w:rPr>
          <w:rFonts w:asciiTheme="minorBidi" w:hAnsiTheme="minorBidi" w:cstheme="minorBidi"/>
          <w:sz w:val="22"/>
          <w:szCs w:val="22"/>
        </w:rPr>
      </w:pPr>
      <w:r>
        <w:rPr>
          <w:rFonts w:asciiTheme="minorBidi" w:hAnsiTheme="minorBidi" w:cstheme="minorBidi"/>
          <w:sz w:val="22"/>
          <w:szCs w:val="22"/>
        </w:rPr>
        <w:t>Court noted th</w:t>
      </w:r>
      <w:r w:rsidR="007064A2">
        <w:rPr>
          <w:rFonts w:asciiTheme="minorBidi" w:hAnsiTheme="minorBidi" w:cstheme="minorBidi"/>
          <w:sz w:val="22"/>
          <w:szCs w:val="22"/>
        </w:rPr>
        <w:t>at there was a</w:t>
      </w:r>
      <w:r w:rsidRPr="00590858">
        <w:rPr>
          <w:rFonts w:asciiTheme="minorBidi" w:hAnsiTheme="minorBidi" w:cstheme="minorBidi"/>
          <w:sz w:val="22"/>
          <w:szCs w:val="22"/>
        </w:rPr>
        <w:t xml:space="preserve"> long-term strategy for repaying the £245 million bond maturing in 2040, </w:t>
      </w:r>
      <w:r>
        <w:rPr>
          <w:rFonts w:asciiTheme="minorBidi" w:hAnsiTheme="minorBidi" w:cstheme="minorBidi"/>
          <w:sz w:val="22"/>
          <w:szCs w:val="22"/>
        </w:rPr>
        <w:t xml:space="preserve">with management </w:t>
      </w:r>
      <w:r w:rsidRPr="00590858">
        <w:rPr>
          <w:rFonts w:asciiTheme="minorBidi" w:hAnsiTheme="minorBidi" w:cstheme="minorBidi"/>
          <w:sz w:val="22"/>
          <w:szCs w:val="22"/>
        </w:rPr>
        <w:t>emphasi</w:t>
      </w:r>
      <w:r>
        <w:rPr>
          <w:rFonts w:asciiTheme="minorBidi" w:hAnsiTheme="minorBidi" w:cstheme="minorBidi"/>
          <w:sz w:val="22"/>
          <w:szCs w:val="22"/>
        </w:rPr>
        <w:t>s</w:t>
      </w:r>
      <w:r w:rsidRPr="00590858">
        <w:rPr>
          <w:rFonts w:asciiTheme="minorBidi" w:hAnsiTheme="minorBidi" w:cstheme="minorBidi"/>
          <w:sz w:val="22"/>
          <w:szCs w:val="22"/>
        </w:rPr>
        <w:t xml:space="preserve">ing the importance of </w:t>
      </w:r>
      <w:r w:rsidR="00A87D24">
        <w:rPr>
          <w:rFonts w:asciiTheme="minorBidi" w:hAnsiTheme="minorBidi" w:cstheme="minorBidi"/>
          <w:sz w:val="22"/>
          <w:szCs w:val="22"/>
        </w:rPr>
        <w:t xml:space="preserve">maintaining </w:t>
      </w:r>
      <w:r w:rsidRPr="00590858">
        <w:rPr>
          <w:rFonts w:asciiTheme="minorBidi" w:hAnsiTheme="minorBidi" w:cstheme="minorBidi"/>
          <w:sz w:val="22"/>
          <w:szCs w:val="22"/>
        </w:rPr>
        <w:t xml:space="preserve">sufficient reserves to avoid passing the full liability to future generations. </w:t>
      </w:r>
      <w:r w:rsidR="00A87D24">
        <w:rPr>
          <w:rFonts w:asciiTheme="minorBidi" w:hAnsiTheme="minorBidi" w:cstheme="minorBidi"/>
          <w:sz w:val="22"/>
          <w:szCs w:val="22"/>
        </w:rPr>
        <w:t xml:space="preserve">It was noted that the reserves policy included an approach in respect of the bond liability </w:t>
      </w:r>
      <w:r w:rsidR="00F24D96">
        <w:rPr>
          <w:rFonts w:asciiTheme="minorBidi" w:hAnsiTheme="minorBidi" w:cstheme="minorBidi"/>
          <w:sz w:val="22"/>
          <w:szCs w:val="22"/>
        </w:rPr>
        <w:t xml:space="preserve">which </w:t>
      </w:r>
      <w:r>
        <w:rPr>
          <w:rFonts w:asciiTheme="minorBidi" w:hAnsiTheme="minorBidi" w:cstheme="minorBidi"/>
          <w:sz w:val="22"/>
          <w:szCs w:val="22"/>
        </w:rPr>
        <w:t>was</w:t>
      </w:r>
      <w:r w:rsidRPr="00590858">
        <w:rPr>
          <w:rFonts w:asciiTheme="minorBidi" w:hAnsiTheme="minorBidi" w:cstheme="minorBidi"/>
          <w:sz w:val="22"/>
          <w:szCs w:val="22"/>
        </w:rPr>
        <w:t xml:space="preserve"> to accumulate a sinking fund capable of covering 50% of the repayment</w:t>
      </w:r>
      <w:r>
        <w:rPr>
          <w:rFonts w:asciiTheme="minorBidi" w:hAnsiTheme="minorBidi" w:cstheme="minorBidi"/>
          <w:sz w:val="22"/>
          <w:szCs w:val="22"/>
        </w:rPr>
        <w:t>.</w:t>
      </w:r>
      <w:r w:rsidRPr="00B963ED">
        <w:t xml:space="preserve"> </w:t>
      </w:r>
      <w:r w:rsidRPr="00B963ED">
        <w:rPr>
          <w:rFonts w:asciiTheme="minorBidi" w:hAnsiTheme="minorBidi" w:cstheme="minorBidi"/>
          <w:sz w:val="22"/>
          <w:szCs w:val="22"/>
        </w:rPr>
        <w:t xml:space="preserve">Members </w:t>
      </w:r>
      <w:r>
        <w:rPr>
          <w:rFonts w:asciiTheme="minorBidi" w:hAnsiTheme="minorBidi" w:cstheme="minorBidi"/>
          <w:sz w:val="22"/>
          <w:szCs w:val="22"/>
        </w:rPr>
        <w:t xml:space="preserve">also </w:t>
      </w:r>
      <w:r w:rsidRPr="00B963ED">
        <w:rPr>
          <w:rFonts w:asciiTheme="minorBidi" w:hAnsiTheme="minorBidi" w:cstheme="minorBidi"/>
          <w:sz w:val="22"/>
          <w:szCs w:val="22"/>
        </w:rPr>
        <w:t xml:space="preserve">discussed the potential impact of a downturn in international student recruitment, noting early signs </w:t>
      </w:r>
      <w:r w:rsidR="007064A2">
        <w:rPr>
          <w:rFonts w:asciiTheme="minorBidi" w:hAnsiTheme="minorBidi" w:cstheme="minorBidi"/>
          <w:sz w:val="22"/>
          <w:szCs w:val="22"/>
        </w:rPr>
        <w:t>showed a</w:t>
      </w:r>
      <w:r w:rsidRPr="00B963ED">
        <w:rPr>
          <w:rFonts w:asciiTheme="minorBidi" w:hAnsiTheme="minorBidi" w:cstheme="minorBidi"/>
          <w:sz w:val="22"/>
          <w:szCs w:val="22"/>
        </w:rPr>
        <w:t xml:space="preserve"> softening in the 2026 cycl</w:t>
      </w:r>
      <w:r>
        <w:rPr>
          <w:rFonts w:asciiTheme="minorBidi" w:hAnsiTheme="minorBidi" w:cstheme="minorBidi"/>
          <w:sz w:val="22"/>
          <w:szCs w:val="22"/>
        </w:rPr>
        <w:t>e</w:t>
      </w:r>
      <w:r w:rsidRPr="00B963ED">
        <w:rPr>
          <w:rFonts w:asciiTheme="minorBidi" w:hAnsiTheme="minorBidi" w:cstheme="minorBidi"/>
          <w:sz w:val="22"/>
          <w:szCs w:val="22"/>
        </w:rPr>
        <w:t xml:space="preserve">. Court </w:t>
      </w:r>
      <w:r w:rsidR="00C912D1">
        <w:rPr>
          <w:rFonts w:asciiTheme="minorBidi" w:hAnsiTheme="minorBidi" w:cstheme="minorBidi"/>
          <w:sz w:val="22"/>
          <w:szCs w:val="22"/>
        </w:rPr>
        <w:t xml:space="preserve">was assured </w:t>
      </w:r>
      <w:r w:rsidRPr="00B963ED">
        <w:rPr>
          <w:rFonts w:asciiTheme="minorBidi" w:hAnsiTheme="minorBidi" w:cstheme="minorBidi"/>
          <w:sz w:val="22"/>
          <w:szCs w:val="22"/>
        </w:rPr>
        <w:t xml:space="preserve">that reserves </w:t>
      </w:r>
      <w:r>
        <w:rPr>
          <w:rFonts w:asciiTheme="minorBidi" w:hAnsiTheme="minorBidi" w:cstheme="minorBidi"/>
          <w:sz w:val="22"/>
          <w:szCs w:val="22"/>
        </w:rPr>
        <w:t xml:space="preserve">were </w:t>
      </w:r>
      <w:r w:rsidRPr="00B963ED">
        <w:rPr>
          <w:rFonts w:asciiTheme="minorBidi" w:hAnsiTheme="minorBidi" w:cstheme="minorBidi"/>
          <w:sz w:val="22"/>
          <w:szCs w:val="22"/>
        </w:rPr>
        <w:t xml:space="preserve">sufficient to absorb a 25% shock </w:t>
      </w:r>
      <w:r w:rsidR="00F24D96">
        <w:rPr>
          <w:rFonts w:asciiTheme="minorBidi" w:hAnsiTheme="minorBidi" w:cstheme="minorBidi"/>
          <w:sz w:val="22"/>
          <w:szCs w:val="22"/>
        </w:rPr>
        <w:t xml:space="preserve">in numbers </w:t>
      </w:r>
      <w:r w:rsidRPr="00B963ED">
        <w:rPr>
          <w:rFonts w:asciiTheme="minorBidi" w:hAnsiTheme="minorBidi" w:cstheme="minorBidi"/>
          <w:sz w:val="22"/>
          <w:szCs w:val="22"/>
        </w:rPr>
        <w:t xml:space="preserve">without immediate crisis </w:t>
      </w:r>
      <w:r w:rsidR="002F7462" w:rsidRPr="00B963ED">
        <w:rPr>
          <w:rFonts w:asciiTheme="minorBidi" w:hAnsiTheme="minorBidi" w:cstheme="minorBidi"/>
          <w:sz w:val="22"/>
          <w:szCs w:val="22"/>
        </w:rPr>
        <w:t>measures but</w:t>
      </w:r>
      <w:r w:rsidRPr="00B963ED">
        <w:rPr>
          <w:rFonts w:asciiTheme="minorBidi" w:hAnsiTheme="minorBidi" w:cstheme="minorBidi"/>
          <w:sz w:val="22"/>
          <w:szCs w:val="22"/>
        </w:rPr>
        <w:t xml:space="preserve"> the need for ongoing scenario planning and diversification of income streams</w:t>
      </w:r>
      <w:r>
        <w:rPr>
          <w:rFonts w:asciiTheme="minorBidi" w:hAnsiTheme="minorBidi" w:cstheme="minorBidi"/>
          <w:sz w:val="22"/>
          <w:szCs w:val="22"/>
        </w:rPr>
        <w:t xml:space="preserve"> to ensure financial sustainability</w:t>
      </w:r>
      <w:r w:rsidR="00C912D1">
        <w:rPr>
          <w:rFonts w:asciiTheme="minorBidi" w:hAnsiTheme="minorBidi" w:cstheme="minorBidi"/>
          <w:sz w:val="22"/>
          <w:szCs w:val="22"/>
        </w:rPr>
        <w:t xml:space="preserve"> were emphasised</w:t>
      </w:r>
      <w:r w:rsidRPr="00B963ED">
        <w:rPr>
          <w:rFonts w:asciiTheme="minorBidi" w:hAnsiTheme="minorBidi" w:cstheme="minorBidi"/>
          <w:sz w:val="22"/>
          <w:szCs w:val="22"/>
        </w:rPr>
        <w:t>.</w:t>
      </w:r>
    </w:p>
    <w:p w14:paraId="2275111A" w14:textId="5AFBC64B" w:rsidR="002F7462" w:rsidRPr="00FD2A27" w:rsidRDefault="002F7462" w:rsidP="00B664CC">
      <w:pPr>
        <w:keepNext/>
        <w:tabs>
          <w:tab w:val="left" w:pos="850"/>
        </w:tabs>
        <w:spacing w:after="120"/>
        <w:ind w:right="-46"/>
        <w:rPr>
          <w:rFonts w:asciiTheme="minorBidi" w:hAnsiTheme="minorBidi" w:cstheme="minorBidi"/>
          <w:sz w:val="22"/>
          <w:szCs w:val="22"/>
        </w:rPr>
      </w:pPr>
      <w:r w:rsidRPr="002F7462">
        <w:rPr>
          <w:rFonts w:asciiTheme="minorBidi" w:hAnsiTheme="minorBidi" w:cstheme="minorBidi"/>
          <w:sz w:val="22"/>
          <w:szCs w:val="22"/>
        </w:rPr>
        <w:t>Court noted that USS projections currently assume</w:t>
      </w:r>
      <w:r>
        <w:rPr>
          <w:rFonts w:asciiTheme="minorBidi" w:hAnsiTheme="minorBidi" w:cstheme="minorBidi"/>
          <w:sz w:val="22"/>
          <w:szCs w:val="22"/>
        </w:rPr>
        <w:t>d</w:t>
      </w:r>
      <w:r w:rsidRPr="002F7462">
        <w:rPr>
          <w:rFonts w:asciiTheme="minorBidi" w:hAnsiTheme="minorBidi" w:cstheme="minorBidi"/>
          <w:sz w:val="22"/>
          <w:szCs w:val="22"/>
        </w:rPr>
        <w:t xml:space="preserve"> increased employer contributions after the next valuation cycle</w:t>
      </w:r>
      <w:r w:rsidR="00F24D96">
        <w:rPr>
          <w:rFonts w:asciiTheme="minorBidi" w:hAnsiTheme="minorBidi" w:cstheme="minorBidi"/>
          <w:sz w:val="22"/>
          <w:szCs w:val="22"/>
        </w:rPr>
        <w:t xml:space="preserve"> and that all </w:t>
      </w:r>
      <w:r>
        <w:rPr>
          <w:rFonts w:asciiTheme="minorBidi" w:hAnsiTheme="minorBidi" w:cstheme="minorBidi"/>
          <w:sz w:val="22"/>
          <w:szCs w:val="22"/>
        </w:rPr>
        <w:t>the assumptions would be revisited</w:t>
      </w:r>
      <w:r w:rsidR="00C912D1">
        <w:rPr>
          <w:rFonts w:asciiTheme="minorBidi" w:hAnsiTheme="minorBidi" w:cstheme="minorBidi"/>
          <w:sz w:val="22"/>
          <w:szCs w:val="22"/>
        </w:rPr>
        <w:t xml:space="preserve"> in March 2026.</w:t>
      </w:r>
      <w:r>
        <w:rPr>
          <w:rFonts w:asciiTheme="minorBidi" w:hAnsiTheme="minorBidi" w:cstheme="minorBidi"/>
          <w:sz w:val="22"/>
          <w:szCs w:val="22"/>
        </w:rPr>
        <w:t xml:space="preserve"> </w:t>
      </w:r>
      <w:r w:rsidRPr="002F7462">
        <w:rPr>
          <w:rFonts w:asciiTheme="minorBidi" w:hAnsiTheme="minorBidi" w:cstheme="minorBidi"/>
          <w:sz w:val="22"/>
          <w:szCs w:val="22"/>
        </w:rPr>
        <w:t xml:space="preserve"> </w:t>
      </w:r>
    </w:p>
    <w:p w14:paraId="086FEA0E" w14:textId="23D03087" w:rsidR="00B664CC" w:rsidRDefault="00B664CC" w:rsidP="002B1E2C">
      <w:pPr>
        <w:tabs>
          <w:tab w:val="left" w:pos="0"/>
        </w:tabs>
        <w:autoSpaceDE/>
        <w:autoSpaceDN/>
        <w:spacing w:after="240"/>
        <w:rPr>
          <w:rFonts w:ascii="Arial" w:hAnsi="Arial" w:cs="Arial"/>
          <w:bCs/>
          <w:sz w:val="22"/>
          <w:szCs w:val="22"/>
        </w:rPr>
      </w:pPr>
      <w:r w:rsidRPr="00B664CC">
        <w:rPr>
          <w:rFonts w:ascii="Arial" w:hAnsi="Arial" w:cs="Arial"/>
          <w:bCs/>
          <w:sz w:val="22"/>
          <w:szCs w:val="22"/>
        </w:rPr>
        <w:t>Following discussion, Court approved the Annual Financial Statements</w:t>
      </w:r>
      <w:r>
        <w:rPr>
          <w:rFonts w:ascii="Arial" w:hAnsi="Arial" w:cs="Arial"/>
          <w:bCs/>
          <w:sz w:val="22"/>
          <w:szCs w:val="22"/>
        </w:rPr>
        <w:t xml:space="preserve"> for 2024/25</w:t>
      </w:r>
      <w:r w:rsidRPr="00B664CC">
        <w:rPr>
          <w:rFonts w:ascii="Arial" w:hAnsi="Arial" w:cs="Arial"/>
          <w:bCs/>
          <w:sz w:val="22"/>
          <w:szCs w:val="22"/>
        </w:rPr>
        <w:t xml:space="preserve"> and the Letter of Representation.</w:t>
      </w:r>
    </w:p>
    <w:p w14:paraId="0A029E26" w14:textId="1884211C" w:rsidR="00FE1693" w:rsidRDefault="00FE1693" w:rsidP="002B1E2C">
      <w:pPr>
        <w:tabs>
          <w:tab w:val="left" w:pos="0"/>
        </w:tabs>
        <w:autoSpaceDE/>
        <w:autoSpaceDN/>
        <w:spacing w:after="240"/>
        <w:rPr>
          <w:rFonts w:ascii="Arial" w:hAnsi="Arial" w:cs="Arial"/>
          <w:bCs/>
          <w:sz w:val="22"/>
          <w:szCs w:val="22"/>
        </w:rPr>
      </w:pPr>
      <w:r>
        <w:rPr>
          <w:rFonts w:ascii="Arial" w:hAnsi="Arial" w:cs="Arial"/>
          <w:bCs/>
          <w:sz w:val="22"/>
          <w:szCs w:val="22"/>
        </w:rPr>
        <w:t>Secretary’s Note: Following the Court meeting an email was sent to all Court members to note two changes in the final published version of the Annual Accounts:</w:t>
      </w:r>
    </w:p>
    <w:p w14:paraId="20DD1F2D" w14:textId="4BDED7C6" w:rsidR="00FE1693" w:rsidRPr="00FE1693" w:rsidRDefault="00FE1693" w:rsidP="00FE1693">
      <w:pPr>
        <w:numPr>
          <w:ilvl w:val="0"/>
          <w:numId w:val="5"/>
        </w:numPr>
        <w:tabs>
          <w:tab w:val="left" w:pos="0"/>
        </w:tabs>
        <w:autoSpaceDE/>
        <w:autoSpaceDN/>
        <w:spacing w:after="240"/>
        <w:rPr>
          <w:rFonts w:ascii="Arial" w:hAnsi="Arial" w:cs="Arial"/>
          <w:bCs/>
          <w:sz w:val="22"/>
          <w:szCs w:val="22"/>
        </w:rPr>
      </w:pPr>
      <w:r w:rsidRPr="00FE1693">
        <w:rPr>
          <w:rFonts w:ascii="Arial" w:hAnsi="Arial" w:cs="Arial"/>
          <w:bCs/>
          <w:sz w:val="22"/>
          <w:szCs w:val="22"/>
        </w:rPr>
        <w:t xml:space="preserve">Note 7.  Three non-clinical staff high earners should </w:t>
      </w:r>
      <w:r w:rsidR="0093685B">
        <w:rPr>
          <w:rFonts w:ascii="Arial" w:hAnsi="Arial" w:cs="Arial"/>
          <w:bCs/>
          <w:sz w:val="22"/>
          <w:szCs w:val="22"/>
        </w:rPr>
        <w:t xml:space="preserve">have </w:t>
      </w:r>
      <w:r w:rsidRPr="00FE1693">
        <w:rPr>
          <w:rFonts w:ascii="Arial" w:hAnsi="Arial" w:cs="Arial"/>
          <w:bCs/>
          <w:sz w:val="22"/>
          <w:szCs w:val="22"/>
        </w:rPr>
        <w:t>be</w:t>
      </w:r>
      <w:r w:rsidR="0093685B">
        <w:rPr>
          <w:rFonts w:ascii="Arial" w:hAnsi="Arial" w:cs="Arial"/>
          <w:bCs/>
          <w:sz w:val="22"/>
          <w:szCs w:val="22"/>
        </w:rPr>
        <w:t>en included</w:t>
      </w:r>
      <w:r w:rsidRPr="00FE1693">
        <w:rPr>
          <w:rFonts w:ascii="Arial" w:hAnsi="Arial" w:cs="Arial"/>
          <w:bCs/>
          <w:sz w:val="22"/>
          <w:szCs w:val="22"/>
        </w:rPr>
        <w:t xml:space="preserve"> in the next banding.    A full review of the high earners ha</w:t>
      </w:r>
      <w:r w:rsidR="0093685B">
        <w:rPr>
          <w:rFonts w:ascii="Arial" w:hAnsi="Arial" w:cs="Arial"/>
          <w:bCs/>
          <w:sz w:val="22"/>
          <w:szCs w:val="22"/>
        </w:rPr>
        <w:t>s now</w:t>
      </w:r>
      <w:r w:rsidRPr="00FE1693">
        <w:rPr>
          <w:rFonts w:ascii="Arial" w:hAnsi="Arial" w:cs="Arial"/>
          <w:bCs/>
          <w:sz w:val="22"/>
          <w:szCs w:val="22"/>
        </w:rPr>
        <w:t xml:space="preserve"> been carried out</w:t>
      </w:r>
      <w:r w:rsidR="0093685B">
        <w:rPr>
          <w:rFonts w:ascii="Arial" w:hAnsi="Arial" w:cs="Arial"/>
          <w:bCs/>
          <w:sz w:val="22"/>
          <w:szCs w:val="22"/>
        </w:rPr>
        <w:t xml:space="preserve"> to ensure no further errors</w:t>
      </w:r>
      <w:r w:rsidRPr="00FE1693">
        <w:rPr>
          <w:rFonts w:ascii="Arial" w:hAnsi="Arial" w:cs="Arial"/>
          <w:bCs/>
          <w:sz w:val="22"/>
          <w:szCs w:val="22"/>
        </w:rPr>
        <w:t>.</w:t>
      </w:r>
    </w:p>
    <w:p w14:paraId="432A2137" w14:textId="38EF5301" w:rsidR="00F24D96" w:rsidRPr="008D76D1" w:rsidRDefault="00FE1693" w:rsidP="008D76D1">
      <w:pPr>
        <w:numPr>
          <w:ilvl w:val="0"/>
          <w:numId w:val="5"/>
        </w:numPr>
        <w:tabs>
          <w:tab w:val="left" w:pos="0"/>
        </w:tabs>
        <w:autoSpaceDE/>
        <w:autoSpaceDN/>
        <w:spacing w:after="240"/>
        <w:ind w:left="714" w:hanging="357"/>
        <w:rPr>
          <w:rFonts w:ascii="Arial" w:hAnsi="Arial" w:cs="Arial"/>
          <w:bCs/>
          <w:sz w:val="22"/>
          <w:szCs w:val="22"/>
        </w:rPr>
      </w:pPr>
      <w:r w:rsidRPr="00FE1693">
        <w:rPr>
          <w:rFonts w:ascii="Arial" w:hAnsi="Arial" w:cs="Arial"/>
          <w:bCs/>
          <w:sz w:val="22"/>
          <w:szCs w:val="22"/>
        </w:rPr>
        <w:t>Note 25.   Lease Commitments.  An additional £4.2m need</w:t>
      </w:r>
      <w:r w:rsidR="0093685B">
        <w:rPr>
          <w:rFonts w:ascii="Arial" w:hAnsi="Arial" w:cs="Arial"/>
          <w:bCs/>
          <w:sz w:val="22"/>
          <w:szCs w:val="22"/>
        </w:rPr>
        <w:t>ed</w:t>
      </w:r>
      <w:r w:rsidRPr="00FE1693">
        <w:rPr>
          <w:rFonts w:ascii="Arial" w:hAnsi="Arial" w:cs="Arial"/>
          <w:bCs/>
          <w:sz w:val="22"/>
          <w:szCs w:val="22"/>
        </w:rPr>
        <w:t xml:space="preserve"> </w:t>
      </w:r>
      <w:r w:rsidR="0093685B">
        <w:rPr>
          <w:rFonts w:ascii="Arial" w:hAnsi="Arial" w:cs="Arial"/>
          <w:bCs/>
          <w:sz w:val="22"/>
          <w:szCs w:val="22"/>
        </w:rPr>
        <w:t xml:space="preserve">to be </w:t>
      </w:r>
      <w:r w:rsidRPr="00FE1693">
        <w:rPr>
          <w:rFonts w:ascii="Arial" w:hAnsi="Arial" w:cs="Arial"/>
          <w:bCs/>
          <w:sz w:val="22"/>
          <w:szCs w:val="22"/>
        </w:rPr>
        <w:t xml:space="preserve">included in the </w:t>
      </w:r>
      <w:proofErr w:type="gramStart"/>
      <w:r w:rsidRPr="00FE1693">
        <w:rPr>
          <w:rFonts w:ascii="Arial" w:hAnsi="Arial" w:cs="Arial"/>
          <w:bCs/>
          <w:sz w:val="22"/>
          <w:szCs w:val="22"/>
        </w:rPr>
        <w:t>2-5 year</w:t>
      </w:r>
      <w:proofErr w:type="gramEnd"/>
      <w:r w:rsidRPr="00FE1693">
        <w:rPr>
          <w:rFonts w:ascii="Arial" w:hAnsi="Arial" w:cs="Arial"/>
          <w:bCs/>
          <w:sz w:val="22"/>
          <w:szCs w:val="22"/>
        </w:rPr>
        <w:t xml:space="preserve"> commitments.  This reflect</w:t>
      </w:r>
      <w:r w:rsidR="0093685B">
        <w:rPr>
          <w:rFonts w:ascii="Arial" w:hAnsi="Arial" w:cs="Arial"/>
          <w:bCs/>
          <w:sz w:val="22"/>
          <w:szCs w:val="22"/>
        </w:rPr>
        <w:t>ed</w:t>
      </w:r>
      <w:r w:rsidRPr="00FE1693">
        <w:rPr>
          <w:rFonts w:ascii="Arial" w:hAnsi="Arial" w:cs="Arial"/>
          <w:bCs/>
          <w:sz w:val="22"/>
          <w:szCs w:val="22"/>
        </w:rPr>
        <w:t xml:space="preserve"> an additional year</w:t>
      </w:r>
      <w:r w:rsidR="0093685B">
        <w:rPr>
          <w:rFonts w:ascii="Arial" w:hAnsi="Arial" w:cs="Arial"/>
          <w:bCs/>
          <w:sz w:val="22"/>
          <w:szCs w:val="22"/>
        </w:rPr>
        <w:t xml:space="preserve">’s </w:t>
      </w:r>
      <w:r w:rsidRPr="00FE1693">
        <w:rPr>
          <w:rFonts w:ascii="Arial" w:hAnsi="Arial" w:cs="Arial"/>
          <w:bCs/>
          <w:sz w:val="22"/>
          <w:szCs w:val="22"/>
        </w:rPr>
        <w:t xml:space="preserve">commitment for Kelvin Court and Thurso St as </w:t>
      </w:r>
      <w:r w:rsidR="0093685B">
        <w:rPr>
          <w:rFonts w:ascii="Arial" w:hAnsi="Arial" w:cs="Arial"/>
          <w:bCs/>
          <w:sz w:val="22"/>
          <w:szCs w:val="22"/>
        </w:rPr>
        <w:t>the University</w:t>
      </w:r>
      <w:r w:rsidRPr="00FE1693">
        <w:rPr>
          <w:rFonts w:ascii="Arial" w:hAnsi="Arial" w:cs="Arial"/>
          <w:bCs/>
          <w:sz w:val="22"/>
          <w:szCs w:val="22"/>
        </w:rPr>
        <w:t xml:space="preserve"> did not utilise the break clause</w:t>
      </w:r>
      <w:r w:rsidR="0093685B">
        <w:rPr>
          <w:rFonts w:ascii="Arial" w:hAnsi="Arial" w:cs="Arial"/>
          <w:bCs/>
          <w:sz w:val="22"/>
          <w:szCs w:val="22"/>
        </w:rPr>
        <w:t xml:space="preserve"> </w:t>
      </w:r>
      <w:r w:rsidRPr="00FE1693">
        <w:rPr>
          <w:rFonts w:ascii="Arial" w:hAnsi="Arial" w:cs="Arial"/>
          <w:bCs/>
          <w:sz w:val="22"/>
          <w:szCs w:val="22"/>
        </w:rPr>
        <w:t>during the year</w:t>
      </w:r>
      <w:r w:rsidR="0093685B">
        <w:rPr>
          <w:rFonts w:ascii="Arial" w:hAnsi="Arial" w:cs="Arial"/>
          <w:bCs/>
          <w:sz w:val="22"/>
          <w:szCs w:val="22"/>
        </w:rPr>
        <w:t>.</w:t>
      </w:r>
    </w:p>
    <w:p w14:paraId="783DBF1F" w14:textId="77777777" w:rsidR="00B07312" w:rsidRDefault="002C0502" w:rsidP="00B07312">
      <w:pPr>
        <w:tabs>
          <w:tab w:val="left" w:pos="0"/>
        </w:tabs>
        <w:autoSpaceDE/>
        <w:autoSpaceDN/>
        <w:spacing w:after="120"/>
        <w:jc w:val="both"/>
        <w:rPr>
          <w:rFonts w:ascii="Arial" w:eastAsiaTheme="minorEastAsia" w:hAnsi="Arial" w:cs="Arial"/>
          <w:b/>
          <w:bCs/>
          <w:sz w:val="22"/>
          <w:szCs w:val="22"/>
        </w:rPr>
      </w:pPr>
      <w:r w:rsidRPr="00264694">
        <w:rPr>
          <w:rFonts w:ascii="Arial" w:eastAsiaTheme="minorEastAsia" w:hAnsi="Arial" w:cs="Arial"/>
          <w:b/>
          <w:bCs/>
          <w:sz w:val="22"/>
          <w:szCs w:val="22"/>
        </w:rPr>
        <w:t>CRT/202</w:t>
      </w:r>
      <w:r w:rsidR="000D7B8E">
        <w:rPr>
          <w:rFonts w:ascii="Arial" w:eastAsiaTheme="minorEastAsia" w:hAnsi="Arial" w:cs="Arial"/>
          <w:b/>
          <w:bCs/>
          <w:sz w:val="22"/>
          <w:szCs w:val="22"/>
        </w:rPr>
        <w:t>5</w:t>
      </w:r>
      <w:r w:rsidRPr="00264694">
        <w:rPr>
          <w:rFonts w:ascii="Arial" w:eastAsiaTheme="minorEastAsia" w:hAnsi="Arial" w:cs="Arial"/>
          <w:b/>
          <w:bCs/>
          <w:sz w:val="22"/>
          <w:szCs w:val="22"/>
        </w:rPr>
        <w:t>/</w:t>
      </w:r>
      <w:r w:rsidR="00BA64FF">
        <w:rPr>
          <w:rFonts w:ascii="Arial" w:eastAsiaTheme="minorEastAsia" w:hAnsi="Arial" w:cs="Arial"/>
          <w:b/>
          <w:bCs/>
          <w:sz w:val="22"/>
          <w:szCs w:val="22"/>
        </w:rPr>
        <w:t>21</w:t>
      </w:r>
      <w:r w:rsidRPr="00264694">
        <w:rPr>
          <w:rFonts w:ascii="Arial" w:eastAsiaTheme="minorEastAsia" w:hAnsi="Arial" w:cs="Arial"/>
          <w:b/>
          <w:bCs/>
          <w:sz w:val="22"/>
          <w:szCs w:val="22"/>
        </w:rPr>
        <w:t>. Report from the Principal</w:t>
      </w:r>
    </w:p>
    <w:p w14:paraId="7ECEF00C" w14:textId="6B1025CC" w:rsidR="00B07312" w:rsidRDefault="007064A2" w:rsidP="00B011D2">
      <w:pPr>
        <w:tabs>
          <w:tab w:val="left" w:pos="0"/>
        </w:tabs>
        <w:autoSpaceDE/>
        <w:autoSpaceDN/>
        <w:spacing w:after="120"/>
        <w:rPr>
          <w:rFonts w:ascii="Arial" w:eastAsiaTheme="minorEastAsia" w:hAnsi="Arial" w:cs="Arial"/>
          <w:sz w:val="22"/>
          <w:szCs w:val="22"/>
        </w:rPr>
      </w:pPr>
      <w:r>
        <w:rPr>
          <w:rFonts w:ascii="Arial" w:eastAsiaTheme="minorEastAsia" w:hAnsi="Arial" w:cs="Arial"/>
          <w:sz w:val="22"/>
          <w:szCs w:val="22"/>
        </w:rPr>
        <w:t>T</w:t>
      </w:r>
      <w:r w:rsidR="00B07312" w:rsidRPr="006E752A">
        <w:rPr>
          <w:rFonts w:ascii="Arial" w:eastAsiaTheme="minorEastAsia" w:hAnsi="Arial" w:cs="Arial"/>
          <w:sz w:val="22"/>
          <w:szCs w:val="22"/>
        </w:rPr>
        <w:t xml:space="preserve">he </w:t>
      </w:r>
      <w:proofErr w:type="gramStart"/>
      <w:r w:rsidR="00B07312" w:rsidRPr="006E752A">
        <w:rPr>
          <w:rFonts w:ascii="Arial" w:eastAsiaTheme="minorEastAsia" w:hAnsi="Arial" w:cs="Arial"/>
          <w:sz w:val="22"/>
          <w:szCs w:val="22"/>
        </w:rPr>
        <w:t>Principal</w:t>
      </w:r>
      <w:proofErr w:type="gramEnd"/>
      <w:r w:rsidR="00B07312" w:rsidRPr="006E752A">
        <w:rPr>
          <w:rFonts w:ascii="Arial" w:eastAsiaTheme="minorEastAsia" w:hAnsi="Arial" w:cs="Arial"/>
          <w:sz w:val="22"/>
          <w:szCs w:val="22"/>
        </w:rPr>
        <w:t xml:space="preserve"> provided a comprehensive report on sector developments, institutional performance and strategic priorities. Court was advised that recruitment number</w:t>
      </w:r>
      <w:r w:rsidR="00B07312" w:rsidRPr="00B07312">
        <w:rPr>
          <w:rFonts w:ascii="Arial" w:eastAsiaTheme="minorEastAsia" w:hAnsi="Arial" w:cs="Arial"/>
          <w:sz w:val="22"/>
          <w:szCs w:val="22"/>
        </w:rPr>
        <w:t xml:space="preserve">s for the current cycle </w:t>
      </w:r>
      <w:r w:rsidR="00B07312">
        <w:rPr>
          <w:rFonts w:ascii="Arial" w:eastAsiaTheme="minorEastAsia" w:hAnsi="Arial" w:cs="Arial"/>
          <w:sz w:val="22"/>
          <w:szCs w:val="22"/>
        </w:rPr>
        <w:t>were</w:t>
      </w:r>
      <w:r w:rsidR="00B07312" w:rsidRPr="00B07312">
        <w:rPr>
          <w:rFonts w:ascii="Arial" w:eastAsiaTheme="minorEastAsia" w:hAnsi="Arial" w:cs="Arial"/>
          <w:sz w:val="22"/>
          <w:szCs w:val="22"/>
        </w:rPr>
        <w:t xml:space="preserve"> now largely fixed</w:t>
      </w:r>
      <w:r>
        <w:rPr>
          <w:rFonts w:ascii="Arial" w:eastAsiaTheme="minorEastAsia" w:hAnsi="Arial" w:cs="Arial"/>
          <w:sz w:val="22"/>
          <w:szCs w:val="22"/>
        </w:rPr>
        <w:t xml:space="preserve"> for the 2025 intake. It was also reported that</w:t>
      </w:r>
      <w:r w:rsidR="00B07312" w:rsidRPr="00B07312">
        <w:rPr>
          <w:rFonts w:ascii="Arial" w:eastAsiaTheme="minorEastAsia" w:hAnsi="Arial" w:cs="Arial"/>
          <w:sz w:val="22"/>
          <w:szCs w:val="22"/>
        </w:rPr>
        <w:t xml:space="preserve"> </w:t>
      </w:r>
      <w:r>
        <w:rPr>
          <w:rFonts w:ascii="Arial" w:eastAsiaTheme="minorEastAsia" w:hAnsi="Arial" w:cs="Arial"/>
          <w:sz w:val="22"/>
          <w:szCs w:val="22"/>
        </w:rPr>
        <w:t>the</w:t>
      </w:r>
      <w:r w:rsidR="00B07312" w:rsidRPr="00B07312">
        <w:rPr>
          <w:rFonts w:ascii="Arial" w:eastAsiaTheme="minorEastAsia" w:hAnsi="Arial" w:cs="Arial"/>
          <w:sz w:val="22"/>
          <w:szCs w:val="22"/>
        </w:rPr>
        <w:t xml:space="preserve"> international undergraduate conversion rates from Glasgow International College (GIC)</w:t>
      </w:r>
      <w:r>
        <w:rPr>
          <w:rFonts w:ascii="Arial" w:eastAsiaTheme="minorEastAsia" w:hAnsi="Arial" w:cs="Arial"/>
          <w:sz w:val="22"/>
          <w:szCs w:val="22"/>
        </w:rPr>
        <w:t xml:space="preserve"> w</w:t>
      </w:r>
      <w:r w:rsidR="00C912D1">
        <w:rPr>
          <w:rFonts w:ascii="Arial" w:eastAsiaTheme="minorEastAsia" w:hAnsi="Arial" w:cs="Arial"/>
          <w:sz w:val="22"/>
          <w:szCs w:val="22"/>
        </w:rPr>
        <w:t>ere</w:t>
      </w:r>
      <w:r w:rsidR="00B07312" w:rsidRPr="00B07312">
        <w:rPr>
          <w:rFonts w:ascii="Arial" w:eastAsiaTheme="minorEastAsia" w:hAnsi="Arial" w:cs="Arial"/>
          <w:sz w:val="22"/>
          <w:szCs w:val="22"/>
        </w:rPr>
        <w:t xml:space="preserve"> lower than anticipated </w:t>
      </w:r>
      <w:r w:rsidR="00C912D1">
        <w:rPr>
          <w:rFonts w:ascii="Arial" w:eastAsiaTheme="minorEastAsia" w:hAnsi="Arial" w:cs="Arial"/>
          <w:sz w:val="22"/>
          <w:szCs w:val="22"/>
        </w:rPr>
        <w:t>partly due to some students</w:t>
      </w:r>
      <w:r w:rsidR="00B07312" w:rsidRPr="00B07312">
        <w:rPr>
          <w:rFonts w:ascii="Arial" w:eastAsiaTheme="minorEastAsia" w:hAnsi="Arial" w:cs="Arial"/>
          <w:sz w:val="22"/>
          <w:szCs w:val="22"/>
        </w:rPr>
        <w:t xml:space="preserve"> opting for alternative institutions. </w:t>
      </w:r>
      <w:r w:rsidR="00DC46F1">
        <w:rPr>
          <w:rFonts w:ascii="Arial" w:eastAsiaTheme="minorEastAsia" w:hAnsi="Arial" w:cs="Arial"/>
          <w:sz w:val="22"/>
          <w:szCs w:val="22"/>
        </w:rPr>
        <w:t xml:space="preserve">As </w:t>
      </w:r>
      <w:r w:rsidR="00DC46F1">
        <w:rPr>
          <w:rFonts w:ascii="Arial" w:eastAsiaTheme="minorEastAsia" w:hAnsi="Arial" w:cs="Arial"/>
          <w:sz w:val="22"/>
          <w:szCs w:val="22"/>
        </w:rPr>
        <w:lastRenderedPageBreak/>
        <w:t>previously noted under item CRT/2025/17, the</w:t>
      </w:r>
      <w:r w:rsidR="00B07312" w:rsidRPr="00B07312">
        <w:rPr>
          <w:rFonts w:ascii="Arial" w:eastAsiaTheme="minorEastAsia" w:hAnsi="Arial" w:cs="Arial"/>
          <w:sz w:val="22"/>
          <w:szCs w:val="22"/>
        </w:rPr>
        <w:t xml:space="preserve"> planned relocation of GIC to a new site east of campus by March 2026 remain</w:t>
      </w:r>
      <w:r w:rsidR="00B07312">
        <w:rPr>
          <w:rFonts w:ascii="Arial" w:eastAsiaTheme="minorEastAsia" w:hAnsi="Arial" w:cs="Arial"/>
          <w:sz w:val="22"/>
          <w:szCs w:val="22"/>
        </w:rPr>
        <w:t>ed</w:t>
      </w:r>
      <w:r w:rsidR="00B07312" w:rsidRPr="00B07312">
        <w:rPr>
          <w:rFonts w:ascii="Arial" w:eastAsiaTheme="minorEastAsia" w:hAnsi="Arial" w:cs="Arial"/>
          <w:sz w:val="22"/>
          <w:szCs w:val="22"/>
        </w:rPr>
        <w:t xml:space="preserve"> a concern for potential disruption to student experience and conversion rates, though</w:t>
      </w:r>
      <w:r w:rsidR="00DC46F1">
        <w:rPr>
          <w:rFonts w:ascii="Arial" w:eastAsiaTheme="minorEastAsia" w:hAnsi="Arial" w:cs="Arial"/>
          <w:sz w:val="22"/>
          <w:szCs w:val="22"/>
        </w:rPr>
        <w:t xml:space="preserve"> colleagues were </w:t>
      </w:r>
      <w:r w:rsidR="00B07312" w:rsidRPr="00B07312">
        <w:rPr>
          <w:rFonts w:ascii="Arial" w:eastAsiaTheme="minorEastAsia" w:hAnsi="Arial" w:cs="Arial"/>
          <w:sz w:val="22"/>
          <w:szCs w:val="22"/>
        </w:rPr>
        <w:t>working closely with GIC to mitigate risks.</w:t>
      </w:r>
    </w:p>
    <w:p w14:paraId="34DF0FA7" w14:textId="67B7B6DE" w:rsidR="006E752A" w:rsidRDefault="006E752A" w:rsidP="00B011D2">
      <w:pPr>
        <w:tabs>
          <w:tab w:val="left" w:pos="0"/>
        </w:tabs>
        <w:autoSpaceDE/>
        <w:autoSpaceDN/>
        <w:spacing w:after="120"/>
        <w:rPr>
          <w:rFonts w:ascii="Arial" w:eastAsiaTheme="minorEastAsia" w:hAnsi="Arial" w:cs="Arial"/>
          <w:sz w:val="22"/>
          <w:szCs w:val="22"/>
        </w:rPr>
      </w:pPr>
      <w:r>
        <w:rPr>
          <w:rFonts w:ascii="Arial" w:eastAsiaTheme="minorEastAsia" w:hAnsi="Arial" w:cs="Arial"/>
          <w:sz w:val="22"/>
          <w:szCs w:val="22"/>
        </w:rPr>
        <w:t>T</w:t>
      </w:r>
      <w:r w:rsidR="00B07312" w:rsidRPr="00B07312">
        <w:rPr>
          <w:rFonts w:ascii="Arial" w:eastAsiaTheme="minorEastAsia" w:hAnsi="Arial" w:cs="Arial"/>
          <w:sz w:val="22"/>
          <w:szCs w:val="22"/>
        </w:rPr>
        <w:t xml:space="preserve">he </w:t>
      </w:r>
      <w:proofErr w:type="gramStart"/>
      <w:r w:rsidR="00B07312" w:rsidRPr="00B07312">
        <w:rPr>
          <w:rFonts w:ascii="Arial" w:eastAsiaTheme="minorEastAsia" w:hAnsi="Arial" w:cs="Arial"/>
          <w:sz w:val="22"/>
          <w:szCs w:val="22"/>
        </w:rPr>
        <w:t>Principal</w:t>
      </w:r>
      <w:proofErr w:type="gramEnd"/>
      <w:r w:rsidR="00B07312" w:rsidRPr="00B07312">
        <w:rPr>
          <w:rFonts w:ascii="Arial" w:eastAsiaTheme="minorEastAsia" w:hAnsi="Arial" w:cs="Arial"/>
          <w:sz w:val="22"/>
          <w:szCs w:val="22"/>
        </w:rPr>
        <w:t xml:space="preserve"> confirmed that the new University strategy and associated KPIs w</w:t>
      </w:r>
      <w:r>
        <w:rPr>
          <w:rFonts w:ascii="Arial" w:eastAsiaTheme="minorEastAsia" w:hAnsi="Arial" w:cs="Arial"/>
          <w:sz w:val="22"/>
          <w:szCs w:val="22"/>
        </w:rPr>
        <w:t>ould</w:t>
      </w:r>
      <w:r w:rsidR="00B07312" w:rsidRPr="00B07312">
        <w:rPr>
          <w:rFonts w:ascii="Arial" w:eastAsiaTheme="minorEastAsia" w:hAnsi="Arial" w:cs="Arial"/>
          <w:sz w:val="22"/>
          <w:szCs w:val="22"/>
        </w:rPr>
        <w:t xml:space="preserve"> be presented in near-final form to Court in February 2026, with formal approval targeted for April</w:t>
      </w:r>
      <w:r w:rsidR="00DC46F1">
        <w:rPr>
          <w:rFonts w:ascii="Arial" w:eastAsiaTheme="minorEastAsia" w:hAnsi="Arial" w:cs="Arial"/>
          <w:sz w:val="22"/>
          <w:szCs w:val="22"/>
        </w:rPr>
        <w:t xml:space="preserve"> 2026</w:t>
      </w:r>
      <w:r w:rsidR="00B07312" w:rsidRPr="00B07312">
        <w:rPr>
          <w:rFonts w:ascii="Arial" w:eastAsiaTheme="minorEastAsia" w:hAnsi="Arial" w:cs="Arial"/>
          <w:sz w:val="22"/>
          <w:szCs w:val="22"/>
        </w:rPr>
        <w:t>.</w:t>
      </w:r>
    </w:p>
    <w:p w14:paraId="2C547FD7" w14:textId="5CFDDCDD" w:rsidR="006E752A" w:rsidRDefault="00B07312" w:rsidP="00B011D2">
      <w:pPr>
        <w:tabs>
          <w:tab w:val="left" w:pos="0"/>
        </w:tabs>
        <w:autoSpaceDE/>
        <w:autoSpaceDN/>
        <w:spacing w:after="120"/>
        <w:rPr>
          <w:rFonts w:ascii="Arial" w:eastAsiaTheme="minorEastAsia" w:hAnsi="Arial" w:cs="Arial"/>
          <w:sz w:val="22"/>
          <w:szCs w:val="22"/>
        </w:rPr>
      </w:pPr>
      <w:r w:rsidRPr="00B07312">
        <w:rPr>
          <w:rFonts w:ascii="Arial" w:eastAsiaTheme="minorEastAsia" w:hAnsi="Arial" w:cs="Arial"/>
          <w:sz w:val="22"/>
          <w:szCs w:val="22"/>
        </w:rPr>
        <w:t xml:space="preserve">Court </w:t>
      </w:r>
      <w:r w:rsidR="006E752A">
        <w:rPr>
          <w:rFonts w:ascii="Arial" w:eastAsiaTheme="minorEastAsia" w:hAnsi="Arial" w:cs="Arial"/>
          <w:sz w:val="22"/>
          <w:szCs w:val="22"/>
        </w:rPr>
        <w:t>also noted the</w:t>
      </w:r>
      <w:r w:rsidRPr="00B07312">
        <w:rPr>
          <w:rFonts w:ascii="Arial" w:eastAsiaTheme="minorEastAsia" w:hAnsi="Arial" w:cs="Arial"/>
          <w:sz w:val="22"/>
          <w:szCs w:val="22"/>
        </w:rPr>
        <w:t xml:space="preserve"> significant external developments impacting the sector. The Office for Students (</w:t>
      </w:r>
      <w:proofErr w:type="spellStart"/>
      <w:r w:rsidRPr="00B07312">
        <w:rPr>
          <w:rFonts w:ascii="Arial" w:eastAsiaTheme="minorEastAsia" w:hAnsi="Arial" w:cs="Arial"/>
          <w:sz w:val="22"/>
          <w:szCs w:val="22"/>
        </w:rPr>
        <w:t>OfS</w:t>
      </w:r>
      <w:proofErr w:type="spellEnd"/>
      <w:r w:rsidRPr="00B07312">
        <w:rPr>
          <w:rFonts w:ascii="Arial" w:eastAsiaTheme="minorEastAsia" w:hAnsi="Arial" w:cs="Arial"/>
          <w:sz w:val="22"/>
          <w:szCs w:val="22"/>
        </w:rPr>
        <w:t xml:space="preserve">) financial update </w:t>
      </w:r>
      <w:r w:rsidR="00DC46F1">
        <w:rPr>
          <w:rFonts w:ascii="Arial" w:eastAsiaTheme="minorEastAsia" w:hAnsi="Arial" w:cs="Arial"/>
          <w:sz w:val="22"/>
          <w:szCs w:val="22"/>
        </w:rPr>
        <w:t xml:space="preserve">had </w:t>
      </w:r>
      <w:r w:rsidRPr="00B07312">
        <w:rPr>
          <w:rFonts w:ascii="Arial" w:eastAsiaTheme="minorEastAsia" w:hAnsi="Arial" w:cs="Arial"/>
          <w:sz w:val="22"/>
          <w:szCs w:val="22"/>
        </w:rPr>
        <w:t>highlight</w:t>
      </w:r>
      <w:r w:rsidR="006E752A">
        <w:rPr>
          <w:rFonts w:ascii="Arial" w:eastAsiaTheme="minorEastAsia" w:hAnsi="Arial" w:cs="Arial"/>
          <w:sz w:val="22"/>
          <w:szCs w:val="22"/>
        </w:rPr>
        <w:t>ed</w:t>
      </w:r>
      <w:r w:rsidRPr="00B07312">
        <w:rPr>
          <w:rFonts w:ascii="Arial" w:eastAsiaTheme="minorEastAsia" w:hAnsi="Arial" w:cs="Arial"/>
          <w:sz w:val="22"/>
          <w:szCs w:val="22"/>
        </w:rPr>
        <w:t xml:space="preserve"> growing fragility among </w:t>
      </w:r>
      <w:r w:rsidR="0035786C">
        <w:rPr>
          <w:rFonts w:ascii="Arial" w:eastAsiaTheme="minorEastAsia" w:hAnsi="Arial" w:cs="Arial"/>
          <w:sz w:val="22"/>
          <w:szCs w:val="22"/>
        </w:rPr>
        <w:t>English</w:t>
      </w:r>
      <w:r w:rsidRPr="00B07312">
        <w:rPr>
          <w:rFonts w:ascii="Arial" w:eastAsiaTheme="minorEastAsia" w:hAnsi="Arial" w:cs="Arial"/>
          <w:sz w:val="22"/>
          <w:szCs w:val="22"/>
        </w:rPr>
        <w:t xml:space="preserve"> institutions, with 45% forecast to be in deficit and 49 institutions projected to have less than 30 days’ liquidity by year-end. Whil</w:t>
      </w:r>
      <w:r w:rsidR="006E752A">
        <w:rPr>
          <w:rFonts w:ascii="Arial" w:eastAsiaTheme="minorEastAsia" w:hAnsi="Arial" w:cs="Arial"/>
          <w:sz w:val="22"/>
          <w:szCs w:val="22"/>
        </w:rPr>
        <w:t>st</w:t>
      </w:r>
      <w:r w:rsidRPr="00B07312">
        <w:rPr>
          <w:rFonts w:ascii="Arial" w:eastAsiaTheme="minorEastAsia" w:hAnsi="Arial" w:cs="Arial"/>
          <w:sz w:val="22"/>
          <w:szCs w:val="22"/>
        </w:rPr>
        <w:t xml:space="preserve"> t</w:t>
      </w:r>
      <w:r w:rsidR="006E752A">
        <w:rPr>
          <w:rFonts w:ascii="Arial" w:eastAsiaTheme="minorEastAsia" w:hAnsi="Arial" w:cs="Arial"/>
          <w:sz w:val="22"/>
          <w:szCs w:val="22"/>
        </w:rPr>
        <w:t xml:space="preserve">he </w:t>
      </w:r>
      <w:r w:rsidRPr="00B07312">
        <w:rPr>
          <w:rFonts w:ascii="Arial" w:eastAsiaTheme="minorEastAsia" w:hAnsi="Arial" w:cs="Arial"/>
          <w:sz w:val="22"/>
          <w:szCs w:val="22"/>
        </w:rPr>
        <w:t xml:space="preserve">risk </w:t>
      </w:r>
      <w:r w:rsidR="006E752A">
        <w:rPr>
          <w:rFonts w:ascii="Arial" w:eastAsiaTheme="minorEastAsia" w:hAnsi="Arial" w:cs="Arial"/>
          <w:sz w:val="22"/>
          <w:szCs w:val="22"/>
        </w:rPr>
        <w:t>was</w:t>
      </w:r>
      <w:r w:rsidRPr="00B07312">
        <w:rPr>
          <w:rFonts w:ascii="Arial" w:eastAsiaTheme="minorEastAsia" w:hAnsi="Arial" w:cs="Arial"/>
          <w:sz w:val="22"/>
          <w:szCs w:val="22"/>
        </w:rPr>
        <w:t xml:space="preserve"> concentrated among smaller providers, </w:t>
      </w:r>
      <w:r w:rsidR="00DC46F1">
        <w:rPr>
          <w:rFonts w:ascii="Arial" w:eastAsiaTheme="minorEastAsia" w:hAnsi="Arial" w:cs="Arial"/>
          <w:sz w:val="22"/>
          <w:szCs w:val="22"/>
        </w:rPr>
        <w:t xml:space="preserve">it was noted that </w:t>
      </w:r>
      <w:r w:rsidRPr="00B07312">
        <w:rPr>
          <w:rFonts w:ascii="Arial" w:eastAsiaTheme="minorEastAsia" w:hAnsi="Arial" w:cs="Arial"/>
          <w:sz w:val="22"/>
          <w:szCs w:val="22"/>
        </w:rPr>
        <w:t xml:space="preserve">some large institutions may also be affected. </w:t>
      </w:r>
      <w:r w:rsidR="006E752A">
        <w:rPr>
          <w:rFonts w:ascii="Arial" w:eastAsiaTheme="minorEastAsia" w:hAnsi="Arial" w:cs="Arial"/>
          <w:sz w:val="22"/>
          <w:szCs w:val="22"/>
        </w:rPr>
        <w:t xml:space="preserve">It was reported that </w:t>
      </w:r>
      <w:r w:rsidR="00DC46F1">
        <w:rPr>
          <w:rFonts w:ascii="Arial" w:eastAsiaTheme="minorEastAsia" w:hAnsi="Arial" w:cs="Arial"/>
          <w:sz w:val="22"/>
          <w:szCs w:val="22"/>
        </w:rPr>
        <w:t xml:space="preserve">recent </w:t>
      </w:r>
      <w:r w:rsidRPr="00B07312">
        <w:rPr>
          <w:rFonts w:ascii="Arial" w:eastAsiaTheme="minorEastAsia" w:hAnsi="Arial" w:cs="Arial"/>
          <w:sz w:val="22"/>
          <w:szCs w:val="22"/>
        </w:rPr>
        <w:t>Scottish Funding Council analysis suggest</w:t>
      </w:r>
      <w:r w:rsidR="006E752A">
        <w:rPr>
          <w:rFonts w:ascii="Arial" w:eastAsiaTheme="minorEastAsia" w:hAnsi="Arial" w:cs="Arial"/>
          <w:sz w:val="22"/>
          <w:szCs w:val="22"/>
        </w:rPr>
        <w:t>ed</w:t>
      </w:r>
      <w:r w:rsidRPr="00B07312">
        <w:rPr>
          <w:rFonts w:ascii="Arial" w:eastAsiaTheme="minorEastAsia" w:hAnsi="Arial" w:cs="Arial"/>
          <w:sz w:val="22"/>
          <w:szCs w:val="22"/>
        </w:rPr>
        <w:t xml:space="preserve"> a</w:t>
      </w:r>
      <w:r w:rsidR="00DC46F1">
        <w:rPr>
          <w:rFonts w:ascii="Arial" w:eastAsiaTheme="minorEastAsia" w:hAnsi="Arial" w:cs="Arial"/>
          <w:sz w:val="22"/>
          <w:szCs w:val="22"/>
        </w:rPr>
        <w:t xml:space="preserve"> </w:t>
      </w:r>
      <w:r w:rsidRPr="00B07312">
        <w:rPr>
          <w:rFonts w:ascii="Arial" w:eastAsiaTheme="minorEastAsia" w:hAnsi="Arial" w:cs="Arial"/>
          <w:sz w:val="22"/>
          <w:szCs w:val="22"/>
        </w:rPr>
        <w:t xml:space="preserve">more challenging outlook for Scotland, with 79% of institutions expected to report deficits. The </w:t>
      </w:r>
      <w:proofErr w:type="gramStart"/>
      <w:r w:rsidRPr="00B07312">
        <w:rPr>
          <w:rFonts w:ascii="Arial" w:eastAsiaTheme="minorEastAsia" w:hAnsi="Arial" w:cs="Arial"/>
          <w:sz w:val="22"/>
          <w:szCs w:val="22"/>
        </w:rPr>
        <w:t>Principal</w:t>
      </w:r>
      <w:proofErr w:type="gramEnd"/>
      <w:r w:rsidRPr="00B07312">
        <w:rPr>
          <w:rFonts w:ascii="Arial" w:eastAsiaTheme="minorEastAsia" w:hAnsi="Arial" w:cs="Arial"/>
          <w:sz w:val="22"/>
          <w:szCs w:val="22"/>
        </w:rPr>
        <w:t xml:space="preserve"> stressed that, despite Glasgow’s </w:t>
      </w:r>
      <w:r w:rsidR="0035786C">
        <w:rPr>
          <w:rFonts w:ascii="Arial" w:eastAsiaTheme="minorEastAsia" w:hAnsi="Arial" w:cs="Arial"/>
          <w:sz w:val="22"/>
          <w:szCs w:val="22"/>
        </w:rPr>
        <w:t xml:space="preserve">relatively </w:t>
      </w:r>
      <w:r w:rsidRPr="00B07312">
        <w:rPr>
          <w:rFonts w:ascii="Arial" w:eastAsiaTheme="minorEastAsia" w:hAnsi="Arial" w:cs="Arial"/>
          <w:sz w:val="22"/>
          <w:szCs w:val="22"/>
        </w:rPr>
        <w:t>strong financial position, these headwind</w:t>
      </w:r>
      <w:r w:rsidR="006E752A">
        <w:rPr>
          <w:rFonts w:ascii="Arial" w:eastAsiaTheme="minorEastAsia" w:hAnsi="Arial" w:cs="Arial"/>
          <w:sz w:val="22"/>
          <w:szCs w:val="22"/>
        </w:rPr>
        <w:t xml:space="preserve">s, </w:t>
      </w:r>
      <w:r w:rsidRPr="00B07312">
        <w:rPr>
          <w:rFonts w:ascii="Arial" w:eastAsiaTheme="minorEastAsia" w:hAnsi="Arial" w:cs="Arial"/>
          <w:sz w:val="22"/>
          <w:szCs w:val="22"/>
        </w:rPr>
        <w:t>including softening international recruitment and funding pressure</w:t>
      </w:r>
      <w:r w:rsidR="006E752A">
        <w:rPr>
          <w:rFonts w:ascii="Arial" w:eastAsiaTheme="minorEastAsia" w:hAnsi="Arial" w:cs="Arial"/>
          <w:sz w:val="22"/>
          <w:szCs w:val="22"/>
        </w:rPr>
        <w:t>s</w:t>
      </w:r>
      <w:r w:rsidR="0035786C">
        <w:rPr>
          <w:rFonts w:ascii="Arial" w:eastAsiaTheme="minorEastAsia" w:hAnsi="Arial" w:cs="Arial"/>
          <w:sz w:val="22"/>
          <w:szCs w:val="22"/>
        </w:rPr>
        <w:t>,</w:t>
      </w:r>
      <w:r w:rsidR="006E752A">
        <w:rPr>
          <w:rFonts w:ascii="Arial" w:eastAsiaTheme="minorEastAsia" w:hAnsi="Arial" w:cs="Arial"/>
          <w:sz w:val="22"/>
          <w:szCs w:val="22"/>
        </w:rPr>
        <w:t xml:space="preserve"> </w:t>
      </w:r>
      <w:r w:rsidRPr="00B07312">
        <w:rPr>
          <w:rFonts w:ascii="Arial" w:eastAsiaTheme="minorEastAsia" w:hAnsi="Arial" w:cs="Arial"/>
          <w:sz w:val="22"/>
          <w:szCs w:val="22"/>
        </w:rPr>
        <w:t>pose</w:t>
      </w:r>
      <w:r w:rsidR="006E752A">
        <w:rPr>
          <w:rFonts w:ascii="Arial" w:eastAsiaTheme="minorEastAsia" w:hAnsi="Arial" w:cs="Arial"/>
          <w:sz w:val="22"/>
          <w:szCs w:val="22"/>
        </w:rPr>
        <w:t>d</w:t>
      </w:r>
      <w:r w:rsidRPr="00B07312">
        <w:rPr>
          <w:rFonts w:ascii="Arial" w:eastAsiaTheme="minorEastAsia" w:hAnsi="Arial" w:cs="Arial"/>
          <w:sz w:val="22"/>
          <w:szCs w:val="22"/>
        </w:rPr>
        <w:t xml:space="preserve"> material risks</w:t>
      </w:r>
      <w:r w:rsidR="006E752A">
        <w:rPr>
          <w:rFonts w:ascii="Arial" w:eastAsiaTheme="minorEastAsia" w:hAnsi="Arial" w:cs="Arial"/>
          <w:sz w:val="22"/>
          <w:szCs w:val="22"/>
        </w:rPr>
        <w:t>.</w:t>
      </w:r>
    </w:p>
    <w:p w14:paraId="1E26620A" w14:textId="44ECBC09" w:rsidR="006E752A" w:rsidRDefault="00DC46F1" w:rsidP="00B011D2">
      <w:pPr>
        <w:tabs>
          <w:tab w:val="left" w:pos="0"/>
        </w:tabs>
        <w:autoSpaceDE/>
        <w:autoSpaceDN/>
        <w:spacing w:after="120"/>
        <w:rPr>
          <w:rFonts w:ascii="Arial" w:eastAsiaTheme="minorEastAsia" w:hAnsi="Arial" w:cs="Arial"/>
          <w:sz w:val="22"/>
          <w:szCs w:val="22"/>
        </w:rPr>
      </w:pPr>
      <w:r>
        <w:rPr>
          <w:rFonts w:ascii="Arial" w:eastAsiaTheme="minorEastAsia" w:hAnsi="Arial" w:cs="Arial"/>
          <w:sz w:val="22"/>
          <w:szCs w:val="22"/>
        </w:rPr>
        <w:t xml:space="preserve">The </w:t>
      </w:r>
      <w:proofErr w:type="gramStart"/>
      <w:r>
        <w:rPr>
          <w:rFonts w:ascii="Arial" w:eastAsiaTheme="minorEastAsia" w:hAnsi="Arial" w:cs="Arial"/>
          <w:sz w:val="22"/>
          <w:szCs w:val="22"/>
        </w:rPr>
        <w:t>Principal</w:t>
      </w:r>
      <w:proofErr w:type="gramEnd"/>
      <w:r>
        <w:rPr>
          <w:rFonts w:ascii="Arial" w:eastAsiaTheme="minorEastAsia" w:hAnsi="Arial" w:cs="Arial"/>
          <w:sz w:val="22"/>
          <w:szCs w:val="22"/>
        </w:rPr>
        <w:t xml:space="preserve"> also reported that </w:t>
      </w:r>
      <w:r w:rsidR="006E752A">
        <w:rPr>
          <w:rFonts w:ascii="Arial" w:eastAsiaTheme="minorEastAsia" w:hAnsi="Arial" w:cs="Arial"/>
          <w:sz w:val="22"/>
          <w:szCs w:val="22"/>
        </w:rPr>
        <w:t>t</w:t>
      </w:r>
      <w:r w:rsidR="00B07312" w:rsidRPr="00B07312">
        <w:rPr>
          <w:rFonts w:ascii="Arial" w:eastAsiaTheme="minorEastAsia" w:hAnsi="Arial" w:cs="Arial"/>
          <w:sz w:val="22"/>
          <w:szCs w:val="22"/>
        </w:rPr>
        <w:t>he UK Government’s decision to impose a flat £925 levy on international students</w:t>
      </w:r>
      <w:r w:rsidR="0035786C">
        <w:rPr>
          <w:rFonts w:ascii="Arial" w:eastAsiaTheme="minorEastAsia" w:hAnsi="Arial" w:cs="Arial"/>
          <w:sz w:val="22"/>
          <w:szCs w:val="22"/>
        </w:rPr>
        <w:t xml:space="preserve"> attending English HEIs</w:t>
      </w:r>
      <w:r w:rsidR="00B07312" w:rsidRPr="00B07312">
        <w:rPr>
          <w:rFonts w:ascii="Arial" w:eastAsiaTheme="minorEastAsia" w:hAnsi="Arial" w:cs="Arial"/>
          <w:sz w:val="22"/>
          <w:szCs w:val="22"/>
        </w:rPr>
        <w:t xml:space="preserve"> from summer 2028</w:t>
      </w:r>
      <w:r>
        <w:rPr>
          <w:rFonts w:ascii="Arial" w:eastAsiaTheme="minorEastAsia" w:hAnsi="Arial" w:cs="Arial"/>
          <w:sz w:val="22"/>
          <w:szCs w:val="22"/>
        </w:rPr>
        <w:t xml:space="preserve"> had now been confirmed but at present it was unclear how this would impact the Scottish Sector.</w:t>
      </w:r>
      <w:r w:rsidR="006E752A">
        <w:rPr>
          <w:rFonts w:ascii="Arial" w:eastAsiaTheme="minorEastAsia" w:hAnsi="Arial" w:cs="Arial"/>
          <w:sz w:val="22"/>
          <w:szCs w:val="22"/>
        </w:rPr>
        <w:t xml:space="preserve"> </w:t>
      </w:r>
      <w:r>
        <w:rPr>
          <w:rFonts w:ascii="Arial" w:eastAsiaTheme="minorEastAsia" w:hAnsi="Arial" w:cs="Arial"/>
          <w:sz w:val="22"/>
          <w:szCs w:val="22"/>
        </w:rPr>
        <w:t>Court also noted that t</w:t>
      </w:r>
      <w:r w:rsidR="006E752A">
        <w:rPr>
          <w:rFonts w:ascii="Arial" w:eastAsiaTheme="minorEastAsia" w:hAnsi="Arial" w:cs="Arial"/>
          <w:sz w:val="22"/>
          <w:szCs w:val="22"/>
        </w:rPr>
        <w:t xml:space="preserve">he </w:t>
      </w:r>
      <w:r w:rsidR="00B07312" w:rsidRPr="00B07312">
        <w:rPr>
          <w:rFonts w:ascii="Arial" w:eastAsiaTheme="minorEastAsia" w:hAnsi="Arial" w:cs="Arial"/>
          <w:sz w:val="22"/>
          <w:szCs w:val="22"/>
        </w:rPr>
        <w:t xml:space="preserve">Scottish Government’s Tertiary Education and Training Funding Bill, </w:t>
      </w:r>
      <w:r w:rsidR="006E752A">
        <w:rPr>
          <w:rFonts w:ascii="Arial" w:eastAsiaTheme="minorEastAsia" w:hAnsi="Arial" w:cs="Arial"/>
          <w:sz w:val="22"/>
          <w:szCs w:val="22"/>
        </w:rPr>
        <w:t xml:space="preserve">was </w:t>
      </w:r>
      <w:r w:rsidR="00B07312" w:rsidRPr="00B07312">
        <w:rPr>
          <w:rFonts w:ascii="Arial" w:eastAsiaTheme="minorEastAsia" w:hAnsi="Arial" w:cs="Arial"/>
          <w:sz w:val="22"/>
          <w:szCs w:val="22"/>
        </w:rPr>
        <w:t>now at Stage 2,</w:t>
      </w:r>
      <w:r>
        <w:rPr>
          <w:rFonts w:ascii="Arial" w:eastAsiaTheme="minorEastAsia" w:hAnsi="Arial" w:cs="Arial"/>
          <w:sz w:val="22"/>
          <w:szCs w:val="22"/>
        </w:rPr>
        <w:t xml:space="preserve"> with </w:t>
      </w:r>
      <w:proofErr w:type="gramStart"/>
      <w:r>
        <w:rPr>
          <w:rFonts w:ascii="Arial" w:eastAsiaTheme="minorEastAsia" w:hAnsi="Arial" w:cs="Arial"/>
          <w:sz w:val="22"/>
          <w:szCs w:val="22"/>
        </w:rPr>
        <w:t>a number of</w:t>
      </w:r>
      <w:proofErr w:type="gramEnd"/>
      <w:r>
        <w:rPr>
          <w:rFonts w:ascii="Arial" w:eastAsiaTheme="minorEastAsia" w:hAnsi="Arial" w:cs="Arial"/>
          <w:sz w:val="22"/>
          <w:szCs w:val="22"/>
        </w:rPr>
        <w:t xml:space="preserve"> amendments suggested such as possible</w:t>
      </w:r>
      <w:r w:rsidR="00B07312" w:rsidRPr="00B07312">
        <w:rPr>
          <w:rFonts w:ascii="Arial" w:eastAsiaTheme="minorEastAsia" w:hAnsi="Arial" w:cs="Arial"/>
          <w:sz w:val="22"/>
          <w:szCs w:val="22"/>
        </w:rPr>
        <w:t xml:space="preserve"> introduc</w:t>
      </w:r>
      <w:r>
        <w:rPr>
          <w:rFonts w:ascii="Arial" w:eastAsiaTheme="minorEastAsia" w:hAnsi="Arial" w:cs="Arial"/>
          <w:sz w:val="22"/>
          <w:szCs w:val="22"/>
        </w:rPr>
        <w:t>tion of more</w:t>
      </w:r>
      <w:r w:rsidR="00B07312" w:rsidRPr="00B07312">
        <w:rPr>
          <w:rFonts w:ascii="Arial" w:eastAsiaTheme="minorEastAsia" w:hAnsi="Arial" w:cs="Arial"/>
          <w:sz w:val="22"/>
          <w:szCs w:val="22"/>
        </w:rPr>
        <w:t xml:space="preserve"> governance</w:t>
      </w:r>
      <w:r>
        <w:rPr>
          <w:rFonts w:ascii="Arial" w:eastAsiaTheme="minorEastAsia" w:hAnsi="Arial" w:cs="Arial"/>
          <w:sz w:val="22"/>
          <w:szCs w:val="22"/>
        </w:rPr>
        <w:t xml:space="preserve"> controls. Court noted that any changes to the</w:t>
      </w:r>
      <w:r w:rsidR="00B07312" w:rsidRPr="00B07312">
        <w:rPr>
          <w:rFonts w:ascii="Arial" w:eastAsiaTheme="minorEastAsia" w:hAnsi="Arial" w:cs="Arial"/>
          <w:sz w:val="22"/>
          <w:szCs w:val="22"/>
        </w:rPr>
        <w:t xml:space="preserve"> potential ONS reclassification of universities as public bodies</w:t>
      </w:r>
      <w:r>
        <w:rPr>
          <w:rFonts w:ascii="Arial" w:eastAsiaTheme="minorEastAsia" w:hAnsi="Arial" w:cs="Arial"/>
          <w:sz w:val="22"/>
          <w:szCs w:val="22"/>
        </w:rPr>
        <w:t xml:space="preserve"> could</w:t>
      </w:r>
      <w:r w:rsidR="00B07312" w:rsidRPr="00B07312">
        <w:rPr>
          <w:rFonts w:ascii="Arial" w:eastAsiaTheme="minorEastAsia" w:hAnsi="Arial" w:cs="Arial"/>
          <w:sz w:val="22"/>
          <w:szCs w:val="22"/>
        </w:rPr>
        <w:t xml:space="preserve"> severely constrain institutional autonomy, borrowing capacity, and strategic flexibility.</w:t>
      </w:r>
    </w:p>
    <w:p w14:paraId="6B8CA073" w14:textId="77777777" w:rsidR="006E752A" w:rsidRDefault="006E752A" w:rsidP="00B011D2">
      <w:pPr>
        <w:tabs>
          <w:tab w:val="left" w:pos="0"/>
        </w:tabs>
        <w:autoSpaceDE/>
        <w:autoSpaceDN/>
        <w:spacing w:after="120"/>
        <w:rPr>
          <w:rFonts w:ascii="Arial" w:eastAsiaTheme="minorEastAsia" w:hAnsi="Arial" w:cs="Arial"/>
          <w:sz w:val="22"/>
          <w:szCs w:val="22"/>
        </w:rPr>
      </w:pPr>
      <w:r>
        <w:rPr>
          <w:rFonts w:ascii="Arial" w:eastAsiaTheme="minorEastAsia" w:hAnsi="Arial" w:cs="Arial"/>
          <w:sz w:val="22"/>
          <w:szCs w:val="22"/>
        </w:rPr>
        <w:t xml:space="preserve">Court also noted the </w:t>
      </w:r>
      <w:r w:rsidR="00B07312" w:rsidRPr="00B07312">
        <w:rPr>
          <w:rFonts w:ascii="Arial" w:eastAsiaTheme="minorEastAsia" w:hAnsi="Arial" w:cs="Arial"/>
          <w:sz w:val="22"/>
          <w:szCs w:val="22"/>
        </w:rPr>
        <w:t>UKRI’s new funding settlement, which w</w:t>
      </w:r>
      <w:r>
        <w:rPr>
          <w:rFonts w:ascii="Arial" w:eastAsiaTheme="minorEastAsia" w:hAnsi="Arial" w:cs="Arial"/>
          <w:sz w:val="22"/>
          <w:szCs w:val="22"/>
        </w:rPr>
        <w:t>ould</w:t>
      </w:r>
      <w:r w:rsidR="00B07312" w:rsidRPr="00B07312">
        <w:rPr>
          <w:rFonts w:ascii="Arial" w:eastAsiaTheme="minorEastAsia" w:hAnsi="Arial" w:cs="Arial"/>
          <w:sz w:val="22"/>
          <w:szCs w:val="22"/>
        </w:rPr>
        <w:t xml:space="preserve"> require universities to be more selective in research priorities, focusing on four themes: curiosity-driven research, government missions, business scale-up, and enabling infrastructure. The </w:t>
      </w:r>
      <w:proofErr w:type="gramStart"/>
      <w:r w:rsidR="00B07312" w:rsidRPr="00B07312">
        <w:rPr>
          <w:rFonts w:ascii="Arial" w:eastAsiaTheme="minorEastAsia" w:hAnsi="Arial" w:cs="Arial"/>
          <w:sz w:val="22"/>
          <w:szCs w:val="22"/>
        </w:rPr>
        <w:t>Principal</w:t>
      </w:r>
      <w:proofErr w:type="gramEnd"/>
      <w:r w:rsidR="00B07312" w:rsidRPr="00B07312">
        <w:rPr>
          <w:rFonts w:ascii="Arial" w:eastAsiaTheme="minorEastAsia" w:hAnsi="Arial" w:cs="Arial"/>
          <w:sz w:val="22"/>
          <w:szCs w:val="22"/>
        </w:rPr>
        <w:t xml:space="preserve"> emphasised that Glasgow’s forthcoming strategy must reflect this shift toward fewer, higher-impact projects.</w:t>
      </w:r>
    </w:p>
    <w:p w14:paraId="7926160D" w14:textId="46CC5552" w:rsidR="00720B6B" w:rsidRDefault="00B07312" w:rsidP="00B011D2">
      <w:pPr>
        <w:tabs>
          <w:tab w:val="left" w:pos="0"/>
        </w:tabs>
        <w:autoSpaceDE/>
        <w:autoSpaceDN/>
        <w:spacing w:after="120"/>
        <w:rPr>
          <w:rFonts w:ascii="Arial" w:eastAsiaTheme="minorEastAsia" w:hAnsi="Arial" w:cs="Arial"/>
          <w:sz w:val="22"/>
          <w:szCs w:val="22"/>
        </w:rPr>
      </w:pPr>
      <w:r w:rsidRPr="00B07312">
        <w:rPr>
          <w:rFonts w:ascii="Arial" w:eastAsiaTheme="minorEastAsia" w:hAnsi="Arial" w:cs="Arial"/>
          <w:sz w:val="22"/>
          <w:szCs w:val="22"/>
        </w:rPr>
        <w:t xml:space="preserve">Finally, Court was informed of the awarding of a posthumous degree to Ethan Scott Brown at the December graduation ceremony, following extensive engagement with the family. The </w:t>
      </w:r>
      <w:proofErr w:type="gramStart"/>
      <w:r w:rsidRPr="00B07312">
        <w:rPr>
          <w:rFonts w:ascii="Arial" w:eastAsiaTheme="minorEastAsia" w:hAnsi="Arial" w:cs="Arial"/>
          <w:sz w:val="22"/>
          <w:szCs w:val="22"/>
        </w:rPr>
        <w:t>Principal</w:t>
      </w:r>
      <w:proofErr w:type="gramEnd"/>
      <w:r w:rsidRPr="00B07312">
        <w:rPr>
          <w:rFonts w:ascii="Arial" w:eastAsiaTheme="minorEastAsia" w:hAnsi="Arial" w:cs="Arial"/>
          <w:sz w:val="22"/>
          <w:szCs w:val="22"/>
        </w:rPr>
        <w:t xml:space="preserve"> </w:t>
      </w:r>
      <w:r w:rsidR="0035786C">
        <w:rPr>
          <w:rFonts w:ascii="Arial" w:eastAsiaTheme="minorEastAsia" w:hAnsi="Arial" w:cs="Arial"/>
          <w:sz w:val="22"/>
          <w:szCs w:val="22"/>
        </w:rPr>
        <w:t>stressed</w:t>
      </w:r>
      <w:r w:rsidRPr="00B07312">
        <w:rPr>
          <w:rFonts w:ascii="Arial" w:eastAsiaTheme="minorEastAsia" w:hAnsi="Arial" w:cs="Arial"/>
          <w:sz w:val="22"/>
          <w:szCs w:val="22"/>
        </w:rPr>
        <w:t xml:space="preserve"> the University’s commitment to addressing the issues highlighted in the QAA review</w:t>
      </w:r>
      <w:r w:rsidR="00DC46F1">
        <w:rPr>
          <w:rFonts w:ascii="Arial" w:eastAsiaTheme="minorEastAsia" w:hAnsi="Arial" w:cs="Arial"/>
          <w:sz w:val="22"/>
          <w:szCs w:val="22"/>
        </w:rPr>
        <w:t>.</w:t>
      </w:r>
      <w:r w:rsidR="0035786C">
        <w:rPr>
          <w:rFonts w:ascii="Arial" w:eastAsiaTheme="minorEastAsia" w:hAnsi="Arial" w:cs="Arial"/>
          <w:sz w:val="22"/>
          <w:szCs w:val="22"/>
        </w:rPr>
        <w:t xml:space="preserve"> Court </w:t>
      </w:r>
      <w:r w:rsidR="005029EA">
        <w:rPr>
          <w:rFonts w:ascii="Arial" w:eastAsiaTheme="minorEastAsia" w:hAnsi="Arial" w:cs="Arial"/>
          <w:sz w:val="22"/>
          <w:szCs w:val="22"/>
        </w:rPr>
        <w:t>reiterated</w:t>
      </w:r>
      <w:r w:rsidR="0035786C">
        <w:rPr>
          <w:rFonts w:ascii="Arial" w:eastAsiaTheme="minorEastAsia" w:hAnsi="Arial" w:cs="Arial"/>
          <w:sz w:val="22"/>
          <w:szCs w:val="22"/>
        </w:rPr>
        <w:t xml:space="preserve"> its deepest sympathies </w:t>
      </w:r>
      <w:r w:rsidR="00562260">
        <w:rPr>
          <w:rFonts w:ascii="Arial" w:eastAsiaTheme="minorEastAsia" w:hAnsi="Arial" w:cs="Arial"/>
          <w:sz w:val="22"/>
          <w:szCs w:val="22"/>
        </w:rPr>
        <w:t>for</w:t>
      </w:r>
      <w:r w:rsidR="0035786C">
        <w:rPr>
          <w:rFonts w:ascii="Arial" w:eastAsiaTheme="minorEastAsia" w:hAnsi="Arial" w:cs="Arial"/>
          <w:sz w:val="22"/>
          <w:szCs w:val="22"/>
        </w:rPr>
        <w:t xml:space="preserve"> Ethan’s family. </w:t>
      </w:r>
    </w:p>
    <w:p w14:paraId="15400085" w14:textId="1A9DC67D" w:rsidR="006E752A" w:rsidRPr="006E752A" w:rsidRDefault="00DC46F1" w:rsidP="008D76D1">
      <w:pPr>
        <w:tabs>
          <w:tab w:val="left" w:pos="0"/>
        </w:tabs>
        <w:autoSpaceDE/>
        <w:autoSpaceDN/>
        <w:spacing w:after="240"/>
        <w:rPr>
          <w:rFonts w:ascii="Arial" w:eastAsiaTheme="minorEastAsia" w:hAnsi="Arial" w:cs="Arial"/>
          <w:b/>
          <w:bCs/>
          <w:sz w:val="22"/>
          <w:szCs w:val="22"/>
        </w:rPr>
      </w:pPr>
      <w:r>
        <w:rPr>
          <w:rFonts w:ascii="Arial" w:eastAsiaTheme="minorEastAsia" w:hAnsi="Arial" w:cs="Arial"/>
          <w:sz w:val="22"/>
          <w:szCs w:val="22"/>
        </w:rPr>
        <w:t xml:space="preserve">A query was raised about the </w:t>
      </w:r>
      <w:r w:rsidR="006E752A">
        <w:rPr>
          <w:rFonts w:ascii="Arial" w:eastAsiaTheme="minorEastAsia" w:hAnsi="Arial" w:cs="Arial"/>
          <w:sz w:val="22"/>
          <w:szCs w:val="22"/>
        </w:rPr>
        <w:t>recruitment process for the Senior Vice-Principal</w:t>
      </w:r>
      <w:r>
        <w:rPr>
          <w:rFonts w:ascii="Arial" w:eastAsiaTheme="minorEastAsia" w:hAnsi="Arial" w:cs="Arial"/>
          <w:sz w:val="22"/>
          <w:szCs w:val="22"/>
        </w:rPr>
        <w:t xml:space="preserve"> and Court noted that this w</w:t>
      </w:r>
      <w:r w:rsidR="006E752A">
        <w:rPr>
          <w:rFonts w:ascii="Arial" w:eastAsiaTheme="minorEastAsia" w:hAnsi="Arial" w:cs="Arial"/>
          <w:sz w:val="22"/>
          <w:szCs w:val="22"/>
        </w:rPr>
        <w:t>as</w:t>
      </w:r>
      <w:r>
        <w:rPr>
          <w:rFonts w:ascii="Arial" w:eastAsiaTheme="minorEastAsia" w:hAnsi="Arial" w:cs="Arial"/>
          <w:sz w:val="22"/>
          <w:szCs w:val="22"/>
        </w:rPr>
        <w:t xml:space="preserve"> an SMG appointment so was for the </w:t>
      </w:r>
      <w:proofErr w:type="gramStart"/>
      <w:r w:rsidR="006E752A">
        <w:rPr>
          <w:rFonts w:ascii="Arial" w:eastAsiaTheme="minorEastAsia" w:hAnsi="Arial" w:cs="Arial"/>
          <w:sz w:val="22"/>
          <w:szCs w:val="22"/>
        </w:rPr>
        <w:t>Principal</w:t>
      </w:r>
      <w:proofErr w:type="gramEnd"/>
      <w:r>
        <w:rPr>
          <w:rFonts w:ascii="Arial" w:eastAsiaTheme="minorEastAsia" w:hAnsi="Arial" w:cs="Arial"/>
          <w:sz w:val="22"/>
          <w:szCs w:val="22"/>
        </w:rPr>
        <w:t xml:space="preserve"> to take forward </w:t>
      </w:r>
      <w:r w:rsidR="006E752A">
        <w:rPr>
          <w:rFonts w:ascii="Arial" w:eastAsiaTheme="minorEastAsia" w:hAnsi="Arial" w:cs="Arial"/>
          <w:sz w:val="22"/>
          <w:szCs w:val="22"/>
        </w:rPr>
        <w:t xml:space="preserve">rather than </w:t>
      </w:r>
      <w:r>
        <w:rPr>
          <w:rFonts w:ascii="Arial" w:eastAsiaTheme="minorEastAsia" w:hAnsi="Arial" w:cs="Arial"/>
          <w:sz w:val="22"/>
          <w:szCs w:val="22"/>
        </w:rPr>
        <w:t>being a</w:t>
      </w:r>
      <w:r w:rsidR="006E752A">
        <w:rPr>
          <w:rFonts w:ascii="Arial" w:eastAsiaTheme="minorEastAsia" w:hAnsi="Arial" w:cs="Arial"/>
          <w:sz w:val="22"/>
          <w:szCs w:val="22"/>
        </w:rPr>
        <w:t xml:space="preserve"> Court appointment.</w:t>
      </w:r>
    </w:p>
    <w:p w14:paraId="2EC30EBE" w14:textId="7B8A185F" w:rsidR="002C0502" w:rsidRPr="009C2E74" w:rsidRDefault="002C0502" w:rsidP="002C0502">
      <w:pPr>
        <w:pStyle w:val="Body"/>
        <w:pBdr>
          <w:top w:val="none" w:sz="0" w:space="0" w:color="auto"/>
          <w:left w:val="none" w:sz="0" w:space="0" w:color="auto"/>
          <w:bottom w:val="none" w:sz="0" w:space="0" w:color="auto"/>
          <w:right w:val="none" w:sz="0" w:space="0" w:color="auto"/>
        </w:pBdr>
        <w:spacing w:after="120"/>
        <w:jc w:val="both"/>
        <w:rPr>
          <w:rFonts w:ascii="Arial" w:eastAsiaTheme="minorEastAsia" w:hAnsi="Arial" w:cs="Arial"/>
          <w:b/>
          <w:bCs/>
          <w:sz w:val="22"/>
          <w:szCs w:val="22"/>
        </w:rPr>
      </w:pPr>
      <w:r w:rsidRPr="002B1E2C">
        <w:rPr>
          <w:rFonts w:ascii="Arial" w:eastAsiaTheme="minorEastAsia" w:hAnsi="Arial" w:cs="Arial"/>
          <w:b/>
          <w:bCs/>
          <w:sz w:val="22"/>
          <w:szCs w:val="22"/>
        </w:rPr>
        <w:t>CRT/202</w:t>
      </w:r>
      <w:r w:rsidR="000D7B8E" w:rsidRPr="002B1E2C">
        <w:rPr>
          <w:rFonts w:ascii="Arial" w:eastAsiaTheme="minorEastAsia" w:hAnsi="Arial" w:cs="Arial"/>
          <w:b/>
          <w:bCs/>
          <w:sz w:val="22"/>
          <w:szCs w:val="22"/>
        </w:rPr>
        <w:t>5/</w:t>
      </w:r>
      <w:r w:rsidR="00BA64FF">
        <w:rPr>
          <w:rFonts w:ascii="Arial" w:eastAsiaTheme="minorEastAsia" w:hAnsi="Arial" w:cs="Arial"/>
          <w:b/>
          <w:bCs/>
          <w:sz w:val="22"/>
          <w:szCs w:val="22"/>
        </w:rPr>
        <w:t>22</w:t>
      </w:r>
      <w:r w:rsidRPr="002B1E2C">
        <w:rPr>
          <w:rFonts w:ascii="Arial" w:eastAsiaTheme="minorEastAsia" w:hAnsi="Arial" w:cs="Arial"/>
          <w:b/>
          <w:bCs/>
          <w:sz w:val="22"/>
          <w:szCs w:val="22"/>
        </w:rPr>
        <w:t>. Report from the University Secretary</w:t>
      </w:r>
      <w:r w:rsidR="005A4BAE">
        <w:rPr>
          <w:rFonts w:ascii="Arial" w:eastAsiaTheme="minorEastAsia" w:hAnsi="Arial" w:cs="Arial"/>
          <w:b/>
          <w:bCs/>
          <w:sz w:val="22"/>
          <w:szCs w:val="22"/>
        </w:rPr>
        <w:t xml:space="preserve"> and Chief Operating Officer</w:t>
      </w:r>
      <w:r w:rsidRPr="009C2E74">
        <w:rPr>
          <w:rFonts w:ascii="Arial" w:eastAsiaTheme="minorEastAsia" w:hAnsi="Arial" w:cs="Arial"/>
          <w:b/>
          <w:bCs/>
          <w:sz w:val="22"/>
          <w:szCs w:val="22"/>
        </w:rPr>
        <w:t xml:space="preserve"> </w:t>
      </w:r>
    </w:p>
    <w:p w14:paraId="5A12C3A2" w14:textId="516C0452" w:rsidR="0070346A" w:rsidRPr="0070346A" w:rsidRDefault="002C0502" w:rsidP="0070346A">
      <w:pPr>
        <w:pStyle w:val="Body"/>
        <w:pBdr>
          <w:top w:val="none" w:sz="0" w:space="0" w:color="auto"/>
          <w:left w:val="none" w:sz="0" w:space="0" w:color="auto"/>
          <w:bottom w:val="none" w:sz="0" w:space="0" w:color="auto"/>
          <w:right w:val="none" w:sz="0" w:space="0" w:color="auto"/>
        </w:pBdr>
        <w:spacing w:after="120"/>
        <w:jc w:val="both"/>
        <w:rPr>
          <w:rFonts w:ascii="Arial" w:eastAsiaTheme="minorEastAsia" w:hAnsi="Arial" w:cs="Arial"/>
          <w:sz w:val="22"/>
          <w:szCs w:val="22"/>
        </w:rPr>
      </w:pPr>
      <w:r w:rsidRPr="0070346A">
        <w:rPr>
          <w:rFonts w:ascii="Arial" w:eastAsiaTheme="minorEastAsia" w:hAnsi="Arial" w:cs="Arial"/>
          <w:sz w:val="22"/>
          <w:szCs w:val="22"/>
        </w:rPr>
        <w:t>Court noted the report from the University Secretary</w:t>
      </w:r>
      <w:r w:rsidR="005A4BAE" w:rsidRPr="0070346A">
        <w:rPr>
          <w:rFonts w:ascii="Arial" w:eastAsiaTheme="minorEastAsia" w:hAnsi="Arial" w:cs="Arial"/>
          <w:sz w:val="22"/>
          <w:szCs w:val="22"/>
        </w:rPr>
        <w:t xml:space="preserve"> and COO</w:t>
      </w:r>
      <w:r w:rsidRPr="0070346A">
        <w:rPr>
          <w:rFonts w:ascii="Arial" w:eastAsiaTheme="minorEastAsia" w:hAnsi="Arial" w:cs="Arial"/>
          <w:sz w:val="22"/>
          <w:szCs w:val="22"/>
        </w:rPr>
        <w:t xml:space="preserve"> – Paper </w:t>
      </w:r>
      <w:r w:rsidR="00BA64FF" w:rsidRPr="0070346A">
        <w:rPr>
          <w:rFonts w:ascii="Arial" w:eastAsiaTheme="minorEastAsia" w:hAnsi="Arial" w:cs="Arial"/>
          <w:sz w:val="22"/>
          <w:szCs w:val="22"/>
        </w:rPr>
        <w:t>8</w:t>
      </w:r>
      <w:r w:rsidRPr="0070346A">
        <w:rPr>
          <w:rFonts w:ascii="Arial" w:eastAsiaTheme="minorEastAsia" w:hAnsi="Arial" w:cs="Arial"/>
          <w:sz w:val="22"/>
          <w:szCs w:val="22"/>
        </w:rPr>
        <w:t>. The following areas were discussed in further detail.</w:t>
      </w:r>
    </w:p>
    <w:p w14:paraId="0AC28B37" w14:textId="42B038ED" w:rsidR="0070346A" w:rsidRDefault="0070346A" w:rsidP="0070346A">
      <w:pPr>
        <w:spacing w:after="120"/>
        <w:rPr>
          <w:rFonts w:ascii="Arial" w:hAnsi="Arial" w:cs="Arial"/>
          <w:i/>
          <w:sz w:val="22"/>
          <w:szCs w:val="22"/>
        </w:rPr>
      </w:pPr>
      <w:r w:rsidRPr="006B0B3A">
        <w:rPr>
          <w:rFonts w:ascii="Arial" w:hAnsi="Arial" w:cs="Arial"/>
          <w:i/>
          <w:iCs/>
          <w:sz w:val="22"/>
          <w:szCs w:val="22"/>
        </w:rPr>
        <w:t>CRT/2025/</w:t>
      </w:r>
      <w:r>
        <w:rPr>
          <w:rFonts w:ascii="Arial" w:hAnsi="Arial" w:cs="Arial"/>
          <w:i/>
          <w:iCs/>
          <w:sz w:val="22"/>
          <w:szCs w:val="22"/>
        </w:rPr>
        <w:t>22.1</w:t>
      </w:r>
      <w:r w:rsidRPr="006B0B3A">
        <w:rPr>
          <w:rFonts w:ascii="Arial" w:hAnsi="Arial" w:cs="Arial"/>
          <w:i/>
          <w:sz w:val="22"/>
          <w:szCs w:val="22"/>
        </w:rPr>
        <w:t xml:space="preserve"> General Council Assessors Appointment Process</w:t>
      </w:r>
    </w:p>
    <w:p w14:paraId="4227194E" w14:textId="30028D3A" w:rsidR="00B011D2" w:rsidRDefault="0043197D" w:rsidP="00B011D2">
      <w:pPr>
        <w:spacing w:after="120"/>
        <w:contextualSpacing/>
        <w:rPr>
          <w:rFonts w:ascii="Arial" w:hAnsi="Arial" w:cs="Arial"/>
          <w:iCs/>
          <w:sz w:val="22"/>
          <w:szCs w:val="22"/>
        </w:rPr>
      </w:pPr>
      <w:r w:rsidRPr="0043197D">
        <w:rPr>
          <w:rFonts w:ascii="Arial" w:hAnsi="Arial" w:cs="Arial"/>
          <w:iCs/>
          <w:sz w:val="22"/>
          <w:szCs w:val="22"/>
        </w:rPr>
        <w:t xml:space="preserve">Court considered a proposal to replace the current elected process for General Council Assessors with a nominations-based system. </w:t>
      </w:r>
      <w:r>
        <w:rPr>
          <w:rFonts w:ascii="Arial" w:hAnsi="Arial" w:cs="Arial"/>
          <w:iCs/>
          <w:sz w:val="22"/>
          <w:szCs w:val="22"/>
        </w:rPr>
        <w:t>The</w:t>
      </w:r>
      <w:r w:rsidRPr="0043197D">
        <w:rPr>
          <w:rFonts w:ascii="Arial" w:hAnsi="Arial" w:cs="Arial"/>
          <w:iCs/>
          <w:sz w:val="22"/>
          <w:szCs w:val="22"/>
        </w:rPr>
        <w:t xml:space="preserve"> main </w:t>
      </w:r>
      <w:r>
        <w:rPr>
          <w:rFonts w:ascii="Arial" w:hAnsi="Arial" w:cs="Arial"/>
          <w:iCs/>
          <w:sz w:val="22"/>
          <w:szCs w:val="22"/>
        </w:rPr>
        <w:t>reasons noted were</w:t>
      </w:r>
      <w:r w:rsidRPr="0043197D">
        <w:rPr>
          <w:rFonts w:ascii="Arial" w:hAnsi="Arial" w:cs="Arial"/>
          <w:iCs/>
          <w:sz w:val="22"/>
          <w:szCs w:val="22"/>
        </w:rPr>
        <w:t xml:space="preserve"> persistently low engagement in elections despite extensive efforts</w:t>
      </w:r>
      <w:r w:rsidR="00AA20B4">
        <w:rPr>
          <w:rFonts w:ascii="Arial" w:hAnsi="Arial" w:cs="Arial"/>
          <w:iCs/>
          <w:sz w:val="22"/>
          <w:szCs w:val="22"/>
        </w:rPr>
        <w:t xml:space="preserve"> which meant that the process could not be deemed democratic</w:t>
      </w:r>
      <w:r w:rsidR="00B011D2">
        <w:rPr>
          <w:rFonts w:ascii="Arial" w:hAnsi="Arial" w:cs="Arial"/>
          <w:iCs/>
          <w:sz w:val="22"/>
          <w:szCs w:val="22"/>
        </w:rPr>
        <w:t>,</w:t>
      </w:r>
      <w:r w:rsidRPr="0043197D">
        <w:rPr>
          <w:rFonts w:ascii="Arial" w:hAnsi="Arial" w:cs="Arial"/>
          <w:iCs/>
          <w:sz w:val="22"/>
          <w:szCs w:val="22"/>
        </w:rPr>
        <w:t xml:space="preserve"> </w:t>
      </w:r>
      <w:r>
        <w:rPr>
          <w:rFonts w:ascii="Arial" w:hAnsi="Arial" w:cs="Arial"/>
          <w:iCs/>
          <w:sz w:val="22"/>
          <w:szCs w:val="22"/>
        </w:rPr>
        <w:t xml:space="preserve">and </w:t>
      </w:r>
      <w:r w:rsidRPr="0043197D">
        <w:rPr>
          <w:rFonts w:ascii="Arial" w:hAnsi="Arial" w:cs="Arial"/>
          <w:iCs/>
          <w:sz w:val="22"/>
          <w:szCs w:val="22"/>
        </w:rPr>
        <w:t>th</w:t>
      </w:r>
      <w:r w:rsidR="00AA20B4">
        <w:rPr>
          <w:rFonts w:ascii="Arial" w:hAnsi="Arial" w:cs="Arial"/>
          <w:iCs/>
          <w:sz w:val="22"/>
          <w:szCs w:val="22"/>
        </w:rPr>
        <w:t xml:space="preserve">at the proposed revised approach would give the </w:t>
      </w:r>
      <w:r w:rsidRPr="0043197D">
        <w:rPr>
          <w:rFonts w:ascii="Arial" w:hAnsi="Arial" w:cs="Arial"/>
          <w:iCs/>
          <w:sz w:val="22"/>
          <w:szCs w:val="22"/>
        </w:rPr>
        <w:t>opportunity to select candidates with specific skills</w:t>
      </w:r>
      <w:r w:rsidR="00AA20B4">
        <w:rPr>
          <w:rFonts w:ascii="Arial" w:hAnsi="Arial" w:cs="Arial"/>
          <w:iCs/>
          <w:sz w:val="22"/>
          <w:szCs w:val="22"/>
        </w:rPr>
        <w:t xml:space="preserve"> that would enhance Court</w:t>
      </w:r>
      <w:r>
        <w:rPr>
          <w:rFonts w:ascii="Arial" w:hAnsi="Arial" w:cs="Arial"/>
          <w:iCs/>
          <w:sz w:val="22"/>
          <w:szCs w:val="22"/>
        </w:rPr>
        <w:t xml:space="preserve">. It was </w:t>
      </w:r>
      <w:r w:rsidR="00B011D2">
        <w:rPr>
          <w:rFonts w:ascii="Arial" w:hAnsi="Arial" w:cs="Arial"/>
          <w:iCs/>
          <w:sz w:val="22"/>
          <w:szCs w:val="22"/>
        </w:rPr>
        <w:t>reported</w:t>
      </w:r>
      <w:r>
        <w:rPr>
          <w:rFonts w:ascii="Arial" w:hAnsi="Arial" w:cs="Arial"/>
          <w:iCs/>
          <w:sz w:val="22"/>
          <w:szCs w:val="22"/>
        </w:rPr>
        <w:t xml:space="preserve"> that h</w:t>
      </w:r>
      <w:r w:rsidRPr="0043197D">
        <w:rPr>
          <w:rFonts w:ascii="Arial" w:hAnsi="Arial" w:cs="Arial"/>
          <w:iCs/>
          <w:sz w:val="22"/>
          <w:szCs w:val="22"/>
        </w:rPr>
        <w:t>istoric</w:t>
      </w:r>
      <w:r>
        <w:rPr>
          <w:rFonts w:ascii="Arial" w:hAnsi="Arial" w:cs="Arial"/>
          <w:iCs/>
          <w:sz w:val="22"/>
          <w:szCs w:val="22"/>
        </w:rPr>
        <w:t>ally</w:t>
      </w:r>
      <w:r w:rsidR="0035786C">
        <w:rPr>
          <w:rFonts w:ascii="Arial" w:hAnsi="Arial" w:cs="Arial"/>
          <w:iCs/>
          <w:sz w:val="22"/>
          <w:szCs w:val="22"/>
        </w:rPr>
        <w:t>,</w:t>
      </w:r>
      <w:r w:rsidRPr="0043197D">
        <w:rPr>
          <w:rFonts w:ascii="Arial" w:hAnsi="Arial" w:cs="Arial"/>
          <w:iCs/>
          <w:sz w:val="22"/>
          <w:szCs w:val="22"/>
        </w:rPr>
        <w:t xml:space="preserve"> turnout ha</w:t>
      </w:r>
      <w:r>
        <w:rPr>
          <w:rFonts w:ascii="Arial" w:hAnsi="Arial" w:cs="Arial"/>
          <w:iCs/>
          <w:sz w:val="22"/>
          <w:szCs w:val="22"/>
        </w:rPr>
        <w:t>d</w:t>
      </w:r>
      <w:r w:rsidRPr="0043197D">
        <w:rPr>
          <w:rFonts w:ascii="Arial" w:hAnsi="Arial" w:cs="Arial"/>
          <w:iCs/>
          <w:sz w:val="22"/>
          <w:szCs w:val="22"/>
        </w:rPr>
        <w:t xml:space="preserve"> been extremely low</w:t>
      </w:r>
      <w:r w:rsidR="00B011D2">
        <w:rPr>
          <w:rFonts w:ascii="Arial" w:hAnsi="Arial" w:cs="Arial"/>
          <w:iCs/>
          <w:sz w:val="22"/>
          <w:szCs w:val="22"/>
        </w:rPr>
        <w:t xml:space="preserve"> in elections with the most recent election having a total of </w:t>
      </w:r>
      <w:r w:rsidRPr="0043197D">
        <w:rPr>
          <w:rFonts w:ascii="Arial" w:hAnsi="Arial" w:cs="Arial"/>
          <w:iCs/>
          <w:sz w:val="22"/>
          <w:szCs w:val="22"/>
        </w:rPr>
        <w:t xml:space="preserve">429 votes </w:t>
      </w:r>
      <w:r w:rsidR="00B011D2">
        <w:rPr>
          <w:rFonts w:ascii="Arial" w:hAnsi="Arial" w:cs="Arial"/>
          <w:iCs/>
          <w:sz w:val="22"/>
          <w:szCs w:val="22"/>
        </w:rPr>
        <w:t xml:space="preserve">cast </w:t>
      </w:r>
      <w:r w:rsidRPr="0043197D">
        <w:rPr>
          <w:rFonts w:ascii="Arial" w:hAnsi="Arial" w:cs="Arial"/>
          <w:iCs/>
          <w:sz w:val="22"/>
          <w:szCs w:val="22"/>
        </w:rPr>
        <w:t>from over 300,000 eligible alumni</w:t>
      </w:r>
      <w:r>
        <w:rPr>
          <w:rFonts w:ascii="Arial" w:hAnsi="Arial" w:cs="Arial"/>
          <w:iCs/>
          <w:sz w:val="22"/>
          <w:szCs w:val="22"/>
        </w:rPr>
        <w:t xml:space="preserve"> (0.143%)</w:t>
      </w:r>
      <w:r w:rsidR="00AA20B4">
        <w:rPr>
          <w:rFonts w:ascii="Arial" w:hAnsi="Arial" w:cs="Arial"/>
          <w:iCs/>
          <w:sz w:val="22"/>
          <w:szCs w:val="22"/>
        </w:rPr>
        <w:t xml:space="preserve"> spread across [more than 1</w:t>
      </w:r>
      <w:r w:rsidR="00D700BA">
        <w:rPr>
          <w:rFonts w:ascii="Arial" w:hAnsi="Arial" w:cs="Arial"/>
          <w:iCs/>
          <w:sz w:val="22"/>
          <w:szCs w:val="22"/>
        </w:rPr>
        <w:t>1</w:t>
      </w:r>
      <w:r w:rsidR="00AA20B4">
        <w:rPr>
          <w:rFonts w:ascii="Arial" w:hAnsi="Arial" w:cs="Arial"/>
          <w:iCs/>
          <w:sz w:val="22"/>
          <w:szCs w:val="22"/>
        </w:rPr>
        <w:t>] candidates</w:t>
      </w:r>
      <w:r w:rsidRPr="0043197D">
        <w:rPr>
          <w:rFonts w:ascii="Arial" w:hAnsi="Arial" w:cs="Arial"/>
          <w:iCs/>
          <w:sz w:val="22"/>
          <w:szCs w:val="22"/>
        </w:rPr>
        <w:t xml:space="preserve">. </w:t>
      </w:r>
      <w:r>
        <w:rPr>
          <w:rFonts w:ascii="Arial" w:hAnsi="Arial" w:cs="Arial"/>
          <w:iCs/>
          <w:sz w:val="22"/>
          <w:szCs w:val="22"/>
        </w:rPr>
        <w:t xml:space="preserve">It was also noted that </w:t>
      </w:r>
      <w:r w:rsidR="00B3393D">
        <w:rPr>
          <w:rFonts w:ascii="Arial" w:hAnsi="Arial" w:cs="Arial"/>
          <w:iCs/>
          <w:sz w:val="22"/>
          <w:szCs w:val="22"/>
        </w:rPr>
        <w:t>any</w:t>
      </w:r>
      <w:r w:rsidR="00562260">
        <w:rPr>
          <w:rFonts w:ascii="Arial" w:hAnsi="Arial" w:cs="Arial"/>
          <w:iCs/>
          <w:sz w:val="22"/>
          <w:szCs w:val="22"/>
        </w:rPr>
        <w:t xml:space="preserve"> </w:t>
      </w:r>
      <w:r w:rsidR="00AA20B4">
        <w:rPr>
          <w:rFonts w:ascii="Arial" w:hAnsi="Arial" w:cs="Arial"/>
          <w:iCs/>
          <w:sz w:val="22"/>
          <w:szCs w:val="22"/>
        </w:rPr>
        <w:t xml:space="preserve">alumni who put </w:t>
      </w:r>
      <w:r w:rsidR="00D700BA">
        <w:rPr>
          <w:rFonts w:ascii="Arial" w:hAnsi="Arial" w:cs="Arial"/>
          <w:iCs/>
          <w:sz w:val="22"/>
          <w:szCs w:val="22"/>
        </w:rPr>
        <w:t>their</w:t>
      </w:r>
      <w:r w:rsidR="00AA20B4">
        <w:rPr>
          <w:rFonts w:ascii="Arial" w:hAnsi="Arial" w:cs="Arial"/>
          <w:iCs/>
          <w:sz w:val="22"/>
          <w:szCs w:val="22"/>
        </w:rPr>
        <w:t xml:space="preserve"> name forward was allowed to stand</w:t>
      </w:r>
      <w:r w:rsidR="00F04610">
        <w:rPr>
          <w:rFonts w:ascii="Arial" w:hAnsi="Arial" w:cs="Arial"/>
          <w:iCs/>
          <w:sz w:val="22"/>
          <w:szCs w:val="22"/>
        </w:rPr>
        <w:t>.</w:t>
      </w:r>
      <w:r w:rsidR="00AA20B4">
        <w:rPr>
          <w:rFonts w:ascii="Arial" w:hAnsi="Arial" w:cs="Arial"/>
          <w:iCs/>
          <w:sz w:val="22"/>
          <w:szCs w:val="22"/>
        </w:rPr>
        <w:t xml:space="preserve">  </w:t>
      </w:r>
      <w:r w:rsidR="00F04610">
        <w:rPr>
          <w:rFonts w:ascii="Arial" w:hAnsi="Arial" w:cs="Arial"/>
          <w:iCs/>
          <w:sz w:val="22"/>
          <w:szCs w:val="22"/>
        </w:rPr>
        <w:t xml:space="preserve">Amber Higgins also made the point that under </w:t>
      </w:r>
      <w:r w:rsidRPr="0043197D">
        <w:rPr>
          <w:rFonts w:ascii="Arial" w:hAnsi="Arial" w:cs="Arial"/>
          <w:iCs/>
          <w:sz w:val="22"/>
          <w:szCs w:val="22"/>
        </w:rPr>
        <w:t xml:space="preserve">GDPR </w:t>
      </w:r>
      <w:r w:rsidR="00F04610">
        <w:rPr>
          <w:rFonts w:ascii="Arial" w:hAnsi="Arial" w:cs="Arial"/>
          <w:iCs/>
          <w:sz w:val="22"/>
          <w:szCs w:val="22"/>
        </w:rPr>
        <w:t>the University was limited in the</w:t>
      </w:r>
      <w:r w:rsidR="00AC3015">
        <w:rPr>
          <w:rFonts w:ascii="Arial" w:hAnsi="Arial" w:cs="Arial"/>
          <w:iCs/>
          <w:sz w:val="22"/>
          <w:szCs w:val="22"/>
        </w:rPr>
        <w:t xml:space="preserve"> </w:t>
      </w:r>
      <w:r w:rsidRPr="0043197D">
        <w:rPr>
          <w:rFonts w:ascii="Arial" w:hAnsi="Arial" w:cs="Arial"/>
          <w:iCs/>
          <w:sz w:val="22"/>
          <w:szCs w:val="22"/>
        </w:rPr>
        <w:t>communications</w:t>
      </w:r>
      <w:r w:rsidR="00E802D2">
        <w:rPr>
          <w:rFonts w:ascii="Arial" w:hAnsi="Arial" w:cs="Arial"/>
          <w:iCs/>
          <w:sz w:val="22"/>
          <w:szCs w:val="22"/>
        </w:rPr>
        <w:t xml:space="preserve"> that could be issued</w:t>
      </w:r>
      <w:r w:rsidR="00AC3015">
        <w:rPr>
          <w:rFonts w:ascii="Arial" w:hAnsi="Arial" w:cs="Arial"/>
          <w:iCs/>
          <w:sz w:val="22"/>
          <w:szCs w:val="22"/>
        </w:rPr>
        <w:t xml:space="preserve"> to alumni</w:t>
      </w:r>
      <w:r w:rsidRPr="0043197D">
        <w:rPr>
          <w:rFonts w:ascii="Arial" w:hAnsi="Arial" w:cs="Arial"/>
          <w:iCs/>
          <w:sz w:val="22"/>
          <w:szCs w:val="22"/>
        </w:rPr>
        <w:t xml:space="preserve">, making </w:t>
      </w:r>
      <w:r w:rsidR="00E802D2">
        <w:rPr>
          <w:rFonts w:ascii="Arial" w:hAnsi="Arial" w:cs="Arial"/>
          <w:iCs/>
          <w:sz w:val="22"/>
          <w:szCs w:val="22"/>
        </w:rPr>
        <w:t xml:space="preserve">it difficult to </w:t>
      </w:r>
      <w:r w:rsidRPr="0043197D">
        <w:rPr>
          <w:rFonts w:ascii="Arial" w:hAnsi="Arial" w:cs="Arial"/>
          <w:iCs/>
          <w:sz w:val="22"/>
          <w:szCs w:val="22"/>
        </w:rPr>
        <w:t xml:space="preserve">improve </w:t>
      </w:r>
      <w:r w:rsidR="00AA20B4">
        <w:rPr>
          <w:rFonts w:ascii="Arial" w:hAnsi="Arial" w:cs="Arial"/>
          <w:iCs/>
          <w:sz w:val="22"/>
          <w:szCs w:val="22"/>
        </w:rPr>
        <w:t xml:space="preserve">participation </w:t>
      </w:r>
      <w:r w:rsidR="00E802D2">
        <w:rPr>
          <w:rFonts w:ascii="Arial" w:hAnsi="Arial" w:cs="Arial"/>
          <w:iCs/>
          <w:sz w:val="22"/>
          <w:szCs w:val="22"/>
        </w:rPr>
        <w:t>rates</w:t>
      </w:r>
      <w:r w:rsidR="00562260">
        <w:rPr>
          <w:rFonts w:ascii="Arial" w:hAnsi="Arial" w:cs="Arial"/>
          <w:iCs/>
          <w:sz w:val="22"/>
          <w:szCs w:val="22"/>
        </w:rPr>
        <w:t>.</w:t>
      </w:r>
    </w:p>
    <w:p w14:paraId="0CC1F897" w14:textId="77777777" w:rsidR="00AA20B4" w:rsidRDefault="00AA20B4" w:rsidP="00B011D2">
      <w:pPr>
        <w:spacing w:after="120"/>
        <w:contextualSpacing/>
        <w:rPr>
          <w:rFonts w:ascii="Arial" w:hAnsi="Arial" w:cs="Arial"/>
          <w:iCs/>
          <w:sz w:val="22"/>
          <w:szCs w:val="22"/>
        </w:rPr>
      </w:pPr>
    </w:p>
    <w:p w14:paraId="113289C4" w14:textId="19650B4F" w:rsidR="00B011D2" w:rsidRDefault="00AA20B4" w:rsidP="00B011D2">
      <w:pPr>
        <w:spacing w:after="120"/>
        <w:contextualSpacing/>
        <w:rPr>
          <w:rFonts w:ascii="Arial" w:hAnsi="Arial" w:cs="Arial"/>
          <w:iCs/>
          <w:sz w:val="22"/>
          <w:szCs w:val="22"/>
        </w:rPr>
      </w:pPr>
      <w:proofErr w:type="gramStart"/>
      <w:r>
        <w:rPr>
          <w:rFonts w:ascii="Arial" w:hAnsi="Arial" w:cs="Arial"/>
          <w:iCs/>
          <w:sz w:val="22"/>
          <w:szCs w:val="22"/>
        </w:rPr>
        <w:t>A number of</w:t>
      </w:r>
      <w:proofErr w:type="gramEnd"/>
      <w:r>
        <w:rPr>
          <w:rFonts w:ascii="Arial" w:hAnsi="Arial" w:cs="Arial"/>
          <w:iCs/>
          <w:sz w:val="22"/>
          <w:szCs w:val="22"/>
        </w:rPr>
        <w:t xml:space="preserve"> s</w:t>
      </w:r>
      <w:r w:rsidR="0043197D">
        <w:rPr>
          <w:rFonts w:ascii="Arial" w:hAnsi="Arial" w:cs="Arial"/>
          <w:iCs/>
          <w:sz w:val="22"/>
          <w:szCs w:val="22"/>
        </w:rPr>
        <w:t xml:space="preserve">taff and student </w:t>
      </w:r>
      <w:r w:rsidR="0043197D" w:rsidRPr="0043197D">
        <w:rPr>
          <w:rFonts w:ascii="Arial" w:hAnsi="Arial" w:cs="Arial"/>
          <w:iCs/>
          <w:sz w:val="22"/>
          <w:szCs w:val="22"/>
        </w:rPr>
        <w:t xml:space="preserve">members expressed </w:t>
      </w:r>
      <w:r w:rsidR="00B011D2">
        <w:rPr>
          <w:rFonts w:ascii="Arial" w:hAnsi="Arial" w:cs="Arial"/>
          <w:iCs/>
          <w:sz w:val="22"/>
          <w:szCs w:val="22"/>
        </w:rPr>
        <w:t>concerns</w:t>
      </w:r>
      <w:r w:rsidR="0043197D" w:rsidRPr="0043197D">
        <w:rPr>
          <w:rFonts w:ascii="Arial" w:hAnsi="Arial" w:cs="Arial"/>
          <w:iCs/>
          <w:sz w:val="22"/>
          <w:szCs w:val="22"/>
        </w:rPr>
        <w:t xml:space="preserve"> about removing the democratic element of the process. They argued that disenfranchising alumni risk</w:t>
      </w:r>
      <w:r w:rsidR="0035786C">
        <w:rPr>
          <w:rFonts w:ascii="Arial" w:hAnsi="Arial" w:cs="Arial"/>
          <w:iCs/>
          <w:sz w:val="22"/>
          <w:szCs w:val="22"/>
        </w:rPr>
        <w:t>ed</w:t>
      </w:r>
      <w:r w:rsidR="0043197D" w:rsidRPr="0043197D">
        <w:rPr>
          <w:rFonts w:ascii="Arial" w:hAnsi="Arial" w:cs="Arial"/>
          <w:iCs/>
          <w:sz w:val="22"/>
          <w:szCs w:val="22"/>
        </w:rPr>
        <w:t xml:space="preserve"> reputational damage and undermin</w:t>
      </w:r>
      <w:r w:rsidR="0035786C">
        <w:rPr>
          <w:rFonts w:ascii="Arial" w:hAnsi="Arial" w:cs="Arial"/>
          <w:iCs/>
          <w:sz w:val="22"/>
          <w:szCs w:val="22"/>
        </w:rPr>
        <w:t>ing</w:t>
      </w:r>
      <w:r w:rsidR="0043197D" w:rsidRPr="0043197D">
        <w:rPr>
          <w:rFonts w:ascii="Arial" w:hAnsi="Arial" w:cs="Arial"/>
          <w:iCs/>
          <w:sz w:val="22"/>
          <w:szCs w:val="22"/>
        </w:rPr>
        <w:t xml:space="preserve"> transparency, particularly when combined with other appointed roles. </w:t>
      </w:r>
      <w:r>
        <w:rPr>
          <w:rFonts w:ascii="Arial" w:hAnsi="Arial" w:cs="Arial"/>
          <w:iCs/>
          <w:sz w:val="22"/>
          <w:szCs w:val="22"/>
        </w:rPr>
        <w:t xml:space="preserve">They </w:t>
      </w:r>
      <w:r w:rsidR="0043197D" w:rsidRPr="0043197D">
        <w:rPr>
          <w:rFonts w:ascii="Arial" w:hAnsi="Arial" w:cs="Arial"/>
          <w:iCs/>
          <w:sz w:val="22"/>
          <w:szCs w:val="22"/>
        </w:rPr>
        <w:t>noted that the current system ha</w:t>
      </w:r>
      <w:r w:rsidR="0043197D">
        <w:rPr>
          <w:rFonts w:ascii="Arial" w:hAnsi="Arial" w:cs="Arial"/>
          <w:iCs/>
          <w:sz w:val="22"/>
          <w:szCs w:val="22"/>
        </w:rPr>
        <w:t>d</w:t>
      </w:r>
      <w:r w:rsidR="0043197D" w:rsidRPr="0043197D">
        <w:rPr>
          <w:rFonts w:ascii="Arial" w:hAnsi="Arial" w:cs="Arial"/>
          <w:iCs/>
          <w:sz w:val="22"/>
          <w:szCs w:val="22"/>
        </w:rPr>
        <w:t xml:space="preserve"> produced excellent assessors and that low turnout should prompt better engagement rather than abolishing elections. Concerns were also raised about timing, given the Scottish Parliament’s ongoing debate on the Tertiary Education and Training Funding Bill, which include</w:t>
      </w:r>
      <w:r w:rsidR="0043197D">
        <w:rPr>
          <w:rFonts w:ascii="Arial" w:hAnsi="Arial" w:cs="Arial"/>
          <w:iCs/>
          <w:sz w:val="22"/>
          <w:szCs w:val="22"/>
        </w:rPr>
        <w:t>d</w:t>
      </w:r>
      <w:r w:rsidR="0043197D" w:rsidRPr="0043197D">
        <w:rPr>
          <w:rFonts w:ascii="Arial" w:hAnsi="Arial" w:cs="Arial"/>
          <w:iCs/>
          <w:sz w:val="22"/>
          <w:szCs w:val="22"/>
        </w:rPr>
        <w:t xml:space="preserve"> </w:t>
      </w:r>
      <w:r>
        <w:rPr>
          <w:rFonts w:ascii="Arial" w:hAnsi="Arial" w:cs="Arial"/>
          <w:iCs/>
          <w:sz w:val="22"/>
          <w:szCs w:val="22"/>
        </w:rPr>
        <w:t xml:space="preserve">a proposed amendment which if passed would require at least </w:t>
      </w:r>
      <w:r w:rsidR="00B011D2">
        <w:rPr>
          <w:rFonts w:ascii="Arial" w:hAnsi="Arial" w:cs="Arial"/>
          <w:iCs/>
          <w:sz w:val="22"/>
          <w:szCs w:val="22"/>
        </w:rPr>
        <w:t>50% of the governing body to be elected</w:t>
      </w:r>
      <w:r w:rsidR="0043197D" w:rsidRPr="0043197D">
        <w:rPr>
          <w:rFonts w:ascii="Arial" w:hAnsi="Arial" w:cs="Arial"/>
          <w:iCs/>
          <w:sz w:val="22"/>
          <w:szCs w:val="22"/>
        </w:rPr>
        <w:t xml:space="preserve">. </w:t>
      </w:r>
    </w:p>
    <w:p w14:paraId="0D36CC4C" w14:textId="3C920CCC" w:rsidR="00B011D2" w:rsidRDefault="0043197D" w:rsidP="00B011D2">
      <w:pPr>
        <w:spacing w:after="120"/>
        <w:contextualSpacing/>
        <w:rPr>
          <w:rFonts w:ascii="Arial" w:hAnsi="Arial" w:cs="Arial"/>
          <w:iCs/>
          <w:sz w:val="22"/>
          <w:szCs w:val="22"/>
        </w:rPr>
      </w:pPr>
      <w:r w:rsidRPr="0043197D">
        <w:rPr>
          <w:rFonts w:ascii="Arial" w:hAnsi="Arial" w:cs="Arial"/>
          <w:iCs/>
          <w:sz w:val="22"/>
          <w:szCs w:val="22"/>
        </w:rPr>
        <w:br/>
      </w:r>
      <w:r w:rsidR="00B011D2">
        <w:rPr>
          <w:rFonts w:ascii="Arial" w:hAnsi="Arial" w:cs="Arial"/>
          <w:iCs/>
          <w:sz w:val="22"/>
          <w:szCs w:val="22"/>
        </w:rPr>
        <w:t>As the f</w:t>
      </w:r>
      <w:r w:rsidRPr="0043197D">
        <w:rPr>
          <w:rFonts w:ascii="Arial" w:hAnsi="Arial" w:cs="Arial"/>
          <w:iCs/>
          <w:sz w:val="22"/>
          <w:szCs w:val="22"/>
        </w:rPr>
        <w:t>ormer Clerk to the General Council,</w:t>
      </w:r>
      <w:r w:rsidR="00B011D2">
        <w:rPr>
          <w:rFonts w:ascii="Arial" w:hAnsi="Arial" w:cs="Arial"/>
          <w:iCs/>
          <w:sz w:val="22"/>
          <w:szCs w:val="22"/>
        </w:rPr>
        <w:t xml:space="preserve"> Amber Higgins</w:t>
      </w:r>
      <w:r w:rsidRPr="0043197D">
        <w:rPr>
          <w:rFonts w:ascii="Arial" w:hAnsi="Arial" w:cs="Arial"/>
          <w:iCs/>
          <w:sz w:val="22"/>
          <w:szCs w:val="22"/>
        </w:rPr>
        <w:t xml:space="preserve"> confirmed that the University ha</w:t>
      </w:r>
      <w:r w:rsidR="00B07312">
        <w:rPr>
          <w:rFonts w:ascii="Arial" w:hAnsi="Arial" w:cs="Arial"/>
          <w:iCs/>
          <w:sz w:val="22"/>
          <w:szCs w:val="22"/>
        </w:rPr>
        <w:t>d</w:t>
      </w:r>
      <w:r w:rsidRPr="0043197D">
        <w:rPr>
          <w:rFonts w:ascii="Arial" w:hAnsi="Arial" w:cs="Arial"/>
          <w:iCs/>
          <w:sz w:val="22"/>
          <w:szCs w:val="22"/>
        </w:rPr>
        <w:t xml:space="preserve"> invested significant effort over many years to increase participation, including printed magazines, hybrid meetings, </w:t>
      </w:r>
      <w:r w:rsidR="00B011D2">
        <w:rPr>
          <w:rFonts w:ascii="Arial" w:hAnsi="Arial" w:cs="Arial"/>
          <w:iCs/>
          <w:sz w:val="22"/>
          <w:szCs w:val="22"/>
        </w:rPr>
        <w:t xml:space="preserve">online voting, </w:t>
      </w:r>
      <w:r w:rsidRPr="0043197D">
        <w:rPr>
          <w:rFonts w:ascii="Arial" w:hAnsi="Arial" w:cs="Arial"/>
          <w:iCs/>
          <w:sz w:val="22"/>
          <w:szCs w:val="22"/>
        </w:rPr>
        <w:t>and collaboration with the General Council Business Committee</w:t>
      </w:r>
      <w:r w:rsidR="00B011D2">
        <w:rPr>
          <w:rFonts w:ascii="Arial" w:hAnsi="Arial" w:cs="Arial"/>
          <w:iCs/>
          <w:sz w:val="22"/>
          <w:szCs w:val="22"/>
        </w:rPr>
        <w:t xml:space="preserve"> to improve engagement in governance matters</w:t>
      </w:r>
      <w:r w:rsidRPr="0043197D">
        <w:rPr>
          <w:rFonts w:ascii="Arial" w:hAnsi="Arial" w:cs="Arial"/>
          <w:iCs/>
          <w:sz w:val="22"/>
          <w:szCs w:val="22"/>
        </w:rPr>
        <w:t>. Despite these efforts, engagement remain</w:t>
      </w:r>
      <w:r w:rsidR="00B07312">
        <w:rPr>
          <w:rFonts w:ascii="Arial" w:hAnsi="Arial" w:cs="Arial"/>
          <w:iCs/>
          <w:sz w:val="22"/>
          <w:szCs w:val="22"/>
        </w:rPr>
        <w:t>ed</w:t>
      </w:r>
      <w:r w:rsidRPr="0043197D">
        <w:rPr>
          <w:rFonts w:ascii="Arial" w:hAnsi="Arial" w:cs="Arial"/>
          <w:iCs/>
          <w:sz w:val="22"/>
          <w:szCs w:val="22"/>
        </w:rPr>
        <w:t xml:space="preserve"> minimal</w:t>
      </w:r>
      <w:r w:rsidR="00B011D2">
        <w:rPr>
          <w:rFonts w:ascii="Arial" w:hAnsi="Arial" w:cs="Arial"/>
          <w:iCs/>
          <w:sz w:val="22"/>
          <w:szCs w:val="22"/>
        </w:rPr>
        <w:t xml:space="preserve"> on these matters</w:t>
      </w:r>
      <w:r w:rsidRPr="0043197D">
        <w:rPr>
          <w:rFonts w:ascii="Arial" w:hAnsi="Arial" w:cs="Arial"/>
          <w:iCs/>
          <w:sz w:val="22"/>
          <w:szCs w:val="22"/>
        </w:rPr>
        <w:t xml:space="preserve">, with only 20–30 attendees at half-yearly meetings and </w:t>
      </w:r>
      <w:r w:rsidR="0035786C">
        <w:rPr>
          <w:rFonts w:ascii="Arial" w:hAnsi="Arial" w:cs="Arial"/>
          <w:iCs/>
          <w:sz w:val="22"/>
          <w:szCs w:val="22"/>
        </w:rPr>
        <w:t>extremely</w:t>
      </w:r>
      <w:r w:rsidRPr="0043197D">
        <w:rPr>
          <w:rFonts w:ascii="Arial" w:hAnsi="Arial" w:cs="Arial"/>
          <w:iCs/>
          <w:sz w:val="22"/>
          <w:szCs w:val="22"/>
        </w:rPr>
        <w:t xml:space="preserve"> low voting figures. </w:t>
      </w:r>
    </w:p>
    <w:p w14:paraId="2489F00E" w14:textId="227F4497" w:rsidR="0070346A" w:rsidRDefault="0043197D" w:rsidP="00B011D2">
      <w:pPr>
        <w:spacing w:after="120"/>
        <w:contextualSpacing/>
        <w:rPr>
          <w:rFonts w:ascii="Arial" w:hAnsi="Arial" w:cs="Arial"/>
          <w:iCs/>
          <w:sz w:val="22"/>
          <w:szCs w:val="22"/>
        </w:rPr>
      </w:pPr>
      <w:r w:rsidRPr="0043197D">
        <w:rPr>
          <w:rFonts w:ascii="Arial" w:hAnsi="Arial" w:cs="Arial"/>
          <w:iCs/>
          <w:sz w:val="22"/>
          <w:szCs w:val="22"/>
        </w:rPr>
        <w:br/>
      </w:r>
      <w:r w:rsidR="0035786C">
        <w:rPr>
          <w:rFonts w:ascii="Arial" w:hAnsi="Arial" w:cs="Arial"/>
          <w:iCs/>
          <w:sz w:val="22"/>
          <w:szCs w:val="22"/>
        </w:rPr>
        <w:t>Officers undertook to consider the matter further</w:t>
      </w:r>
      <w:r w:rsidR="00B07312">
        <w:rPr>
          <w:rFonts w:ascii="Arial" w:hAnsi="Arial" w:cs="Arial"/>
          <w:iCs/>
          <w:sz w:val="22"/>
          <w:szCs w:val="22"/>
        </w:rPr>
        <w:t>. A</w:t>
      </w:r>
      <w:r w:rsidRPr="0043197D">
        <w:rPr>
          <w:rFonts w:ascii="Arial" w:hAnsi="Arial" w:cs="Arial"/>
          <w:iCs/>
          <w:sz w:val="22"/>
          <w:szCs w:val="22"/>
        </w:rPr>
        <w:t xml:space="preserve"> revised proposa</w:t>
      </w:r>
      <w:r w:rsidR="00B07312">
        <w:rPr>
          <w:rFonts w:ascii="Arial" w:hAnsi="Arial" w:cs="Arial"/>
          <w:iCs/>
          <w:sz w:val="22"/>
          <w:szCs w:val="22"/>
        </w:rPr>
        <w:t xml:space="preserve">l, </w:t>
      </w:r>
      <w:r w:rsidRPr="0043197D">
        <w:rPr>
          <w:rFonts w:ascii="Arial" w:hAnsi="Arial" w:cs="Arial"/>
          <w:iCs/>
          <w:sz w:val="22"/>
          <w:szCs w:val="22"/>
        </w:rPr>
        <w:t>including a draft ordinance and options analysis</w:t>
      </w:r>
      <w:r w:rsidR="00B07312">
        <w:rPr>
          <w:rFonts w:ascii="Arial" w:hAnsi="Arial" w:cs="Arial"/>
          <w:iCs/>
          <w:sz w:val="22"/>
          <w:szCs w:val="22"/>
        </w:rPr>
        <w:t xml:space="preserve"> would be</w:t>
      </w:r>
      <w:r w:rsidRPr="0043197D">
        <w:rPr>
          <w:rFonts w:ascii="Arial" w:hAnsi="Arial" w:cs="Arial"/>
          <w:iCs/>
          <w:sz w:val="22"/>
          <w:szCs w:val="22"/>
        </w:rPr>
        <w:t xml:space="preserve"> consider</w:t>
      </w:r>
      <w:r w:rsidR="00D700BA">
        <w:rPr>
          <w:rFonts w:ascii="Arial" w:hAnsi="Arial" w:cs="Arial"/>
          <w:iCs/>
          <w:sz w:val="22"/>
          <w:szCs w:val="22"/>
        </w:rPr>
        <w:t>ed</w:t>
      </w:r>
      <w:r w:rsidRPr="0043197D">
        <w:rPr>
          <w:rFonts w:ascii="Arial" w:hAnsi="Arial" w:cs="Arial"/>
          <w:iCs/>
          <w:sz w:val="22"/>
          <w:szCs w:val="22"/>
        </w:rPr>
        <w:t xml:space="preserve"> at the February 2026 meeting.</w:t>
      </w:r>
    </w:p>
    <w:p w14:paraId="26EE4E6C" w14:textId="77777777" w:rsidR="00B011D2" w:rsidRPr="00B011D2" w:rsidRDefault="00B011D2" w:rsidP="00B011D2">
      <w:pPr>
        <w:spacing w:after="120"/>
        <w:contextualSpacing/>
        <w:rPr>
          <w:rFonts w:ascii="Arial" w:hAnsi="Arial" w:cs="Arial"/>
          <w:iCs/>
          <w:sz w:val="22"/>
          <w:szCs w:val="22"/>
        </w:rPr>
      </w:pPr>
    </w:p>
    <w:p w14:paraId="3A085DCF" w14:textId="5881DD4C" w:rsidR="0070346A" w:rsidRPr="0070346A" w:rsidRDefault="0070346A" w:rsidP="0070346A">
      <w:pPr>
        <w:spacing w:after="120"/>
        <w:rPr>
          <w:rFonts w:ascii="Arial" w:hAnsi="Arial" w:cs="Arial"/>
          <w:i/>
          <w:iCs/>
          <w:sz w:val="22"/>
          <w:szCs w:val="22"/>
          <w:lang w:val="en-US"/>
        </w:rPr>
      </w:pPr>
      <w:r w:rsidRPr="006B0B3A">
        <w:rPr>
          <w:rFonts w:ascii="Arial" w:hAnsi="Arial" w:cs="Arial"/>
          <w:i/>
          <w:iCs/>
          <w:sz w:val="22"/>
          <w:szCs w:val="22"/>
        </w:rPr>
        <w:t>CRT/2025/</w:t>
      </w:r>
      <w:r>
        <w:rPr>
          <w:rFonts w:ascii="Arial" w:hAnsi="Arial" w:cs="Arial"/>
          <w:i/>
          <w:iCs/>
          <w:sz w:val="22"/>
          <w:szCs w:val="22"/>
        </w:rPr>
        <w:t>22.2</w:t>
      </w:r>
      <w:r w:rsidRPr="006B0B3A">
        <w:rPr>
          <w:rFonts w:ascii="Arial" w:hAnsi="Arial" w:cs="Arial"/>
          <w:i/>
          <w:sz w:val="22"/>
          <w:szCs w:val="22"/>
        </w:rPr>
        <w:t xml:space="preserve"> </w:t>
      </w:r>
      <w:r w:rsidRPr="006B0B3A">
        <w:rPr>
          <w:rFonts w:ascii="Arial" w:hAnsi="Arial" w:cs="Arial"/>
          <w:i/>
          <w:iCs/>
          <w:sz w:val="22"/>
          <w:szCs w:val="22"/>
          <w:lang w:val="en-US"/>
        </w:rPr>
        <w:t>Organisational Change Governance Committee (OCGC) Terms of Reference</w:t>
      </w:r>
    </w:p>
    <w:p w14:paraId="6E03B0E1" w14:textId="77777777" w:rsidR="0070346A" w:rsidRPr="006B0B3A" w:rsidRDefault="0070346A" w:rsidP="0070346A">
      <w:pPr>
        <w:rPr>
          <w:rFonts w:ascii="Arial" w:hAnsi="Arial" w:cs="Arial"/>
          <w:sz w:val="22"/>
          <w:szCs w:val="22"/>
        </w:rPr>
      </w:pPr>
      <w:r w:rsidRPr="004F4B66">
        <w:rPr>
          <w:rFonts w:ascii="Arial" w:hAnsi="Arial" w:cs="Arial"/>
          <w:sz w:val="22"/>
          <w:szCs w:val="22"/>
        </w:rPr>
        <w:t xml:space="preserve">Court received the amended </w:t>
      </w:r>
      <w:r w:rsidRPr="006B0B3A">
        <w:rPr>
          <w:rFonts w:ascii="Arial" w:hAnsi="Arial" w:cs="Arial"/>
          <w:sz w:val="22"/>
          <w:szCs w:val="22"/>
        </w:rPr>
        <w:t>T</w:t>
      </w:r>
      <w:r w:rsidRPr="004F4B66">
        <w:rPr>
          <w:rFonts w:ascii="Arial" w:hAnsi="Arial" w:cs="Arial"/>
          <w:sz w:val="22"/>
          <w:szCs w:val="22"/>
        </w:rPr>
        <w:t xml:space="preserve">erms of </w:t>
      </w:r>
      <w:r w:rsidRPr="006B0B3A">
        <w:rPr>
          <w:rFonts w:ascii="Arial" w:hAnsi="Arial" w:cs="Arial"/>
          <w:sz w:val="22"/>
          <w:szCs w:val="22"/>
        </w:rPr>
        <w:t>R</w:t>
      </w:r>
      <w:r w:rsidRPr="004F4B66">
        <w:rPr>
          <w:rFonts w:ascii="Arial" w:hAnsi="Arial" w:cs="Arial"/>
          <w:sz w:val="22"/>
          <w:szCs w:val="22"/>
        </w:rPr>
        <w:t>eference for the Organisational Change Governance Committee (OCGC), noting the addition of a professional services staff member and clarification of responsibilities.</w:t>
      </w:r>
    </w:p>
    <w:p w14:paraId="1EA58A0C" w14:textId="77777777" w:rsidR="0070346A" w:rsidRPr="004F4B66" w:rsidRDefault="0070346A" w:rsidP="0070346A">
      <w:pPr>
        <w:rPr>
          <w:rFonts w:ascii="Arial" w:hAnsi="Arial" w:cs="Arial"/>
          <w:sz w:val="22"/>
          <w:szCs w:val="22"/>
        </w:rPr>
      </w:pPr>
    </w:p>
    <w:p w14:paraId="4FADADD3" w14:textId="77777777" w:rsidR="0070346A" w:rsidRPr="006B0B3A" w:rsidRDefault="0070346A" w:rsidP="0070346A">
      <w:pPr>
        <w:rPr>
          <w:rFonts w:ascii="Arial" w:hAnsi="Arial" w:cs="Arial"/>
          <w:sz w:val="22"/>
          <w:szCs w:val="22"/>
        </w:rPr>
      </w:pPr>
      <w:r w:rsidRPr="004F4B66">
        <w:rPr>
          <w:rFonts w:ascii="Arial" w:hAnsi="Arial" w:cs="Arial"/>
          <w:sz w:val="22"/>
          <w:szCs w:val="22"/>
        </w:rPr>
        <w:t>A minor point was raised regarding wording in the scheme of delegation. One section stated only Tier 2 proposals could be escalated to Court, while another indicated that large Tier 1 proposals should also be escalated if deemed strategically significant. It was agreed that the wording would be corrected to confirm that both Tier 1 and Tier 2 proposals may be escalated when strategically significant.</w:t>
      </w:r>
    </w:p>
    <w:p w14:paraId="54F24BB9" w14:textId="77777777" w:rsidR="0070346A" w:rsidRPr="004F4B66" w:rsidRDefault="0070346A" w:rsidP="0070346A">
      <w:pPr>
        <w:rPr>
          <w:rFonts w:ascii="Arial" w:hAnsi="Arial" w:cs="Arial"/>
          <w:sz w:val="22"/>
          <w:szCs w:val="22"/>
        </w:rPr>
      </w:pPr>
    </w:p>
    <w:p w14:paraId="6E4FCA67" w14:textId="77777777" w:rsidR="0070346A" w:rsidRPr="006B0B3A" w:rsidRDefault="0070346A" w:rsidP="0070346A">
      <w:pPr>
        <w:rPr>
          <w:rFonts w:ascii="Arial" w:hAnsi="Arial" w:cs="Arial"/>
          <w:sz w:val="22"/>
          <w:szCs w:val="22"/>
        </w:rPr>
      </w:pPr>
      <w:r w:rsidRPr="004F4B66">
        <w:rPr>
          <w:rFonts w:ascii="Arial" w:hAnsi="Arial" w:cs="Arial"/>
          <w:sz w:val="22"/>
          <w:szCs w:val="22"/>
        </w:rPr>
        <w:t>Subject to this amendment, Court approved the revised terms of reference for the OCGC.</w:t>
      </w:r>
    </w:p>
    <w:p w14:paraId="63792372" w14:textId="77777777" w:rsidR="0070346A" w:rsidRPr="006B0B3A" w:rsidRDefault="0070346A" w:rsidP="0070346A">
      <w:pPr>
        <w:rPr>
          <w:rFonts w:ascii="Arial" w:hAnsi="Arial" w:cs="Arial"/>
          <w:sz w:val="22"/>
          <w:szCs w:val="22"/>
        </w:rPr>
      </w:pPr>
    </w:p>
    <w:p w14:paraId="106BCEDC" w14:textId="66E07D47" w:rsidR="0070346A" w:rsidRPr="006B0B3A" w:rsidRDefault="0070346A" w:rsidP="0070346A">
      <w:pPr>
        <w:spacing w:after="120"/>
        <w:rPr>
          <w:rFonts w:ascii="Arial" w:hAnsi="Arial" w:cs="Arial"/>
          <w:i/>
          <w:iCs/>
          <w:sz w:val="22"/>
          <w:szCs w:val="22"/>
        </w:rPr>
      </w:pPr>
      <w:r w:rsidRPr="006B0B3A">
        <w:rPr>
          <w:rFonts w:ascii="Arial" w:hAnsi="Arial" w:cs="Arial"/>
          <w:i/>
          <w:iCs/>
          <w:sz w:val="22"/>
          <w:szCs w:val="22"/>
        </w:rPr>
        <w:t>CRT/2025/</w:t>
      </w:r>
      <w:r>
        <w:rPr>
          <w:rFonts w:ascii="Arial" w:hAnsi="Arial" w:cs="Arial"/>
          <w:i/>
          <w:iCs/>
          <w:sz w:val="22"/>
          <w:szCs w:val="22"/>
        </w:rPr>
        <w:t>22.3</w:t>
      </w:r>
      <w:r w:rsidRPr="006B0B3A">
        <w:rPr>
          <w:rFonts w:ascii="Arial" w:hAnsi="Arial" w:cs="Arial"/>
          <w:i/>
          <w:sz w:val="22"/>
          <w:szCs w:val="22"/>
        </w:rPr>
        <w:t xml:space="preserve"> </w:t>
      </w:r>
      <w:r w:rsidRPr="006B0B3A">
        <w:rPr>
          <w:rFonts w:ascii="Arial" w:hAnsi="Arial" w:cs="Arial"/>
          <w:i/>
          <w:iCs/>
          <w:sz w:val="22"/>
          <w:szCs w:val="22"/>
        </w:rPr>
        <w:t>Court Annual Review</w:t>
      </w:r>
    </w:p>
    <w:p w14:paraId="12EB91A9" w14:textId="10D16CB6" w:rsidR="0070346A" w:rsidRPr="006B0B3A" w:rsidRDefault="0070346A" w:rsidP="0070346A">
      <w:pPr>
        <w:rPr>
          <w:rFonts w:ascii="Arial" w:hAnsi="Arial" w:cs="Arial"/>
          <w:sz w:val="22"/>
          <w:szCs w:val="22"/>
        </w:rPr>
      </w:pPr>
      <w:r w:rsidRPr="006B0B3A">
        <w:rPr>
          <w:rFonts w:ascii="Arial" w:hAnsi="Arial" w:cs="Arial"/>
          <w:sz w:val="22"/>
          <w:szCs w:val="22"/>
        </w:rPr>
        <w:t xml:space="preserve">The </w:t>
      </w:r>
      <w:r w:rsidR="0043197D">
        <w:rPr>
          <w:rFonts w:ascii="Arial" w:hAnsi="Arial" w:cs="Arial"/>
          <w:sz w:val="22"/>
          <w:szCs w:val="22"/>
        </w:rPr>
        <w:t xml:space="preserve">Court </w:t>
      </w:r>
      <w:r w:rsidRPr="006B0B3A">
        <w:rPr>
          <w:rFonts w:ascii="Arial" w:hAnsi="Arial" w:cs="Arial"/>
          <w:sz w:val="22"/>
          <w:szCs w:val="22"/>
        </w:rPr>
        <w:t xml:space="preserve">annual survey results were noted.  </w:t>
      </w:r>
      <w:r w:rsidR="0043197D">
        <w:rPr>
          <w:rFonts w:ascii="Arial" w:hAnsi="Arial" w:cs="Arial"/>
          <w:sz w:val="22"/>
          <w:szCs w:val="22"/>
        </w:rPr>
        <w:t>It was reported that t</w:t>
      </w:r>
      <w:r w:rsidRPr="006B0B3A">
        <w:rPr>
          <w:rFonts w:ascii="Arial" w:hAnsi="Arial" w:cs="Arial"/>
          <w:sz w:val="22"/>
          <w:szCs w:val="22"/>
        </w:rPr>
        <w:t xml:space="preserve">he Gillies Report Working Group had reviewed the findings from the recent Court survey as part of their discussions. </w:t>
      </w:r>
    </w:p>
    <w:p w14:paraId="723FBBA9" w14:textId="77777777" w:rsidR="0070346A" w:rsidRPr="006B0B3A" w:rsidRDefault="0070346A" w:rsidP="0070346A">
      <w:pPr>
        <w:rPr>
          <w:rFonts w:ascii="Arial" w:hAnsi="Arial" w:cs="Arial"/>
          <w:sz w:val="22"/>
          <w:szCs w:val="22"/>
        </w:rPr>
      </w:pPr>
    </w:p>
    <w:p w14:paraId="6CA06EBD" w14:textId="6EE71A68" w:rsidR="0070346A" w:rsidRPr="006B0B3A" w:rsidRDefault="0070346A" w:rsidP="0070346A">
      <w:pPr>
        <w:spacing w:after="120"/>
        <w:rPr>
          <w:rFonts w:ascii="Arial" w:hAnsi="Arial" w:cs="Arial"/>
          <w:i/>
          <w:iCs/>
          <w:sz w:val="22"/>
          <w:szCs w:val="22"/>
        </w:rPr>
      </w:pPr>
      <w:r w:rsidRPr="006B0B3A">
        <w:rPr>
          <w:rFonts w:ascii="Arial" w:hAnsi="Arial" w:cs="Arial"/>
          <w:i/>
          <w:iCs/>
          <w:sz w:val="22"/>
          <w:szCs w:val="22"/>
        </w:rPr>
        <w:t>CRT/2025/</w:t>
      </w:r>
      <w:r>
        <w:rPr>
          <w:rFonts w:ascii="Arial" w:hAnsi="Arial" w:cs="Arial"/>
          <w:i/>
          <w:iCs/>
          <w:sz w:val="22"/>
          <w:szCs w:val="22"/>
        </w:rPr>
        <w:t>22.4</w:t>
      </w:r>
      <w:r w:rsidRPr="006B0B3A">
        <w:rPr>
          <w:rFonts w:ascii="Arial" w:hAnsi="Arial" w:cs="Arial"/>
          <w:i/>
          <w:sz w:val="22"/>
          <w:szCs w:val="22"/>
        </w:rPr>
        <w:t xml:space="preserve"> </w:t>
      </w:r>
      <w:r w:rsidRPr="006B0B3A">
        <w:rPr>
          <w:rFonts w:ascii="Arial" w:hAnsi="Arial" w:cs="Arial"/>
          <w:i/>
          <w:iCs/>
          <w:sz w:val="22"/>
          <w:szCs w:val="22"/>
        </w:rPr>
        <w:t>Divestment Working Group</w:t>
      </w:r>
    </w:p>
    <w:p w14:paraId="61C54BC8" w14:textId="7B55F9FA" w:rsidR="0070346A" w:rsidRPr="006B0B3A" w:rsidRDefault="0070346A" w:rsidP="0070346A">
      <w:pPr>
        <w:rPr>
          <w:rFonts w:ascii="Arial" w:hAnsi="Arial" w:cs="Arial"/>
          <w:sz w:val="22"/>
          <w:szCs w:val="22"/>
        </w:rPr>
      </w:pPr>
      <w:r w:rsidRPr="006B0B3A">
        <w:rPr>
          <w:rFonts w:ascii="Arial" w:hAnsi="Arial" w:cs="Arial"/>
          <w:sz w:val="22"/>
          <w:szCs w:val="22"/>
        </w:rPr>
        <w:t>Court received an update on the Divestment Working Group meeting of 21 November 2025. The Group had reviewed the UCU Glasgow request in line with the Responsible Investment Policy, concluding that the request should be treated as a new issue and considered</w:t>
      </w:r>
      <w:r>
        <w:rPr>
          <w:rFonts w:ascii="Arial" w:hAnsi="Arial" w:cs="Arial"/>
          <w:sz w:val="22"/>
          <w:szCs w:val="22"/>
        </w:rPr>
        <w:t xml:space="preserve"> </w:t>
      </w:r>
      <w:r w:rsidRPr="006B0B3A">
        <w:rPr>
          <w:rFonts w:ascii="Arial" w:hAnsi="Arial" w:cs="Arial"/>
          <w:sz w:val="22"/>
          <w:szCs w:val="22"/>
        </w:rPr>
        <w:t>separately</w:t>
      </w:r>
      <w:r w:rsidR="00AA20B4">
        <w:rPr>
          <w:rFonts w:ascii="Arial" w:hAnsi="Arial" w:cs="Arial"/>
          <w:sz w:val="22"/>
          <w:szCs w:val="22"/>
        </w:rPr>
        <w:t xml:space="preserve"> from the most recent proposal considered in September 2024</w:t>
      </w:r>
      <w:r w:rsidRPr="006B0B3A">
        <w:rPr>
          <w:rFonts w:ascii="Arial" w:hAnsi="Arial" w:cs="Arial"/>
          <w:sz w:val="22"/>
          <w:szCs w:val="22"/>
        </w:rPr>
        <w:t xml:space="preserve">, although previous work could inform the process.  </w:t>
      </w:r>
      <w:r>
        <w:rPr>
          <w:rFonts w:ascii="Arial" w:hAnsi="Arial" w:cs="Arial"/>
          <w:sz w:val="22"/>
          <w:szCs w:val="22"/>
        </w:rPr>
        <w:t xml:space="preserve">Court agreed to establish a </w:t>
      </w:r>
      <w:r w:rsidRPr="006B0B3A">
        <w:rPr>
          <w:rFonts w:ascii="Arial" w:hAnsi="Arial" w:cs="Arial"/>
          <w:sz w:val="22"/>
          <w:szCs w:val="22"/>
        </w:rPr>
        <w:t xml:space="preserve">group </w:t>
      </w:r>
      <w:r>
        <w:rPr>
          <w:rFonts w:ascii="Arial" w:hAnsi="Arial" w:cs="Arial"/>
          <w:sz w:val="22"/>
          <w:szCs w:val="22"/>
        </w:rPr>
        <w:t>to</w:t>
      </w:r>
      <w:r w:rsidRPr="006B0B3A">
        <w:rPr>
          <w:rFonts w:ascii="Arial" w:hAnsi="Arial" w:cs="Arial"/>
          <w:sz w:val="22"/>
          <w:szCs w:val="22"/>
        </w:rPr>
        <w:t xml:space="preserve"> take this forward, with membership confirmed by the Convener in line with </w:t>
      </w:r>
      <w:r w:rsidR="00AA20B4">
        <w:rPr>
          <w:rFonts w:ascii="Arial" w:hAnsi="Arial" w:cs="Arial"/>
          <w:sz w:val="22"/>
          <w:szCs w:val="22"/>
        </w:rPr>
        <w:t xml:space="preserve">the </w:t>
      </w:r>
      <w:r w:rsidRPr="006B0B3A">
        <w:rPr>
          <w:rFonts w:ascii="Arial" w:hAnsi="Arial" w:cs="Arial"/>
          <w:sz w:val="22"/>
          <w:szCs w:val="22"/>
        </w:rPr>
        <w:t>policy requirements.</w:t>
      </w:r>
    </w:p>
    <w:p w14:paraId="3B28CCDF" w14:textId="77777777" w:rsidR="0070346A" w:rsidRPr="006B0B3A" w:rsidRDefault="0070346A" w:rsidP="0070346A">
      <w:pPr>
        <w:rPr>
          <w:rFonts w:ascii="Arial" w:hAnsi="Arial" w:cs="Arial"/>
          <w:sz w:val="22"/>
          <w:szCs w:val="22"/>
        </w:rPr>
      </w:pPr>
    </w:p>
    <w:p w14:paraId="1DEF25EC" w14:textId="7D8DD901" w:rsidR="0070346A" w:rsidRPr="006B0B3A" w:rsidRDefault="0070346A" w:rsidP="0070346A">
      <w:pPr>
        <w:spacing w:after="120"/>
        <w:rPr>
          <w:rFonts w:ascii="Arial" w:hAnsi="Arial" w:cs="Arial"/>
          <w:i/>
          <w:iCs/>
          <w:sz w:val="22"/>
          <w:szCs w:val="22"/>
        </w:rPr>
      </w:pPr>
      <w:r w:rsidRPr="006B0B3A">
        <w:rPr>
          <w:rFonts w:ascii="Arial" w:hAnsi="Arial" w:cs="Arial"/>
          <w:i/>
          <w:iCs/>
          <w:sz w:val="22"/>
          <w:szCs w:val="22"/>
        </w:rPr>
        <w:t>CRT/2025/</w:t>
      </w:r>
      <w:r>
        <w:rPr>
          <w:rFonts w:ascii="Arial" w:hAnsi="Arial" w:cs="Arial"/>
          <w:i/>
          <w:iCs/>
          <w:sz w:val="22"/>
          <w:szCs w:val="22"/>
        </w:rPr>
        <w:t>22.5</w:t>
      </w:r>
      <w:r w:rsidRPr="006B0B3A">
        <w:rPr>
          <w:rFonts w:ascii="Arial" w:hAnsi="Arial" w:cs="Arial"/>
          <w:i/>
          <w:sz w:val="22"/>
          <w:szCs w:val="22"/>
        </w:rPr>
        <w:t xml:space="preserve"> </w:t>
      </w:r>
      <w:r w:rsidRPr="006B0B3A">
        <w:rPr>
          <w:rFonts w:ascii="Arial" w:hAnsi="Arial" w:cs="Arial"/>
          <w:i/>
          <w:iCs/>
          <w:sz w:val="22"/>
          <w:szCs w:val="22"/>
        </w:rPr>
        <w:t>Head of School Appointment</w:t>
      </w:r>
    </w:p>
    <w:p w14:paraId="7A8E95B0" w14:textId="77777777" w:rsidR="0070346A" w:rsidRPr="006B0B3A" w:rsidRDefault="0070346A" w:rsidP="0070346A">
      <w:pPr>
        <w:pStyle w:val="SectText2"/>
        <w:spacing w:after="0"/>
        <w:ind w:left="0" w:right="-286"/>
        <w:jc w:val="left"/>
        <w:rPr>
          <w:rFonts w:ascii="Arial" w:hAnsi="Arial" w:cs="Arial"/>
          <w:color w:val="000000" w:themeColor="text1"/>
          <w:szCs w:val="22"/>
        </w:rPr>
      </w:pPr>
      <w:r w:rsidRPr="006B0B3A">
        <w:rPr>
          <w:rFonts w:ascii="Arial" w:hAnsi="Arial" w:cs="Arial"/>
          <w:szCs w:val="22"/>
        </w:rPr>
        <w:t xml:space="preserve">Court noted that </w:t>
      </w:r>
      <w:r w:rsidRPr="006B0B3A">
        <w:rPr>
          <w:rFonts w:ascii="Arial" w:hAnsi="Arial" w:cs="Arial"/>
          <w:color w:val="000000" w:themeColor="text1"/>
          <w:szCs w:val="22"/>
        </w:rPr>
        <w:t xml:space="preserve">Professor Heather Woods had been appointed as Interim Head of School for the School of Psychology and Neuroscience, effective from 1 December 2025, for a period of six months or until a new Head of School is in post (whichever comes sooner). </w:t>
      </w:r>
    </w:p>
    <w:p w14:paraId="79A832FE" w14:textId="77777777" w:rsidR="0070346A" w:rsidRPr="006B0B3A" w:rsidRDefault="0070346A" w:rsidP="0070346A">
      <w:pPr>
        <w:rPr>
          <w:rFonts w:ascii="Arial" w:hAnsi="Arial" w:cs="Arial"/>
          <w:sz w:val="22"/>
          <w:szCs w:val="22"/>
        </w:rPr>
      </w:pPr>
    </w:p>
    <w:p w14:paraId="0EB7E6A8" w14:textId="578AB06A" w:rsidR="0070346A" w:rsidRPr="006B0B3A" w:rsidRDefault="0070346A" w:rsidP="0070346A">
      <w:pPr>
        <w:spacing w:after="120"/>
        <w:rPr>
          <w:rFonts w:ascii="Arial" w:hAnsi="Arial" w:cs="Arial"/>
          <w:i/>
          <w:iCs/>
          <w:sz w:val="22"/>
          <w:szCs w:val="22"/>
        </w:rPr>
      </w:pPr>
      <w:r w:rsidRPr="006B0B3A">
        <w:rPr>
          <w:rFonts w:ascii="Arial" w:hAnsi="Arial" w:cs="Arial"/>
          <w:i/>
          <w:iCs/>
          <w:sz w:val="22"/>
          <w:szCs w:val="22"/>
        </w:rPr>
        <w:t>CRT/2025/</w:t>
      </w:r>
      <w:r>
        <w:rPr>
          <w:rFonts w:ascii="Arial" w:hAnsi="Arial" w:cs="Arial"/>
          <w:i/>
          <w:iCs/>
          <w:sz w:val="22"/>
          <w:szCs w:val="22"/>
        </w:rPr>
        <w:t>22.6</w:t>
      </w:r>
      <w:r w:rsidRPr="006B0B3A">
        <w:rPr>
          <w:rFonts w:ascii="Arial" w:hAnsi="Arial" w:cs="Arial"/>
          <w:i/>
          <w:sz w:val="22"/>
          <w:szCs w:val="22"/>
        </w:rPr>
        <w:t xml:space="preserve"> </w:t>
      </w:r>
      <w:r w:rsidRPr="006B0B3A">
        <w:rPr>
          <w:rFonts w:ascii="Arial" w:hAnsi="Arial" w:cs="Arial"/>
          <w:i/>
          <w:iCs/>
          <w:sz w:val="22"/>
          <w:szCs w:val="22"/>
        </w:rPr>
        <w:t>Alexander Stone Chair of Commercial Law</w:t>
      </w:r>
    </w:p>
    <w:p w14:paraId="40187CD2" w14:textId="77777777" w:rsidR="0070346A" w:rsidRPr="006B0B3A" w:rsidRDefault="0070346A" w:rsidP="0070346A">
      <w:pPr>
        <w:rPr>
          <w:rFonts w:ascii="Arial" w:hAnsi="Arial" w:cs="Arial"/>
          <w:sz w:val="22"/>
          <w:szCs w:val="22"/>
        </w:rPr>
      </w:pPr>
      <w:r w:rsidRPr="006B0B3A">
        <w:rPr>
          <w:rFonts w:ascii="Arial" w:hAnsi="Arial" w:cs="Arial"/>
          <w:sz w:val="22"/>
          <w:szCs w:val="22"/>
        </w:rPr>
        <w:lastRenderedPageBreak/>
        <w:t>Court noted that Professor Irene-Marie Esser, Professor of Corporate Law &amp; Governance had been appointed to the Sir Alexander Stone Chair of Commercial Law.</w:t>
      </w:r>
    </w:p>
    <w:p w14:paraId="76204C0F" w14:textId="77777777" w:rsidR="0070346A" w:rsidRPr="006B0B3A" w:rsidRDefault="0070346A" w:rsidP="0070346A">
      <w:pPr>
        <w:rPr>
          <w:rFonts w:ascii="Arial" w:hAnsi="Arial" w:cs="Arial"/>
          <w:sz w:val="22"/>
          <w:szCs w:val="22"/>
        </w:rPr>
      </w:pPr>
    </w:p>
    <w:p w14:paraId="5012CADE" w14:textId="1A64D967" w:rsidR="0070346A" w:rsidRPr="006B0B3A" w:rsidRDefault="0070346A" w:rsidP="0070346A">
      <w:pPr>
        <w:spacing w:after="120"/>
        <w:rPr>
          <w:rFonts w:ascii="Arial" w:hAnsi="Arial" w:cs="Arial"/>
          <w:i/>
          <w:iCs/>
          <w:sz w:val="22"/>
          <w:szCs w:val="22"/>
        </w:rPr>
      </w:pPr>
      <w:r w:rsidRPr="006B0B3A">
        <w:rPr>
          <w:rFonts w:ascii="Arial" w:hAnsi="Arial" w:cs="Arial"/>
          <w:i/>
          <w:iCs/>
          <w:sz w:val="22"/>
          <w:szCs w:val="22"/>
        </w:rPr>
        <w:t>CRT/2025/</w:t>
      </w:r>
      <w:r>
        <w:rPr>
          <w:rFonts w:ascii="Arial" w:hAnsi="Arial" w:cs="Arial"/>
          <w:i/>
          <w:iCs/>
          <w:sz w:val="22"/>
          <w:szCs w:val="22"/>
        </w:rPr>
        <w:t>22.7</w:t>
      </w:r>
      <w:r w:rsidRPr="006B0B3A">
        <w:rPr>
          <w:rFonts w:ascii="Arial" w:hAnsi="Arial" w:cs="Arial"/>
          <w:i/>
          <w:sz w:val="22"/>
          <w:szCs w:val="22"/>
        </w:rPr>
        <w:t xml:space="preserve"> </w:t>
      </w:r>
      <w:r w:rsidRPr="006B0B3A">
        <w:rPr>
          <w:rFonts w:ascii="Arial" w:hAnsi="Arial" w:cs="Arial"/>
          <w:i/>
          <w:iCs/>
          <w:sz w:val="22"/>
          <w:szCs w:val="22"/>
        </w:rPr>
        <w:t>Bequest from the late Ailie Barclay</w:t>
      </w:r>
    </w:p>
    <w:p w14:paraId="0C4B3A7C" w14:textId="2D1E8705" w:rsidR="0070346A" w:rsidRPr="0070346A" w:rsidRDefault="0070346A" w:rsidP="0070346A">
      <w:pPr>
        <w:rPr>
          <w:rFonts w:ascii="Arial" w:hAnsi="Arial" w:cs="Arial"/>
          <w:sz w:val="22"/>
          <w:szCs w:val="22"/>
        </w:rPr>
      </w:pPr>
      <w:r w:rsidRPr="006B0B3A">
        <w:rPr>
          <w:rFonts w:ascii="Arial" w:hAnsi="Arial" w:cs="Arial"/>
          <w:sz w:val="22"/>
          <w:szCs w:val="22"/>
        </w:rPr>
        <w:t xml:space="preserve">Court noted the bequest from Ailie Barclay (MA 1984, LLB 1989) in the form of </w:t>
      </w:r>
      <w:r w:rsidR="0035786C">
        <w:rPr>
          <w:rFonts w:ascii="Arial" w:hAnsi="Arial" w:cs="Arial"/>
          <w:sz w:val="22"/>
          <w:szCs w:val="22"/>
        </w:rPr>
        <w:t>a</w:t>
      </w:r>
      <w:r w:rsidRPr="006B0B3A">
        <w:rPr>
          <w:rFonts w:ascii="Arial" w:hAnsi="Arial" w:cs="Arial"/>
          <w:sz w:val="22"/>
          <w:szCs w:val="22"/>
        </w:rPr>
        <w:t xml:space="preserve"> property </w:t>
      </w:r>
      <w:proofErr w:type="gramStart"/>
      <w:r w:rsidRPr="006B0B3A">
        <w:rPr>
          <w:rFonts w:ascii="Arial" w:hAnsi="Arial" w:cs="Arial"/>
          <w:sz w:val="22"/>
          <w:szCs w:val="22"/>
        </w:rPr>
        <w:t xml:space="preserve">at </w:t>
      </w:r>
      <w:r w:rsidR="0035786C">
        <w:rPr>
          <w:rFonts w:ascii="Arial" w:hAnsi="Arial" w:cs="Arial"/>
          <w:sz w:val="22"/>
          <w:szCs w:val="22"/>
        </w:rPr>
        <w:t xml:space="preserve"> in</w:t>
      </w:r>
      <w:proofErr w:type="gramEnd"/>
      <w:r w:rsidR="0035786C">
        <w:rPr>
          <w:rFonts w:ascii="Arial" w:hAnsi="Arial" w:cs="Arial"/>
          <w:sz w:val="22"/>
          <w:szCs w:val="22"/>
        </w:rPr>
        <w:t xml:space="preserve"> </w:t>
      </w:r>
      <w:r w:rsidRPr="006B0B3A">
        <w:rPr>
          <w:rFonts w:ascii="Arial" w:hAnsi="Arial" w:cs="Arial"/>
          <w:sz w:val="22"/>
          <w:szCs w:val="22"/>
        </w:rPr>
        <w:t>Glasgow.  The property had sold for £350,000, with the sale approved by the Investment Committee.  The Development and Alumni Office would refer the unrestricted gift to the Fundraising Advisory Board (FAB) for allocation, with priorities including Access to Opportunity and Scholarships Funds. Executors had expressed interest in a law-related purpose, and an expendable endowment m</w:t>
      </w:r>
      <w:r w:rsidR="0035786C">
        <w:rPr>
          <w:rFonts w:ascii="Arial" w:hAnsi="Arial" w:cs="Arial"/>
          <w:sz w:val="22"/>
          <w:szCs w:val="22"/>
        </w:rPr>
        <w:t>ight</w:t>
      </w:r>
      <w:r w:rsidRPr="006B0B3A">
        <w:rPr>
          <w:rFonts w:ascii="Arial" w:hAnsi="Arial" w:cs="Arial"/>
          <w:sz w:val="22"/>
          <w:szCs w:val="22"/>
        </w:rPr>
        <w:t xml:space="preserve"> be established depending on the final decision and size of the gift.</w:t>
      </w:r>
    </w:p>
    <w:p w14:paraId="3D0F7054" w14:textId="77777777" w:rsidR="0070346A" w:rsidRPr="006B0B3A" w:rsidRDefault="0070346A" w:rsidP="0070346A">
      <w:pPr>
        <w:rPr>
          <w:rFonts w:ascii="Arial" w:hAnsi="Arial" w:cs="Arial"/>
          <w:i/>
          <w:iCs/>
          <w:sz w:val="22"/>
          <w:szCs w:val="22"/>
        </w:rPr>
      </w:pPr>
    </w:p>
    <w:p w14:paraId="145512B8" w14:textId="330B810A" w:rsidR="0070346A" w:rsidRPr="006B0B3A" w:rsidRDefault="0070346A" w:rsidP="0070346A">
      <w:pPr>
        <w:spacing w:after="120"/>
        <w:rPr>
          <w:rFonts w:ascii="Arial" w:hAnsi="Arial" w:cs="Arial"/>
          <w:i/>
          <w:iCs/>
          <w:sz w:val="22"/>
          <w:szCs w:val="22"/>
        </w:rPr>
      </w:pPr>
      <w:r w:rsidRPr="006B0B3A">
        <w:rPr>
          <w:rFonts w:ascii="Arial" w:hAnsi="Arial" w:cs="Arial"/>
          <w:i/>
          <w:iCs/>
          <w:sz w:val="22"/>
          <w:szCs w:val="22"/>
        </w:rPr>
        <w:t>CRT/2025/</w:t>
      </w:r>
      <w:r>
        <w:rPr>
          <w:rFonts w:ascii="Arial" w:hAnsi="Arial" w:cs="Arial"/>
          <w:i/>
          <w:iCs/>
          <w:sz w:val="22"/>
          <w:szCs w:val="22"/>
        </w:rPr>
        <w:t>22.8</w:t>
      </w:r>
      <w:r w:rsidRPr="006B0B3A">
        <w:rPr>
          <w:rFonts w:ascii="Arial" w:hAnsi="Arial" w:cs="Arial"/>
          <w:i/>
          <w:sz w:val="22"/>
          <w:szCs w:val="22"/>
        </w:rPr>
        <w:t xml:space="preserve"> </w:t>
      </w:r>
      <w:r w:rsidRPr="006B0B3A">
        <w:rPr>
          <w:rFonts w:ascii="Arial" w:hAnsi="Arial" w:cs="Arial"/>
          <w:i/>
          <w:iCs/>
          <w:sz w:val="22"/>
          <w:szCs w:val="22"/>
        </w:rPr>
        <w:t>QAA Targeted Peer Review</w:t>
      </w:r>
    </w:p>
    <w:p w14:paraId="53DDF079" w14:textId="00AA6B9F" w:rsidR="0070346A" w:rsidRPr="006B0B3A" w:rsidRDefault="0070346A" w:rsidP="0070346A">
      <w:pPr>
        <w:rPr>
          <w:rFonts w:ascii="Arial" w:hAnsi="Arial" w:cs="Arial"/>
          <w:sz w:val="22"/>
          <w:szCs w:val="22"/>
        </w:rPr>
      </w:pPr>
      <w:r w:rsidRPr="006B0B3A">
        <w:rPr>
          <w:rFonts w:ascii="Arial" w:hAnsi="Arial" w:cs="Arial"/>
          <w:sz w:val="22"/>
          <w:szCs w:val="22"/>
        </w:rPr>
        <w:t>Court noted the clarification that contrary to the update provided in the Report, a draft review had not yet been received due to a delay by QAA</w:t>
      </w:r>
      <w:r>
        <w:rPr>
          <w:rFonts w:ascii="Arial" w:hAnsi="Arial" w:cs="Arial"/>
          <w:sz w:val="22"/>
          <w:szCs w:val="22"/>
        </w:rPr>
        <w:t xml:space="preserve">.  </w:t>
      </w:r>
      <w:r w:rsidRPr="006B0B3A">
        <w:rPr>
          <w:rFonts w:ascii="Arial" w:hAnsi="Arial" w:cs="Arial"/>
          <w:sz w:val="22"/>
          <w:szCs w:val="22"/>
        </w:rPr>
        <w:t>The draft was expected shortly, with an opportunity for the University to comment before the final report was issued, anticipated by Christmas.</w:t>
      </w:r>
    </w:p>
    <w:p w14:paraId="045F38D6" w14:textId="77777777" w:rsidR="0070346A" w:rsidRPr="006B0B3A" w:rsidRDefault="0070346A" w:rsidP="0070346A">
      <w:pPr>
        <w:rPr>
          <w:rFonts w:ascii="Arial" w:hAnsi="Arial" w:cs="Arial"/>
          <w:sz w:val="22"/>
          <w:szCs w:val="22"/>
        </w:rPr>
      </w:pPr>
    </w:p>
    <w:p w14:paraId="24F38506" w14:textId="2C3D96E3" w:rsidR="0070346A" w:rsidRPr="0070346A" w:rsidRDefault="0070346A" w:rsidP="0070346A">
      <w:pPr>
        <w:spacing w:after="120"/>
        <w:rPr>
          <w:rFonts w:ascii="Arial" w:hAnsi="Arial" w:cs="Arial"/>
          <w:i/>
          <w:iCs/>
          <w:sz w:val="22"/>
          <w:szCs w:val="22"/>
        </w:rPr>
      </w:pPr>
      <w:r w:rsidRPr="006B0B3A">
        <w:rPr>
          <w:rFonts w:ascii="Arial" w:hAnsi="Arial" w:cs="Arial"/>
          <w:i/>
          <w:iCs/>
          <w:sz w:val="22"/>
          <w:szCs w:val="22"/>
        </w:rPr>
        <w:t>CRT/2025/</w:t>
      </w:r>
      <w:r>
        <w:rPr>
          <w:rFonts w:ascii="Arial" w:hAnsi="Arial" w:cs="Arial"/>
          <w:i/>
          <w:iCs/>
          <w:sz w:val="22"/>
          <w:szCs w:val="22"/>
        </w:rPr>
        <w:t>22.9</w:t>
      </w:r>
      <w:r w:rsidRPr="006B0B3A">
        <w:rPr>
          <w:rFonts w:ascii="Arial" w:hAnsi="Arial" w:cs="Arial"/>
          <w:i/>
          <w:sz w:val="22"/>
          <w:szCs w:val="22"/>
        </w:rPr>
        <w:t xml:space="preserve"> </w:t>
      </w:r>
      <w:r w:rsidRPr="006B0B3A">
        <w:rPr>
          <w:rFonts w:ascii="Arial" w:hAnsi="Arial" w:cs="Arial"/>
          <w:i/>
          <w:iCs/>
          <w:sz w:val="22"/>
          <w:szCs w:val="22"/>
        </w:rPr>
        <w:t>Public Interest Disclosure (Whistleblowing)</w:t>
      </w:r>
    </w:p>
    <w:p w14:paraId="7D788672" w14:textId="1D7161ED" w:rsidR="0070346A" w:rsidRPr="006B0B3A" w:rsidRDefault="0070346A" w:rsidP="0070346A">
      <w:pPr>
        <w:rPr>
          <w:rFonts w:ascii="Arial" w:hAnsi="Arial" w:cs="Arial"/>
          <w:sz w:val="22"/>
          <w:szCs w:val="22"/>
        </w:rPr>
      </w:pPr>
      <w:r w:rsidRPr="006B0B3A">
        <w:rPr>
          <w:rFonts w:ascii="Arial" w:hAnsi="Arial" w:cs="Arial"/>
          <w:sz w:val="22"/>
          <w:szCs w:val="22"/>
        </w:rPr>
        <w:t xml:space="preserve">Court noted that a whistleblowing complaint </w:t>
      </w:r>
      <w:r w:rsidR="0035786C">
        <w:rPr>
          <w:rFonts w:ascii="Arial" w:hAnsi="Arial" w:cs="Arial"/>
          <w:sz w:val="22"/>
          <w:szCs w:val="22"/>
        </w:rPr>
        <w:t>had been</w:t>
      </w:r>
      <w:r w:rsidRPr="006B0B3A">
        <w:rPr>
          <w:rFonts w:ascii="Arial" w:hAnsi="Arial" w:cs="Arial"/>
          <w:sz w:val="22"/>
          <w:szCs w:val="22"/>
        </w:rPr>
        <w:t xml:space="preserve"> submitted under the Public Interest Disclosure Policy regarding potential financial irregularities in research grant funds for a PhD project</w:t>
      </w:r>
      <w:r>
        <w:rPr>
          <w:rFonts w:ascii="Arial" w:hAnsi="Arial" w:cs="Arial"/>
          <w:sz w:val="22"/>
          <w:szCs w:val="22"/>
        </w:rPr>
        <w:t xml:space="preserve">.  </w:t>
      </w:r>
      <w:r w:rsidRPr="006B0B3A">
        <w:rPr>
          <w:rFonts w:ascii="Arial" w:hAnsi="Arial" w:cs="Arial"/>
          <w:sz w:val="22"/>
          <w:szCs w:val="22"/>
        </w:rPr>
        <w:t>An independent review of the project’s financial and procurement records was being led by the Executive Director of Research.</w:t>
      </w:r>
    </w:p>
    <w:p w14:paraId="13CACA96" w14:textId="77777777" w:rsidR="0070346A" w:rsidRPr="006B0B3A" w:rsidRDefault="0070346A" w:rsidP="0070346A">
      <w:pPr>
        <w:rPr>
          <w:rFonts w:ascii="Arial" w:hAnsi="Arial" w:cs="Arial"/>
          <w:sz w:val="22"/>
          <w:szCs w:val="22"/>
        </w:rPr>
      </w:pPr>
    </w:p>
    <w:p w14:paraId="2AEA41C3" w14:textId="42BF213C" w:rsidR="0070346A" w:rsidRPr="0070346A" w:rsidRDefault="0070346A" w:rsidP="0070346A">
      <w:pPr>
        <w:spacing w:after="120"/>
        <w:rPr>
          <w:rFonts w:ascii="Arial" w:hAnsi="Arial" w:cs="Arial"/>
          <w:i/>
          <w:iCs/>
          <w:sz w:val="22"/>
          <w:szCs w:val="22"/>
        </w:rPr>
      </w:pPr>
      <w:r w:rsidRPr="006B0B3A">
        <w:rPr>
          <w:rFonts w:ascii="Arial" w:hAnsi="Arial" w:cs="Arial"/>
          <w:i/>
          <w:iCs/>
          <w:sz w:val="22"/>
          <w:szCs w:val="22"/>
        </w:rPr>
        <w:t>CRT/2025/</w:t>
      </w:r>
      <w:r>
        <w:rPr>
          <w:rFonts w:ascii="Arial" w:hAnsi="Arial" w:cs="Arial"/>
          <w:i/>
          <w:iCs/>
          <w:sz w:val="22"/>
          <w:szCs w:val="22"/>
        </w:rPr>
        <w:t>22.10</w:t>
      </w:r>
      <w:r w:rsidRPr="006B0B3A">
        <w:rPr>
          <w:rFonts w:ascii="Arial" w:hAnsi="Arial" w:cs="Arial"/>
          <w:i/>
          <w:sz w:val="22"/>
          <w:szCs w:val="22"/>
        </w:rPr>
        <w:t xml:space="preserve"> </w:t>
      </w:r>
      <w:r w:rsidRPr="006B0B3A">
        <w:rPr>
          <w:rFonts w:ascii="Arial" w:hAnsi="Arial" w:cs="Arial"/>
          <w:i/>
          <w:iCs/>
          <w:sz w:val="22"/>
          <w:szCs w:val="22"/>
        </w:rPr>
        <w:t>University of the West Indies – Chancellor’s Award</w:t>
      </w:r>
    </w:p>
    <w:p w14:paraId="77E9A08A" w14:textId="77777777" w:rsidR="0070346A" w:rsidRPr="006B0B3A" w:rsidRDefault="0070346A" w:rsidP="0070346A">
      <w:pPr>
        <w:rPr>
          <w:rFonts w:ascii="Arial" w:hAnsi="Arial" w:cs="Arial"/>
          <w:sz w:val="22"/>
          <w:szCs w:val="22"/>
        </w:rPr>
      </w:pPr>
      <w:r w:rsidRPr="00006FD6">
        <w:rPr>
          <w:rFonts w:ascii="Arial" w:hAnsi="Arial" w:cs="Arial"/>
          <w:sz w:val="22"/>
          <w:szCs w:val="22"/>
        </w:rPr>
        <w:t xml:space="preserve">Court noted that the University </w:t>
      </w:r>
      <w:r w:rsidRPr="006B0B3A">
        <w:rPr>
          <w:rFonts w:ascii="Arial" w:hAnsi="Arial" w:cs="Arial"/>
          <w:sz w:val="22"/>
          <w:szCs w:val="22"/>
        </w:rPr>
        <w:t xml:space="preserve">had </w:t>
      </w:r>
      <w:r w:rsidRPr="00006FD6">
        <w:rPr>
          <w:rFonts w:ascii="Arial" w:hAnsi="Arial" w:cs="Arial"/>
          <w:sz w:val="22"/>
          <w:szCs w:val="22"/>
        </w:rPr>
        <w:t>received The Chancellor’s Award from the University of the West Indies, recognising the strength of the UofG-UWI partnership and the University’s commitment to addressing the legacy of slavery.</w:t>
      </w:r>
    </w:p>
    <w:p w14:paraId="58C0D201" w14:textId="77777777" w:rsidR="0070346A" w:rsidRPr="00006FD6" w:rsidRDefault="0070346A" w:rsidP="0070346A">
      <w:pPr>
        <w:rPr>
          <w:rFonts w:ascii="Arial" w:hAnsi="Arial" w:cs="Arial"/>
          <w:sz w:val="22"/>
          <w:szCs w:val="22"/>
        </w:rPr>
      </w:pPr>
    </w:p>
    <w:p w14:paraId="78456493" w14:textId="59D12AC4" w:rsidR="0070346A" w:rsidRPr="006B0B3A" w:rsidRDefault="0070346A" w:rsidP="0070346A">
      <w:pPr>
        <w:rPr>
          <w:rFonts w:ascii="Arial" w:hAnsi="Arial" w:cs="Arial"/>
          <w:sz w:val="22"/>
          <w:szCs w:val="22"/>
        </w:rPr>
      </w:pPr>
      <w:r w:rsidRPr="00006FD6">
        <w:rPr>
          <w:rFonts w:ascii="Arial" w:hAnsi="Arial" w:cs="Arial"/>
          <w:sz w:val="22"/>
          <w:szCs w:val="22"/>
        </w:rPr>
        <w:t xml:space="preserve">Court also noted measures introduced to support Displaced and Conflict-Affected Applicants (DACA), including admissions adjustments, targeted scholarships, and a £1m Humanitarian Response Fund. SMG </w:t>
      </w:r>
      <w:r w:rsidRPr="006B0B3A">
        <w:rPr>
          <w:rFonts w:ascii="Arial" w:hAnsi="Arial" w:cs="Arial"/>
          <w:sz w:val="22"/>
          <w:szCs w:val="22"/>
        </w:rPr>
        <w:t>would be endorsing a series of admissions policy adjustments which would be implemented alongside a review of future financial commitments to ensure fairness, transparency and long-term sustainability in supporting DACA students.</w:t>
      </w:r>
    </w:p>
    <w:p w14:paraId="69D53639" w14:textId="77777777" w:rsidR="006F0F29" w:rsidRPr="00BA64FF" w:rsidRDefault="006F0F29" w:rsidP="002C0502">
      <w:pPr>
        <w:pStyle w:val="Body"/>
        <w:pBdr>
          <w:top w:val="none" w:sz="0" w:space="0" w:color="auto"/>
          <w:left w:val="none" w:sz="0" w:space="0" w:color="auto"/>
          <w:bottom w:val="none" w:sz="0" w:space="0" w:color="auto"/>
          <w:right w:val="none" w:sz="0" w:space="0" w:color="auto"/>
        </w:pBdr>
        <w:spacing w:after="120"/>
        <w:jc w:val="both"/>
        <w:rPr>
          <w:rFonts w:ascii="Arial" w:eastAsiaTheme="minorEastAsia" w:hAnsi="Arial" w:cs="Arial"/>
          <w:sz w:val="22"/>
          <w:szCs w:val="22"/>
          <w:highlight w:val="yellow"/>
        </w:rPr>
      </w:pPr>
    </w:p>
    <w:p w14:paraId="35F10709" w14:textId="46B39FAB" w:rsidR="000D7B8E" w:rsidRPr="0081733C" w:rsidRDefault="000D7B8E" w:rsidP="000D7B8E">
      <w:pPr>
        <w:tabs>
          <w:tab w:val="left" w:pos="0"/>
        </w:tabs>
        <w:autoSpaceDE/>
        <w:autoSpaceDN/>
        <w:spacing w:after="120"/>
        <w:jc w:val="both"/>
        <w:rPr>
          <w:rFonts w:ascii="Arial" w:hAnsi="Arial" w:cs="Arial"/>
          <w:sz w:val="22"/>
          <w:szCs w:val="22"/>
        </w:rPr>
      </w:pPr>
      <w:r w:rsidRPr="00645CCE">
        <w:rPr>
          <w:rFonts w:ascii="Arial" w:eastAsiaTheme="minorEastAsia" w:hAnsi="Arial" w:cs="Arial"/>
          <w:b/>
          <w:bCs/>
          <w:sz w:val="22"/>
          <w:szCs w:val="22"/>
        </w:rPr>
        <w:t>CRT/20</w:t>
      </w:r>
      <w:r>
        <w:rPr>
          <w:rFonts w:ascii="Arial" w:eastAsiaTheme="minorEastAsia" w:hAnsi="Arial" w:cs="Arial"/>
          <w:b/>
          <w:bCs/>
          <w:sz w:val="22"/>
          <w:szCs w:val="22"/>
        </w:rPr>
        <w:t>25</w:t>
      </w:r>
      <w:r w:rsidRPr="00645CCE">
        <w:rPr>
          <w:rFonts w:ascii="Arial" w:eastAsiaTheme="minorEastAsia" w:hAnsi="Arial" w:cs="Arial"/>
          <w:b/>
          <w:bCs/>
          <w:sz w:val="22"/>
          <w:szCs w:val="22"/>
        </w:rPr>
        <w:t>/</w:t>
      </w:r>
      <w:r w:rsidR="00BA64FF">
        <w:rPr>
          <w:rFonts w:ascii="Arial" w:eastAsiaTheme="minorEastAsia" w:hAnsi="Arial" w:cs="Arial"/>
          <w:b/>
          <w:bCs/>
          <w:sz w:val="22"/>
          <w:szCs w:val="22"/>
        </w:rPr>
        <w:t>23</w:t>
      </w:r>
      <w:r>
        <w:rPr>
          <w:rFonts w:ascii="Arial" w:eastAsiaTheme="minorEastAsia" w:hAnsi="Arial" w:cs="Arial"/>
          <w:b/>
          <w:bCs/>
          <w:sz w:val="22"/>
          <w:szCs w:val="22"/>
        </w:rPr>
        <w:t>.</w:t>
      </w:r>
      <w:r w:rsidRPr="00645CCE">
        <w:rPr>
          <w:rFonts w:ascii="Arial" w:eastAsiaTheme="minorEastAsia" w:hAnsi="Arial" w:cs="Arial"/>
          <w:b/>
          <w:bCs/>
          <w:sz w:val="22"/>
          <w:szCs w:val="22"/>
        </w:rPr>
        <w:t xml:space="preserve"> </w:t>
      </w:r>
      <w:r>
        <w:rPr>
          <w:rFonts w:ascii="Arial" w:eastAsiaTheme="minorEastAsia" w:hAnsi="Arial" w:cs="Arial"/>
          <w:b/>
          <w:bCs/>
          <w:sz w:val="22"/>
          <w:szCs w:val="22"/>
        </w:rPr>
        <w:t>Financial Report</w:t>
      </w:r>
    </w:p>
    <w:p w14:paraId="2459AC0D" w14:textId="4F123C3F" w:rsidR="00FC4AF3" w:rsidRPr="0070346A" w:rsidRDefault="000D7B8E" w:rsidP="009D6F0D">
      <w:pPr>
        <w:tabs>
          <w:tab w:val="left" w:pos="0"/>
        </w:tabs>
        <w:autoSpaceDE/>
        <w:autoSpaceDN/>
        <w:spacing w:after="240"/>
        <w:rPr>
          <w:rFonts w:ascii="Arial" w:hAnsi="Arial" w:cs="Arial"/>
          <w:bCs/>
          <w:sz w:val="22"/>
          <w:szCs w:val="22"/>
        </w:rPr>
      </w:pPr>
      <w:r w:rsidRPr="0070346A">
        <w:rPr>
          <w:rFonts w:ascii="Arial" w:hAnsi="Arial" w:cs="Arial"/>
          <w:bCs/>
          <w:sz w:val="22"/>
          <w:szCs w:val="22"/>
        </w:rPr>
        <w:t xml:space="preserve">Court </w:t>
      </w:r>
      <w:r w:rsidR="009D6F0D" w:rsidRPr="0070346A">
        <w:rPr>
          <w:rFonts w:ascii="Arial" w:hAnsi="Arial" w:cs="Arial"/>
          <w:bCs/>
          <w:sz w:val="22"/>
          <w:szCs w:val="22"/>
        </w:rPr>
        <w:t xml:space="preserve">noted Paper </w:t>
      </w:r>
      <w:r w:rsidR="0070346A" w:rsidRPr="0070346A">
        <w:rPr>
          <w:rFonts w:ascii="Arial" w:hAnsi="Arial" w:cs="Arial"/>
          <w:bCs/>
          <w:sz w:val="22"/>
          <w:szCs w:val="22"/>
        </w:rPr>
        <w:t>9 – Financial Report from</w:t>
      </w:r>
      <w:r w:rsidRPr="0070346A">
        <w:rPr>
          <w:rFonts w:ascii="Arial" w:hAnsi="Arial" w:cs="Arial"/>
          <w:bCs/>
          <w:sz w:val="22"/>
          <w:szCs w:val="22"/>
        </w:rPr>
        <w:t xml:space="preserve"> Gregor Caldow, Executive Director of Financ</w:t>
      </w:r>
      <w:r w:rsidR="00837E63" w:rsidRPr="0070346A">
        <w:rPr>
          <w:rFonts w:ascii="Arial" w:hAnsi="Arial" w:cs="Arial"/>
          <w:bCs/>
          <w:sz w:val="22"/>
          <w:szCs w:val="22"/>
        </w:rPr>
        <w:t>e</w:t>
      </w:r>
      <w:r w:rsidR="0070346A" w:rsidRPr="0070346A">
        <w:rPr>
          <w:rFonts w:ascii="Arial" w:hAnsi="Arial" w:cs="Arial"/>
          <w:bCs/>
          <w:sz w:val="22"/>
          <w:szCs w:val="22"/>
        </w:rPr>
        <w:t xml:space="preserve"> which provided an update on current year performance. Court noted that international fee income was ahead of budget but below last year’s level. The need for ongoing scenario planning was stressed given early signs of a 28% softening in international student recruitment for 2026, USS pension contribution uncertainties, and reliance on £40 million of planned savings. Management confirmed that financial forecasts would continue to model downside scenarios, including a 25% drop in international intake, and that reserves were sufficient to absorb </w:t>
      </w:r>
      <w:r w:rsidR="00AA20B4">
        <w:rPr>
          <w:rFonts w:ascii="Arial" w:hAnsi="Arial" w:cs="Arial"/>
          <w:bCs/>
          <w:sz w:val="22"/>
          <w:szCs w:val="22"/>
        </w:rPr>
        <w:t xml:space="preserve">a level of </w:t>
      </w:r>
      <w:r w:rsidR="0070346A" w:rsidRPr="0070346A">
        <w:rPr>
          <w:rFonts w:ascii="Arial" w:hAnsi="Arial" w:cs="Arial"/>
          <w:bCs/>
          <w:sz w:val="22"/>
          <w:szCs w:val="22"/>
        </w:rPr>
        <w:t>short-term shocks without immediate corrective action</w:t>
      </w:r>
      <w:r w:rsidR="00AA20B4">
        <w:rPr>
          <w:rFonts w:ascii="Arial" w:hAnsi="Arial" w:cs="Arial"/>
          <w:bCs/>
          <w:sz w:val="22"/>
          <w:szCs w:val="22"/>
        </w:rPr>
        <w:t>, though action would be needed over time</w:t>
      </w:r>
      <w:r w:rsidR="0070346A" w:rsidRPr="0070346A">
        <w:rPr>
          <w:rFonts w:ascii="Arial" w:hAnsi="Arial" w:cs="Arial"/>
          <w:bCs/>
          <w:sz w:val="22"/>
          <w:szCs w:val="22"/>
        </w:rPr>
        <w:t>.</w:t>
      </w:r>
    </w:p>
    <w:p w14:paraId="0BBF9D33" w14:textId="62058DD7" w:rsidR="002C0502" w:rsidRPr="00837E63" w:rsidRDefault="002C0502" w:rsidP="00837E63">
      <w:pPr>
        <w:tabs>
          <w:tab w:val="left" w:pos="0"/>
        </w:tabs>
        <w:autoSpaceDE/>
        <w:autoSpaceDN/>
        <w:spacing w:after="240"/>
        <w:rPr>
          <w:rFonts w:ascii="Arial" w:hAnsi="Arial" w:cs="Arial"/>
          <w:bCs/>
          <w:sz w:val="22"/>
          <w:szCs w:val="22"/>
        </w:rPr>
      </w:pPr>
      <w:r w:rsidRPr="009C7395">
        <w:rPr>
          <w:rFonts w:ascii="Arial" w:eastAsiaTheme="minorEastAsia" w:hAnsi="Arial" w:cs="Arial"/>
          <w:b/>
          <w:bCs/>
          <w:sz w:val="22"/>
          <w:szCs w:val="22"/>
        </w:rPr>
        <w:t>CRT/202</w:t>
      </w:r>
      <w:r w:rsidR="000D7B8E">
        <w:rPr>
          <w:rFonts w:ascii="Arial" w:eastAsiaTheme="minorEastAsia" w:hAnsi="Arial" w:cs="Arial"/>
          <w:b/>
          <w:bCs/>
          <w:sz w:val="22"/>
          <w:szCs w:val="22"/>
        </w:rPr>
        <w:t>5</w:t>
      </w:r>
      <w:r w:rsidRPr="009C7395">
        <w:rPr>
          <w:rFonts w:ascii="Arial" w:eastAsiaTheme="minorEastAsia" w:hAnsi="Arial" w:cs="Arial"/>
          <w:b/>
          <w:bCs/>
          <w:sz w:val="22"/>
          <w:szCs w:val="22"/>
        </w:rPr>
        <w:t>/</w:t>
      </w:r>
      <w:r w:rsidR="00BA64FF">
        <w:rPr>
          <w:rFonts w:ascii="Arial" w:eastAsiaTheme="minorEastAsia" w:hAnsi="Arial" w:cs="Arial"/>
          <w:b/>
          <w:bCs/>
          <w:sz w:val="22"/>
          <w:szCs w:val="22"/>
        </w:rPr>
        <w:t>24</w:t>
      </w:r>
      <w:r w:rsidRPr="009C7395">
        <w:rPr>
          <w:rFonts w:ascii="Arial" w:eastAsiaTheme="minorEastAsia" w:hAnsi="Arial" w:cs="Arial"/>
          <w:b/>
          <w:bCs/>
          <w:sz w:val="22"/>
          <w:szCs w:val="22"/>
        </w:rPr>
        <w:t xml:space="preserve">. </w:t>
      </w:r>
      <w:r w:rsidRPr="009C7395">
        <w:rPr>
          <w:rFonts w:ascii="Arial" w:hAnsi="Arial" w:cs="Arial"/>
          <w:b/>
          <w:bCs/>
          <w:sz w:val="22"/>
          <w:szCs w:val="22"/>
        </w:rPr>
        <w:t xml:space="preserve">Student Matters, </w:t>
      </w:r>
      <w:proofErr w:type="gramStart"/>
      <w:r w:rsidRPr="009C7395">
        <w:rPr>
          <w:rFonts w:ascii="Arial" w:hAnsi="Arial" w:cs="Arial"/>
          <w:b/>
          <w:bCs/>
          <w:sz w:val="22"/>
          <w:szCs w:val="22"/>
        </w:rPr>
        <w:t>including:</w:t>
      </w:r>
      <w:proofErr w:type="gramEnd"/>
      <w:r w:rsidRPr="009C7395">
        <w:rPr>
          <w:rFonts w:ascii="Arial" w:hAnsi="Arial" w:cs="Arial"/>
          <w:b/>
          <w:bCs/>
          <w:sz w:val="22"/>
          <w:szCs w:val="22"/>
        </w:rPr>
        <w:t xml:space="preserve"> SEC Report; SRC President update</w:t>
      </w:r>
    </w:p>
    <w:p w14:paraId="50FE76A8" w14:textId="376592A4" w:rsidR="002C0502" w:rsidRPr="003D3CC0" w:rsidRDefault="002C0502" w:rsidP="002C0502">
      <w:pPr>
        <w:tabs>
          <w:tab w:val="left" w:pos="0"/>
        </w:tabs>
        <w:spacing w:before="120" w:after="240"/>
        <w:contextualSpacing/>
        <w:jc w:val="both"/>
        <w:rPr>
          <w:rFonts w:asciiTheme="minorBidi" w:hAnsiTheme="minorBidi"/>
          <w:i/>
          <w:iCs/>
          <w:sz w:val="22"/>
          <w:szCs w:val="22"/>
        </w:rPr>
      </w:pPr>
      <w:r w:rsidRPr="00067547">
        <w:rPr>
          <w:rFonts w:ascii="Arial" w:hAnsi="Arial" w:cs="Arial"/>
          <w:bCs/>
          <w:i/>
          <w:sz w:val="22"/>
          <w:szCs w:val="22"/>
        </w:rPr>
        <w:t>CRT/202</w:t>
      </w:r>
      <w:r w:rsidR="00A07806">
        <w:rPr>
          <w:rFonts w:ascii="Arial" w:hAnsi="Arial" w:cs="Arial"/>
          <w:bCs/>
          <w:i/>
          <w:sz w:val="22"/>
          <w:szCs w:val="22"/>
        </w:rPr>
        <w:t>5</w:t>
      </w:r>
      <w:r w:rsidRPr="00067547">
        <w:rPr>
          <w:rFonts w:ascii="Arial" w:hAnsi="Arial" w:cs="Arial"/>
          <w:bCs/>
          <w:i/>
          <w:sz w:val="22"/>
          <w:szCs w:val="22"/>
        </w:rPr>
        <w:t>/</w:t>
      </w:r>
      <w:r w:rsidR="00BA64FF">
        <w:rPr>
          <w:rFonts w:ascii="Arial" w:hAnsi="Arial" w:cs="Arial"/>
          <w:bCs/>
          <w:i/>
          <w:sz w:val="22"/>
          <w:szCs w:val="22"/>
        </w:rPr>
        <w:t>24</w:t>
      </w:r>
      <w:r w:rsidRPr="00067547">
        <w:rPr>
          <w:rFonts w:ascii="Arial" w:hAnsi="Arial" w:cs="Arial"/>
          <w:bCs/>
          <w:i/>
          <w:sz w:val="22"/>
          <w:szCs w:val="22"/>
        </w:rPr>
        <w:t xml:space="preserve">.1 </w:t>
      </w:r>
      <w:r w:rsidRPr="003D3CC0">
        <w:rPr>
          <w:rFonts w:ascii="Arial" w:hAnsi="Arial" w:cs="Arial"/>
          <w:i/>
          <w:iCs/>
          <w:sz w:val="22"/>
          <w:szCs w:val="22"/>
        </w:rPr>
        <w:t>Rector update</w:t>
      </w:r>
    </w:p>
    <w:p w14:paraId="4D1AEFA9" w14:textId="48B2CDE7" w:rsidR="002C0502" w:rsidRPr="00264694" w:rsidRDefault="002C0502" w:rsidP="002C0502">
      <w:pPr>
        <w:tabs>
          <w:tab w:val="left" w:pos="0"/>
        </w:tabs>
        <w:autoSpaceDE/>
        <w:autoSpaceDN/>
        <w:spacing w:before="120" w:after="240"/>
        <w:jc w:val="both"/>
        <w:rPr>
          <w:rFonts w:asciiTheme="minorBidi" w:hAnsiTheme="minorBidi" w:cstheme="minorBidi"/>
          <w:sz w:val="22"/>
          <w:szCs w:val="22"/>
        </w:rPr>
      </w:pPr>
      <w:r w:rsidRPr="00264694">
        <w:rPr>
          <w:rFonts w:asciiTheme="minorBidi" w:hAnsiTheme="minorBidi" w:cstheme="minorBidi"/>
          <w:sz w:val="22"/>
          <w:szCs w:val="22"/>
        </w:rPr>
        <w:t xml:space="preserve">Court noted the Rector’s </w:t>
      </w:r>
      <w:r w:rsidR="00862A39" w:rsidRPr="00264694">
        <w:rPr>
          <w:rFonts w:asciiTheme="minorBidi" w:hAnsiTheme="minorBidi" w:cstheme="minorBidi"/>
          <w:sz w:val="22"/>
          <w:szCs w:val="22"/>
        </w:rPr>
        <w:t>apologies,</w:t>
      </w:r>
      <w:r w:rsidR="00720B6B" w:rsidRPr="00264694">
        <w:rPr>
          <w:rFonts w:asciiTheme="minorBidi" w:hAnsiTheme="minorBidi" w:cstheme="minorBidi"/>
          <w:sz w:val="22"/>
          <w:szCs w:val="22"/>
        </w:rPr>
        <w:t xml:space="preserve"> and no substantive matters were raised.</w:t>
      </w:r>
    </w:p>
    <w:p w14:paraId="1D68FE10" w14:textId="57B7DBBB" w:rsidR="002C0502" w:rsidRPr="00264694" w:rsidRDefault="002C0502" w:rsidP="002C0502">
      <w:pPr>
        <w:tabs>
          <w:tab w:val="left" w:pos="0"/>
        </w:tabs>
        <w:spacing w:before="120" w:after="240"/>
        <w:contextualSpacing/>
        <w:jc w:val="both"/>
        <w:rPr>
          <w:rFonts w:asciiTheme="minorBidi" w:hAnsiTheme="minorBidi"/>
          <w:i/>
          <w:iCs/>
          <w:sz w:val="22"/>
          <w:szCs w:val="22"/>
        </w:rPr>
      </w:pPr>
      <w:r w:rsidRPr="00264694">
        <w:rPr>
          <w:rFonts w:ascii="Arial" w:hAnsi="Arial" w:cs="Arial"/>
          <w:bCs/>
          <w:i/>
          <w:sz w:val="22"/>
          <w:szCs w:val="22"/>
        </w:rPr>
        <w:t>CRT/202</w:t>
      </w:r>
      <w:r w:rsidR="00A07806">
        <w:rPr>
          <w:rFonts w:ascii="Arial" w:hAnsi="Arial" w:cs="Arial"/>
          <w:bCs/>
          <w:i/>
          <w:sz w:val="22"/>
          <w:szCs w:val="22"/>
        </w:rPr>
        <w:t>5</w:t>
      </w:r>
      <w:r w:rsidRPr="00264694">
        <w:rPr>
          <w:rFonts w:ascii="Arial" w:hAnsi="Arial" w:cs="Arial"/>
          <w:bCs/>
          <w:i/>
          <w:sz w:val="22"/>
          <w:szCs w:val="22"/>
        </w:rPr>
        <w:t>/</w:t>
      </w:r>
      <w:r w:rsidR="00BA64FF">
        <w:rPr>
          <w:rFonts w:ascii="Arial" w:hAnsi="Arial" w:cs="Arial"/>
          <w:bCs/>
          <w:i/>
          <w:sz w:val="22"/>
          <w:szCs w:val="22"/>
        </w:rPr>
        <w:t>24</w:t>
      </w:r>
      <w:r w:rsidRPr="00264694">
        <w:rPr>
          <w:rFonts w:ascii="Arial" w:hAnsi="Arial" w:cs="Arial"/>
          <w:bCs/>
          <w:i/>
          <w:sz w:val="22"/>
          <w:szCs w:val="22"/>
        </w:rPr>
        <w:t>.</w:t>
      </w:r>
      <w:r w:rsidR="00994528" w:rsidRPr="00264694">
        <w:rPr>
          <w:rFonts w:ascii="Arial" w:hAnsi="Arial" w:cs="Arial"/>
          <w:bCs/>
          <w:i/>
          <w:sz w:val="22"/>
          <w:szCs w:val="22"/>
        </w:rPr>
        <w:t>2</w:t>
      </w:r>
      <w:r w:rsidRPr="00264694">
        <w:rPr>
          <w:rFonts w:ascii="Arial" w:hAnsi="Arial" w:cs="Arial"/>
          <w:bCs/>
          <w:i/>
          <w:sz w:val="22"/>
          <w:szCs w:val="22"/>
        </w:rPr>
        <w:t xml:space="preserve"> </w:t>
      </w:r>
      <w:r w:rsidRPr="00264694">
        <w:rPr>
          <w:rFonts w:ascii="Arial" w:hAnsi="Arial" w:cs="Arial"/>
          <w:i/>
          <w:iCs/>
          <w:sz w:val="22"/>
          <w:szCs w:val="22"/>
        </w:rPr>
        <w:t>SRC update</w:t>
      </w:r>
    </w:p>
    <w:p w14:paraId="6F0CA95B" w14:textId="6B0936AC" w:rsidR="009D6F0D" w:rsidRDefault="009D6F0D" w:rsidP="009D6F0D">
      <w:pPr>
        <w:tabs>
          <w:tab w:val="left" w:pos="0"/>
        </w:tabs>
        <w:autoSpaceDE/>
        <w:autoSpaceDN/>
        <w:spacing w:before="120" w:after="120"/>
        <w:rPr>
          <w:rFonts w:asciiTheme="minorBidi" w:hAnsiTheme="minorBidi" w:cstheme="minorBidi"/>
          <w:sz w:val="22"/>
          <w:szCs w:val="22"/>
        </w:rPr>
      </w:pPr>
      <w:r w:rsidRPr="009D6F0D">
        <w:rPr>
          <w:rFonts w:asciiTheme="minorBidi" w:hAnsiTheme="minorBidi" w:cstheme="minorBidi"/>
          <w:sz w:val="22"/>
          <w:szCs w:val="22"/>
        </w:rPr>
        <w:lastRenderedPageBreak/>
        <w:t xml:space="preserve">Court received a comprehensive report from the SRC President on student engagement and welfare initiatives since the last meeting. Welcome Week 2025 was confirmed as the most successful on record, featuring over 150 events, supported by 125 trained helpers and 250 exhibitors, with exceptionally high attendance across all activities. The SRC </w:t>
      </w:r>
      <w:r w:rsidR="007F3B50">
        <w:rPr>
          <w:rFonts w:asciiTheme="minorBidi" w:hAnsiTheme="minorBidi" w:cstheme="minorBidi"/>
          <w:sz w:val="22"/>
          <w:szCs w:val="22"/>
        </w:rPr>
        <w:t>had continued to promote</w:t>
      </w:r>
      <w:r w:rsidRPr="009D6F0D">
        <w:rPr>
          <w:rFonts w:asciiTheme="minorBidi" w:hAnsiTheme="minorBidi" w:cstheme="minorBidi"/>
          <w:sz w:val="22"/>
          <w:szCs w:val="22"/>
        </w:rPr>
        <w:t xml:space="preserve"> workshops</w:t>
      </w:r>
      <w:r w:rsidR="007F3B50">
        <w:rPr>
          <w:rFonts w:asciiTheme="minorBidi" w:hAnsiTheme="minorBidi" w:cstheme="minorBidi"/>
          <w:sz w:val="22"/>
          <w:szCs w:val="22"/>
        </w:rPr>
        <w:t xml:space="preserve"> on </w:t>
      </w:r>
      <w:proofErr w:type="gramStart"/>
      <w:r w:rsidR="007F3B50">
        <w:rPr>
          <w:rFonts w:asciiTheme="minorBidi" w:hAnsiTheme="minorBidi" w:cstheme="minorBidi"/>
          <w:sz w:val="22"/>
          <w:szCs w:val="22"/>
        </w:rPr>
        <w:t>a number of</w:t>
      </w:r>
      <w:proofErr w:type="gramEnd"/>
      <w:r w:rsidR="007F3B50">
        <w:rPr>
          <w:rFonts w:asciiTheme="minorBidi" w:hAnsiTheme="minorBidi" w:cstheme="minorBidi"/>
          <w:sz w:val="22"/>
          <w:szCs w:val="22"/>
        </w:rPr>
        <w:t xml:space="preserve"> areas which included</w:t>
      </w:r>
      <w:r w:rsidRPr="009D6F0D">
        <w:rPr>
          <w:rFonts w:asciiTheme="minorBidi" w:hAnsiTheme="minorBidi" w:cstheme="minorBidi"/>
          <w:sz w:val="22"/>
          <w:szCs w:val="22"/>
        </w:rPr>
        <w:t xml:space="preserve"> consent and bystander intervention </w:t>
      </w:r>
      <w:r w:rsidR="00562260" w:rsidRPr="009D6F0D">
        <w:rPr>
          <w:rFonts w:asciiTheme="minorBidi" w:hAnsiTheme="minorBidi" w:cstheme="minorBidi"/>
          <w:sz w:val="22"/>
          <w:szCs w:val="22"/>
        </w:rPr>
        <w:t>training and</w:t>
      </w:r>
      <w:r w:rsidRPr="009D6F0D">
        <w:rPr>
          <w:rFonts w:asciiTheme="minorBidi" w:hAnsiTheme="minorBidi" w:cstheme="minorBidi"/>
          <w:sz w:val="22"/>
          <w:szCs w:val="22"/>
        </w:rPr>
        <w:t xml:space="preserve"> </w:t>
      </w:r>
      <w:r w:rsidR="007F3B50">
        <w:rPr>
          <w:rFonts w:asciiTheme="minorBidi" w:hAnsiTheme="minorBidi" w:cstheme="minorBidi"/>
          <w:sz w:val="22"/>
          <w:szCs w:val="22"/>
        </w:rPr>
        <w:t xml:space="preserve">had </w:t>
      </w:r>
      <w:r w:rsidRPr="009D6F0D">
        <w:rPr>
          <w:rFonts w:asciiTheme="minorBidi" w:hAnsiTheme="minorBidi" w:cstheme="minorBidi"/>
          <w:sz w:val="22"/>
          <w:szCs w:val="22"/>
        </w:rPr>
        <w:t xml:space="preserve">delivered a postgraduate de-stress programme during the summer, attracting over 600 participants. </w:t>
      </w:r>
      <w:r w:rsidR="007F3B50">
        <w:rPr>
          <w:rFonts w:asciiTheme="minorBidi" w:hAnsiTheme="minorBidi" w:cstheme="minorBidi"/>
          <w:sz w:val="22"/>
          <w:szCs w:val="22"/>
        </w:rPr>
        <w:t>It was noted that v</w:t>
      </w:r>
      <w:r w:rsidRPr="009D6F0D">
        <w:rPr>
          <w:rFonts w:asciiTheme="minorBidi" w:hAnsiTheme="minorBidi" w:cstheme="minorBidi"/>
          <w:sz w:val="22"/>
          <w:szCs w:val="22"/>
        </w:rPr>
        <w:t xml:space="preserve">olunteering engagement </w:t>
      </w:r>
      <w:r w:rsidR="007F3B50">
        <w:rPr>
          <w:rFonts w:asciiTheme="minorBidi" w:hAnsiTheme="minorBidi" w:cstheme="minorBidi"/>
          <w:sz w:val="22"/>
          <w:szCs w:val="22"/>
        </w:rPr>
        <w:t>had risen</w:t>
      </w:r>
      <w:r w:rsidRPr="009D6F0D">
        <w:rPr>
          <w:rFonts w:asciiTheme="minorBidi" w:hAnsiTheme="minorBidi" w:cstheme="minorBidi"/>
          <w:sz w:val="22"/>
          <w:szCs w:val="22"/>
        </w:rPr>
        <w:t xml:space="preserve"> significantly, with 576 new registrations, 6,900 hours logged, and strong turnout at the Volunteering Festival involving 31 charities. Clubs and societies</w:t>
      </w:r>
      <w:r w:rsidR="007F3B50">
        <w:rPr>
          <w:rFonts w:asciiTheme="minorBidi" w:hAnsiTheme="minorBidi" w:cstheme="minorBidi"/>
          <w:sz w:val="22"/>
          <w:szCs w:val="22"/>
        </w:rPr>
        <w:t xml:space="preserve"> had also</w:t>
      </w:r>
      <w:r w:rsidRPr="009D6F0D">
        <w:rPr>
          <w:rFonts w:asciiTheme="minorBidi" w:hAnsiTheme="minorBidi" w:cstheme="minorBidi"/>
          <w:sz w:val="22"/>
          <w:szCs w:val="22"/>
        </w:rPr>
        <w:t xml:space="preserve"> reported</w:t>
      </w:r>
      <w:r w:rsidR="007F3B50">
        <w:rPr>
          <w:rFonts w:asciiTheme="minorBidi" w:hAnsiTheme="minorBidi" w:cstheme="minorBidi"/>
          <w:sz w:val="22"/>
          <w:szCs w:val="22"/>
        </w:rPr>
        <w:t xml:space="preserve"> a strong start to the year with around</w:t>
      </w:r>
      <w:r w:rsidRPr="009D6F0D">
        <w:rPr>
          <w:rFonts w:asciiTheme="minorBidi" w:hAnsiTheme="minorBidi" w:cstheme="minorBidi"/>
          <w:sz w:val="22"/>
          <w:szCs w:val="22"/>
        </w:rPr>
        <w:t xml:space="preserve"> 22,054 memberships and a 47% increase in grant applications compared to last year, reflecting heightened student involvement. </w:t>
      </w:r>
      <w:r w:rsidR="007F3B50">
        <w:rPr>
          <w:rFonts w:asciiTheme="minorBidi" w:hAnsiTheme="minorBidi" w:cstheme="minorBidi"/>
          <w:sz w:val="22"/>
          <w:szCs w:val="22"/>
        </w:rPr>
        <w:t xml:space="preserve">SRC Council elections had also taken place in </w:t>
      </w:r>
      <w:r w:rsidRPr="009D6F0D">
        <w:rPr>
          <w:rFonts w:asciiTheme="minorBidi" w:hAnsiTheme="minorBidi" w:cstheme="minorBidi"/>
          <w:sz w:val="22"/>
          <w:szCs w:val="22"/>
        </w:rPr>
        <w:t>October with 2,425 votes cast, demonstrating improved democratic engagement</w:t>
      </w:r>
      <w:r w:rsidR="007F3B50">
        <w:rPr>
          <w:rFonts w:asciiTheme="minorBidi" w:hAnsiTheme="minorBidi" w:cstheme="minorBidi"/>
          <w:sz w:val="22"/>
          <w:szCs w:val="22"/>
        </w:rPr>
        <w:t xml:space="preserve"> on previous years.</w:t>
      </w:r>
    </w:p>
    <w:p w14:paraId="5FE77338" w14:textId="063F395A" w:rsidR="002C0502" w:rsidRDefault="009D6F0D" w:rsidP="009D6F0D">
      <w:pPr>
        <w:tabs>
          <w:tab w:val="left" w:pos="0"/>
        </w:tabs>
        <w:autoSpaceDE/>
        <w:autoSpaceDN/>
        <w:spacing w:before="120" w:after="120"/>
        <w:rPr>
          <w:rFonts w:asciiTheme="minorBidi" w:hAnsiTheme="minorBidi" w:cstheme="minorBidi"/>
          <w:sz w:val="22"/>
          <w:szCs w:val="22"/>
        </w:rPr>
      </w:pPr>
      <w:r>
        <w:rPr>
          <w:rFonts w:asciiTheme="minorBidi" w:hAnsiTheme="minorBidi" w:cstheme="minorBidi"/>
          <w:sz w:val="22"/>
          <w:szCs w:val="22"/>
        </w:rPr>
        <w:t xml:space="preserve">It was also noted that </w:t>
      </w:r>
      <w:r w:rsidR="0035786C">
        <w:rPr>
          <w:rFonts w:asciiTheme="minorBidi" w:hAnsiTheme="minorBidi" w:cstheme="minorBidi"/>
          <w:sz w:val="22"/>
          <w:szCs w:val="22"/>
        </w:rPr>
        <w:t>c</w:t>
      </w:r>
      <w:r w:rsidRPr="009D6F0D">
        <w:rPr>
          <w:rFonts w:asciiTheme="minorBidi" w:hAnsiTheme="minorBidi" w:cstheme="minorBidi"/>
          <w:sz w:val="22"/>
          <w:szCs w:val="22"/>
        </w:rPr>
        <w:t>ampaign activity was strong, with impactful programming for Disability History Month, Black History Month, and the ongoing 16 Days of Activism campaign against gender-based violence, culminating in a campus vigil and the annual march through the West End. Court welcomed these achievements and noted the positive contribution to student experience and community engagement.</w:t>
      </w:r>
    </w:p>
    <w:p w14:paraId="6D35F7F1" w14:textId="795E4222" w:rsidR="009D6F0D" w:rsidRDefault="009D6F0D" w:rsidP="009D6F0D">
      <w:pPr>
        <w:tabs>
          <w:tab w:val="left" w:pos="0"/>
        </w:tabs>
        <w:autoSpaceDE/>
        <w:autoSpaceDN/>
        <w:spacing w:before="120" w:after="120"/>
        <w:rPr>
          <w:rFonts w:asciiTheme="minorBidi" w:hAnsiTheme="minorBidi" w:cstheme="minorBidi"/>
          <w:sz w:val="22"/>
          <w:szCs w:val="22"/>
        </w:rPr>
      </w:pPr>
      <w:r w:rsidRPr="009D6F0D">
        <w:rPr>
          <w:rFonts w:asciiTheme="minorBidi" w:hAnsiTheme="minorBidi" w:cstheme="minorBidi"/>
          <w:sz w:val="22"/>
          <w:szCs w:val="22"/>
        </w:rPr>
        <w:t xml:space="preserve">The SRC </w:t>
      </w:r>
      <w:r>
        <w:rPr>
          <w:rFonts w:asciiTheme="minorBidi" w:hAnsiTheme="minorBidi" w:cstheme="minorBidi"/>
          <w:sz w:val="22"/>
          <w:szCs w:val="22"/>
        </w:rPr>
        <w:t xml:space="preserve">President also </w:t>
      </w:r>
      <w:r w:rsidRPr="009D6F0D">
        <w:rPr>
          <w:rFonts w:asciiTheme="minorBidi" w:hAnsiTheme="minorBidi" w:cstheme="minorBidi"/>
          <w:sz w:val="22"/>
          <w:szCs w:val="22"/>
        </w:rPr>
        <w:t>highlighted concerns regarding inconsistent response times and tone in communications from the Student Collections team, particularly around credit control processes</w:t>
      </w:r>
      <w:r w:rsidR="00B011D2">
        <w:rPr>
          <w:rFonts w:asciiTheme="minorBidi" w:hAnsiTheme="minorBidi" w:cstheme="minorBidi"/>
          <w:sz w:val="22"/>
          <w:szCs w:val="22"/>
        </w:rPr>
        <w:t xml:space="preserve">. It was </w:t>
      </w:r>
      <w:r w:rsidR="007F3B50">
        <w:rPr>
          <w:rFonts w:asciiTheme="minorBidi" w:hAnsiTheme="minorBidi" w:cstheme="minorBidi"/>
          <w:sz w:val="22"/>
          <w:szCs w:val="22"/>
        </w:rPr>
        <w:t>noted that the finance team would work with the SRC</w:t>
      </w:r>
      <w:r w:rsidRPr="009D6F0D">
        <w:rPr>
          <w:rFonts w:asciiTheme="minorBidi" w:hAnsiTheme="minorBidi" w:cstheme="minorBidi"/>
          <w:sz w:val="22"/>
          <w:szCs w:val="22"/>
        </w:rPr>
        <w:t xml:space="preserve"> to ensure clarity and sensitivity in messaging </w:t>
      </w:r>
      <w:r w:rsidR="007F3B50">
        <w:rPr>
          <w:rFonts w:asciiTheme="minorBidi" w:hAnsiTheme="minorBidi" w:cstheme="minorBidi"/>
          <w:sz w:val="22"/>
          <w:szCs w:val="22"/>
        </w:rPr>
        <w:t>in relation to student debt communications</w:t>
      </w:r>
      <w:r>
        <w:rPr>
          <w:rFonts w:asciiTheme="minorBidi" w:hAnsiTheme="minorBidi" w:cstheme="minorBidi"/>
          <w:sz w:val="22"/>
          <w:szCs w:val="22"/>
        </w:rPr>
        <w:t>.</w:t>
      </w:r>
    </w:p>
    <w:p w14:paraId="254B7E66" w14:textId="71D2D6AF" w:rsidR="009D6F0D" w:rsidRPr="009D6F0D" w:rsidRDefault="009D6F0D" w:rsidP="009D6F0D">
      <w:pPr>
        <w:tabs>
          <w:tab w:val="left" w:pos="0"/>
        </w:tabs>
        <w:autoSpaceDE/>
        <w:autoSpaceDN/>
        <w:spacing w:before="120" w:after="120"/>
        <w:rPr>
          <w:rFonts w:asciiTheme="minorBidi" w:hAnsiTheme="minorBidi" w:cstheme="minorBidi"/>
          <w:sz w:val="22"/>
          <w:szCs w:val="22"/>
        </w:rPr>
      </w:pPr>
      <w:r>
        <w:rPr>
          <w:rFonts w:asciiTheme="minorBidi" w:hAnsiTheme="minorBidi" w:cstheme="minorBidi"/>
          <w:sz w:val="22"/>
          <w:szCs w:val="22"/>
        </w:rPr>
        <w:t xml:space="preserve">It was also reported that the </w:t>
      </w:r>
      <w:r w:rsidRPr="009D6F0D">
        <w:rPr>
          <w:rFonts w:asciiTheme="minorBidi" w:hAnsiTheme="minorBidi" w:cstheme="minorBidi"/>
          <w:sz w:val="22"/>
          <w:szCs w:val="22"/>
        </w:rPr>
        <w:t>University ha</w:t>
      </w:r>
      <w:r>
        <w:rPr>
          <w:rFonts w:asciiTheme="minorBidi" w:hAnsiTheme="minorBidi" w:cstheme="minorBidi"/>
          <w:sz w:val="22"/>
          <w:szCs w:val="22"/>
        </w:rPr>
        <w:t>d</w:t>
      </w:r>
      <w:r w:rsidRPr="009D6F0D">
        <w:rPr>
          <w:rFonts w:asciiTheme="minorBidi" w:hAnsiTheme="minorBidi" w:cstheme="minorBidi"/>
          <w:sz w:val="22"/>
          <w:szCs w:val="22"/>
        </w:rPr>
        <w:t xml:space="preserve"> formally agreed to join the Emily Test Network, a national community of practice focused on tackling gender-based violence in higher education</w:t>
      </w:r>
      <w:r w:rsidR="0035786C">
        <w:rPr>
          <w:rFonts w:asciiTheme="minorBidi" w:hAnsiTheme="minorBidi" w:cstheme="minorBidi"/>
          <w:sz w:val="22"/>
          <w:szCs w:val="22"/>
        </w:rPr>
        <w:t>.</w:t>
      </w:r>
    </w:p>
    <w:p w14:paraId="4D3C0927" w14:textId="0E315EE6" w:rsidR="002C0502" w:rsidRPr="00264694" w:rsidRDefault="002C0502" w:rsidP="002C0502">
      <w:pPr>
        <w:tabs>
          <w:tab w:val="left" w:pos="0"/>
        </w:tabs>
        <w:spacing w:before="120" w:after="240"/>
        <w:contextualSpacing/>
        <w:jc w:val="both"/>
        <w:rPr>
          <w:rFonts w:asciiTheme="minorBidi" w:hAnsiTheme="minorBidi"/>
          <w:i/>
          <w:iCs/>
          <w:sz w:val="22"/>
          <w:szCs w:val="22"/>
        </w:rPr>
      </w:pPr>
      <w:r w:rsidRPr="00264694">
        <w:rPr>
          <w:rFonts w:ascii="Arial" w:hAnsi="Arial" w:cs="Arial"/>
          <w:bCs/>
          <w:i/>
          <w:sz w:val="22"/>
          <w:szCs w:val="22"/>
        </w:rPr>
        <w:t>CRT/202</w:t>
      </w:r>
      <w:r w:rsidR="00A07806">
        <w:rPr>
          <w:rFonts w:ascii="Arial" w:hAnsi="Arial" w:cs="Arial"/>
          <w:bCs/>
          <w:i/>
          <w:sz w:val="22"/>
          <w:szCs w:val="22"/>
        </w:rPr>
        <w:t>5</w:t>
      </w:r>
      <w:r w:rsidRPr="00264694">
        <w:rPr>
          <w:rFonts w:ascii="Arial" w:hAnsi="Arial" w:cs="Arial"/>
          <w:bCs/>
          <w:i/>
          <w:sz w:val="22"/>
          <w:szCs w:val="22"/>
        </w:rPr>
        <w:t>/</w:t>
      </w:r>
      <w:r w:rsidR="006F0F29">
        <w:rPr>
          <w:rFonts w:ascii="Arial" w:hAnsi="Arial" w:cs="Arial"/>
          <w:bCs/>
          <w:i/>
          <w:sz w:val="22"/>
          <w:szCs w:val="22"/>
        </w:rPr>
        <w:t>24</w:t>
      </w:r>
      <w:r w:rsidRPr="00264694">
        <w:rPr>
          <w:rFonts w:ascii="Arial" w:hAnsi="Arial" w:cs="Arial"/>
          <w:bCs/>
          <w:i/>
          <w:sz w:val="22"/>
          <w:szCs w:val="22"/>
        </w:rPr>
        <w:t>.</w:t>
      </w:r>
      <w:r w:rsidR="00994528" w:rsidRPr="00264694">
        <w:rPr>
          <w:rFonts w:ascii="Arial" w:hAnsi="Arial" w:cs="Arial"/>
          <w:bCs/>
          <w:i/>
          <w:sz w:val="22"/>
          <w:szCs w:val="22"/>
        </w:rPr>
        <w:t>3</w:t>
      </w:r>
      <w:r w:rsidRPr="00264694">
        <w:rPr>
          <w:rFonts w:ascii="Arial" w:hAnsi="Arial" w:cs="Arial"/>
          <w:bCs/>
          <w:i/>
          <w:sz w:val="22"/>
          <w:szCs w:val="22"/>
        </w:rPr>
        <w:t xml:space="preserve"> </w:t>
      </w:r>
      <w:r w:rsidRPr="00264694">
        <w:rPr>
          <w:rFonts w:ascii="Arial" w:hAnsi="Arial" w:cs="Arial"/>
          <w:i/>
          <w:iCs/>
          <w:sz w:val="22"/>
          <w:szCs w:val="22"/>
        </w:rPr>
        <w:t>Student Experience Committee</w:t>
      </w:r>
    </w:p>
    <w:p w14:paraId="2FCAC2E5" w14:textId="77777777" w:rsidR="00B011D2" w:rsidRDefault="002C0502" w:rsidP="00B011D2">
      <w:pPr>
        <w:tabs>
          <w:tab w:val="left" w:pos="0"/>
        </w:tabs>
        <w:autoSpaceDE/>
        <w:autoSpaceDN/>
        <w:spacing w:before="120" w:after="240"/>
        <w:jc w:val="both"/>
        <w:rPr>
          <w:rFonts w:asciiTheme="minorBidi" w:hAnsiTheme="minorBidi" w:cstheme="minorBidi"/>
          <w:sz w:val="22"/>
          <w:szCs w:val="22"/>
        </w:rPr>
      </w:pPr>
      <w:r w:rsidRPr="00264694">
        <w:rPr>
          <w:rFonts w:asciiTheme="minorBidi" w:hAnsiTheme="minorBidi" w:cstheme="minorBidi"/>
          <w:sz w:val="22"/>
          <w:szCs w:val="22"/>
        </w:rPr>
        <w:t>Court not</w:t>
      </w:r>
      <w:r w:rsidR="00994528" w:rsidRPr="00264694">
        <w:rPr>
          <w:rFonts w:asciiTheme="minorBidi" w:hAnsiTheme="minorBidi" w:cstheme="minorBidi"/>
          <w:sz w:val="22"/>
          <w:szCs w:val="22"/>
        </w:rPr>
        <w:t>e</w:t>
      </w:r>
      <w:r w:rsidRPr="00264694">
        <w:rPr>
          <w:rFonts w:asciiTheme="minorBidi" w:hAnsiTheme="minorBidi" w:cstheme="minorBidi"/>
          <w:sz w:val="22"/>
          <w:szCs w:val="22"/>
        </w:rPr>
        <w:t xml:space="preserve">d that the Student Experience Committee </w:t>
      </w:r>
      <w:r w:rsidR="006F0F29">
        <w:rPr>
          <w:rFonts w:asciiTheme="minorBidi" w:hAnsiTheme="minorBidi" w:cstheme="minorBidi"/>
          <w:sz w:val="22"/>
          <w:szCs w:val="22"/>
        </w:rPr>
        <w:t xml:space="preserve">had taken place recently </w:t>
      </w:r>
      <w:r w:rsidR="005467A9">
        <w:rPr>
          <w:rFonts w:asciiTheme="minorBidi" w:hAnsiTheme="minorBidi" w:cstheme="minorBidi"/>
          <w:sz w:val="22"/>
          <w:szCs w:val="22"/>
        </w:rPr>
        <w:t xml:space="preserve">and a </w:t>
      </w:r>
      <w:r w:rsidR="006F0F29">
        <w:rPr>
          <w:rFonts w:asciiTheme="minorBidi" w:hAnsiTheme="minorBidi" w:cstheme="minorBidi"/>
          <w:sz w:val="22"/>
          <w:szCs w:val="22"/>
        </w:rPr>
        <w:t xml:space="preserve">full </w:t>
      </w:r>
      <w:r w:rsidR="005467A9">
        <w:rPr>
          <w:rFonts w:asciiTheme="minorBidi" w:hAnsiTheme="minorBidi" w:cstheme="minorBidi"/>
          <w:sz w:val="22"/>
          <w:szCs w:val="22"/>
        </w:rPr>
        <w:t>report would be provided at the next Court meeting</w:t>
      </w:r>
      <w:r w:rsidR="00A07806">
        <w:rPr>
          <w:rFonts w:asciiTheme="minorBidi" w:hAnsiTheme="minorBidi" w:cstheme="minorBidi"/>
          <w:sz w:val="22"/>
          <w:szCs w:val="22"/>
        </w:rPr>
        <w:t>.</w:t>
      </w:r>
    </w:p>
    <w:p w14:paraId="4DC60B57" w14:textId="77777777" w:rsidR="008D76D1" w:rsidRDefault="00D76731" w:rsidP="008D76D1">
      <w:pPr>
        <w:tabs>
          <w:tab w:val="left" w:pos="0"/>
        </w:tabs>
        <w:autoSpaceDE/>
        <w:autoSpaceDN/>
        <w:spacing w:before="120" w:after="120"/>
        <w:jc w:val="both"/>
        <w:rPr>
          <w:rFonts w:asciiTheme="minorBidi" w:hAnsiTheme="minorBidi" w:cstheme="minorBidi"/>
          <w:sz w:val="22"/>
          <w:szCs w:val="22"/>
        </w:rPr>
      </w:pPr>
      <w:r w:rsidRPr="00D76731">
        <w:rPr>
          <w:rFonts w:ascii="Arial" w:eastAsiaTheme="minorEastAsia" w:hAnsi="Arial" w:cs="Arial"/>
          <w:b/>
          <w:bCs/>
          <w:sz w:val="22"/>
          <w:szCs w:val="22"/>
        </w:rPr>
        <w:t xml:space="preserve">CRT/2025/25. </w:t>
      </w:r>
      <w:r w:rsidRPr="00D76731">
        <w:rPr>
          <w:rFonts w:ascii="Arial" w:hAnsi="Arial" w:cs="Arial"/>
          <w:b/>
          <w:bCs/>
          <w:sz w:val="22"/>
          <w:szCs w:val="22"/>
        </w:rPr>
        <w:t>Maximising Academic Performance</w:t>
      </w:r>
    </w:p>
    <w:p w14:paraId="1EBE0D7F" w14:textId="2D19B1C8" w:rsidR="00BF5794" w:rsidRDefault="00BD5F53" w:rsidP="008D76D1">
      <w:pPr>
        <w:tabs>
          <w:tab w:val="left" w:pos="0"/>
        </w:tabs>
        <w:autoSpaceDE/>
        <w:autoSpaceDN/>
        <w:spacing w:before="120" w:after="120"/>
        <w:jc w:val="both"/>
        <w:rPr>
          <w:rFonts w:asciiTheme="minorBidi" w:hAnsiTheme="minorBidi" w:cstheme="minorBidi"/>
          <w:sz w:val="22"/>
          <w:szCs w:val="22"/>
        </w:rPr>
      </w:pPr>
      <w:r>
        <w:rPr>
          <w:rFonts w:asciiTheme="minorBidi" w:hAnsiTheme="minorBidi" w:cstheme="minorBidi"/>
          <w:sz w:val="22"/>
          <w:szCs w:val="22"/>
        </w:rPr>
        <w:t>The Convener of Court reported that an item had been raised as AOB in line with the standing orders and would be brought forward on the agenda to ensure that there was sufficient time for full discussion.</w:t>
      </w:r>
    </w:p>
    <w:bookmarkEnd w:id="2"/>
    <w:bookmarkEnd w:id="3"/>
    <w:p w14:paraId="1D97B4C7" w14:textId="5B8362AA" w:rsidR="002F7462" w:rsidRDefault="002F7462" w:rsidP="002F7462">
      <w:pPr>
        <w:spacing w:after="120"/>
        <w:ind w:right="-79"/>
        <w:rPr>
          <w:rFonts w:ascii="Arial" w:hAnsi="Arial" w:cs="Arial"/>
          <w:sz w:val="22"/>
          <w:szCs w:val="22"/>
        </w:rPr>
      </w:pPr>
      <w:r w:rsidRPr="002F7462">
        <w:rPr>
          <w:rFonts w:ascii="Arial" w:hAnsi="Arial" w:cs="Arial"/>
          <w:sz w:val="22"/>
          <w:szCs w:val="22"/>
        </w:rPr>
        <w:t xml:space="preserve">Court discussed the University’s ongoing </w:t>
      </w:r>
      <w:r w:rsidR="00263A86">
        <w:rPr>
          <w:rFonts w:ascii="Arial" w:hAnsi="Arial" w:cs="Arial"/>
          <w:sz w:val="22"/>
          <w:szCs w:val="22"/>
        </w:rPr>
        <w:t>mechanisms for m</w:t>
      </w:r>
      <w:r w:rsidRPr="002F7462">
        <w:rPr>
          <w:rFonts w:ascii="Arial" w:hAnsi="Arial" w:cs="Arial"/>
          <w:sz w:val="22"/>
          <w:szCs w:val="22"/>
        </w:rPr>
        <w:t xml:space="preserve">aximising </w:t>
      </w:r>
      <w:r w:rsidR="00263A86">
        <w:rPr>
          <w:rFonts w:ascii="Arial" w:hAnsi="Arial" w:cs="Arial"/>
          <w:sz w:val="22"/>
          <w:szCs w:val="22"/>
        </w:rPr>
        <w:t>a</w:t>
      </w:r>
      <w:r w:rsidRPr="002F7462">
        <w:rPr>
          <w:rFonts w:ascii="Arial" w:hAnsi="Arial" w:cs="Arial"/>
          <w:sz w:val="22"/>
          <w:szCs w:val="22"/>
        </w:rPr>
        <w:t xml:space="preserve">cademic </w:t>
      </w:r>
      <w:r w:rsidR="00263A86">
        <w:rPr>
          <w:rFonts w:ascii="Arial" w:hAnsi="Arial" w:cs="Arial"/>
          <w:sz w:val="22"/>
          <w:szCs w:val="22"/>
        </w:rPr>
        <w:t>p</w:t>
      </w:r>
      <w:r w:rsidRPr="002F7462">
        <w:rPr>
          <w:rFonts w:ascii="Arial" w:hAnsi="Arial" w:cs="Arial"/>
          <w:sz w:val="22"/>
          <w:szCs w:val="22"/>
        </w:rPr>
        <w:t>erformance, which ha</w:t>
      </w:r>
      <w:r>
        <w:rPr>
          <w:rFonts w:ascii="Arial" w:hAnsi="Arial" w:cs="Arial"/>
          <w:sz w:val="22"/>
          <w:szCs w:val="22"/>
        </w:rPr>
        <w:t>d</w:t>
      </w:r>
      <w:r w:rsidRPr="002F7462">
        <w:rPr>
          <w:rFonts w:ascii="Arial" w:hAnsi="Arial" w:cs="Arial"/>
          <w:sz w:val="22"/>
          <w:szCs w:val="22"/>
        </w:rPr>
        <w:t xml:space="preserve"> been in place for over 15 years and comprise</w:t>
      </w:r>
      <w:r w:rsidR="00263A86">
        <w:rPr>
          <w:rFonts w:ascii="Arial" w:hAnsi="Arial" w:cs="Arial"/>
          <w:sz w:val="22"/>
          <w:szCs w:val="22"/>
        </w:rPr>
        <w:t>d</w:t>
      </w:r>
      <w:r w:rsidRPr="002F7462">
        <w:rPr>
          <w:rFonts w:ascii="Arial" w:hAnsi="Arial" w:cs="Arial"/>
          <w:sz w:val="22"/>
          <w:szCs w:val="22"/>
        </w:rPr>
        <w:t xml:space="preserve"> </w:t>
      </w:r>
      <w:proofErr w:type="gramStart"/>
      <w:r w:rsidR="00263A86">
        <w:rPr>
          <w:rFonts w:ascii="Arial" w:hAnsi="Arial" w:cs="Arial"/>
          <w:sz w:val="22"/>
          <w:szCs w:val="22"/>
        </w:rPr>
        <w:t>a number of</w:t>
      </w:r>
      <w:proofErr w:type="gramEnd"/>
      <w:r w:rsidR="00263A86">
        <w:rPr>
          <w:rFonts w:ascii="Arial" w:hAnsi="Arial" w:cs="Arial"/>
          <w:sz w:val="22"/>
          <w:szCs w:val="22"/>
        </w:rPr>
        <w:t xml:space="preserve"> </w:t>
      </w:r>
      <w:r w:rsidRPr="002F7462">
        <w:rPr>
          <w:rFonts w:ascii="Arial" w:hAnsi="Arial" w:cs="Arial"/>
          <w:sz w:val="22"/>
          <w:szCs w:val="22"/>
        </w:rPr>
        <w:t>key elements</w:t>
      </w:r>
      <w:r w:rsidR="00943046">
        <w:rPr>
          <w:rFonts w:ascii="Arial" w:hAnsi="Arial" w:cs="Arial"/>
          <w:sz w:val="22"/>
          <w:szCs w:val="22"/>
        </w:rPr>
        <w:t xml:space="preserve"> such as</w:t>
      </w:r>
      <w:r w:rsidRPr="002F7462">
        <w:rPr>
          <w:rFonts w:ascii="Arial" w:hAnsi="Arial" w:cs="Arial"/>
          <w:sz w:val="22"/>
          <w:szCs w:val="22"/>
        </w:rPr>
        <w:t xml:space="preserve">: Academic Promotion, Professorial Zoning, </w:t>
      </w:r>
      <w:r w:rsidR="00943046">
        <w:rPr>
          <w:rFonts w:ascii="Arial" w:hAnsi="Arial" w:cs="Arial"/>
          <w:sz w:val="22"/>
          <w:szCs w:val="22"/>
        </w:rPr>
        <w:t xml:space="preserve">and </w:t>
      </w:r>
      <w:r w:rsidRPr="002F7462">
        <w:rPr>
          <w:rFonts w:ascii="Arial" w:hAnsi="Arial" w:cs="Arial"/>
          <w:sz w:val="22"/>
          <w:szCs w:val="22"/>
        </w:rPr>
        <w:t>Performance and Development Review (P&amp;DR).</w:t>
      </w:r>
    </w:p>
    <w:p w14:paraId="7EA7DB71" w14:textId="6CF0A509" w:rsidR="00BF5794" w:rsidRPr="002F7462" w:rsidRDefault="00BF5794" w:rsidP="00BF5794">
      <w:pPr>
        <w:spacing w:after="120"/>
        <w:ind w:right="-79"/>
        <w:rPr>
          <w:rFonts w:ascii="Arial" w:hAnsi="Arial" w:cs="Arial"/>
          <w:sz w:val="22"/>
          <w:szCs w:val="22"/>
        </w:rPr>
      </w:pPr>
      <w:r>
        <w:rPr>
          <w:rFonts w:ascii="Arial" w:hAnsi="Arial" w:cs="Arial"/>
          <w:sz w:val="22"/>
          <w:szCs w:val="22"/>
        </w:rPr>
        <w:t>Some staff</w:t>
      </w:r>
      <w:r w:rsidRPr="002F7462">
        <w:rPr>
          <w:rFonts w:ascii="Arial" w:hAnsi="Arial" w:cs="Arial"/>
          <w:sz w:val="22"/>
          <w:szCs w:val="22"/>
        </w:rPr>
        <w:t xml:space="preserve"> members</w:t>
      </w:r>
      <w:r>
        <w:rPr>
          <w:rFonts w:ascii="Arial" w:hAnsi="Arial" w:cs="Arial"/>
          <w:sz w:val="22"/>
          <w:szCs w:val="22"/>
        </w:rPr>
        <w:t xml:space="preserve"> raised </w:t>
      </w:r>
      <w:r w:rsidRPr="002F7462">
        <w:rPr>
          <w:rFonts w:ascii="Arial" w:hAnsi="Arial" w:cs="Arial"/>
          <w:sz w:val="22"/>
          <w:szCs w:val="22"/>
        </w:rPr>
        <w:t>concerns</w:t>
      </w:r>
      <w:r>
        <w:rPr>
          <w:rFonts w:ascii="Arial" w:hAnsi="Arial" w:cs="Arial"/>
          <w:sz w:val="22"/>
          <w:szCs w:val="22"/>
        </w:rPr>
        <w:t xml:space="preserve"> </w:t>
      </w:r>
      <w:r w:rsidRPr="002F7462">
        <w:rPr>
          <w:rFonts w:ascii="Arial" w:hAnsi="Arial" w:cs="Arial"/>
          <w:sz w:val="22"/>
          <w:szCs w:val="22"/>
        </w:rPr>
        <w:t xml:space="preserve">about the mandatory nature </w:t>
      </w:r>
      <w:r w:rsidR="00CF1EB7">
        <w:rPr>
          <w:rFonts w:ascii="Arial" w:hAnsi="Arial" w:cs="Arial"/>
          <w:sz w:val="22"/>
          <w:szCs w:val="22"/>
        </w:rPr>
        <w:t xml:space="preserve">of the exercise and queried whether the University had adhered to the requirements of the recognition agreement with the trades unions in relation to the </w:t>
      </w:r>
      <w:r w:rsidRPr="002F7462">
        <w:rPr>
          <w:rFonts w:ascii="Arial" w:hAnsi="Arial" w:cs="Arial"/>
          <w:sz w:val="22"/>
          <w:szCs w:val="22"/>
        </w:rPr>
        <w:t xml:space="preserve">implementation of the professorial </w:t>
      </w:r>
      <w:r w:rsidR="00BF1EF4">
        <w:rPr>
          <w:rFonts w:ascii="Arial" w:hAnsi="Arial" w:cs="Arial"/>
          <w:sz w:val="22"/>
          <w:szCs w:val="22"/>
        </w:rPr>
        <w:t>re</w:t>
      </w:r>
      <w:r w:rsidRPr="002F7462">
        <w:rPr>
          <w:rFonts w:ascii="Arial" w:hAnsi="Arial" w:cs="Arial"/>
          <w:sz w:val="22"/>
          <w:szCs w:val="22"/>
        </w:rPr>
        <w:t>zoning review</w:t>
      </w:r>
      <w:r>
        <w:rPr>
          <w:rFonts w:ascii="Arial" w:hAnsi="Arial" w:cs="Arial"/>
          <w:sz w:val="22"/>
          <w:szCs w:val="22"/>
        </w:rPr>
        <w:t xml:space="preserve"> which had recently commenced</w:t>
      </w:r>
      <w:r w:rsidR="00BF1EF4">
        <w:rPr>
          <w:rFonts w:ascii="Arial" w:hAnsi="Arial" w:cs="Arial"/>
          <w:sz w:val="22"/>
          <w:szCs w:val="22"/>
        </w:rPr>
        <w:t xml:space="preserve"> for those staff who had not been reviewed over the past 6 years</w:t>
      </w:r>
      <w:r w:rsidRPr="002F7462">
        <w:rPr>
          <w:rFonts w:ascii="Arial" w:hAnsi="Arial" w:cs="Arial"/>
          <w:sz w:val="22"/>
          <w:szCs w:val="22"/>
        </w:rPr>
        <w:t xml:space="preserve">. Issues </w:t>
      </w:r>
      <w:r w:rsidR="00A85784">
        <w:rPr>
          <w:rFonts w:ascii="Arial" w:hAnsi="Arial" w:cs="Arial"/>
          <w:sz w:val="22"/>
          <w:szCs w:val="22"/>
        </w:rPr>
        <w:t>raised</w:t>
      </w:r>
      <w:r w:rsidRPr="002F7462">
        <w:rPr>
          <w:rFonts w:ascii="Arial" w:hAnsi="Arial" w:cs="Arial"/>
          <w:sz w:val="22"/>
          <w:szCs w:val="22"/>
        </w:rPr>
        <w:t xml:space="preserve"> included:</w:t>
      </w:r>
    </w:p>
    <w:p w14:paraId="089A817B" w14:textId="66F84899" w:rsidR="00BF5794" w:rsidRPr="002F7462" w:rsidRDefault="00BF5794" w:rsidP="00BF5794">
      <w:pPr>
        <w:numPr>
          <w:ilvl w:val="0"/>
          <w:numId w:val="4"/>
        </w:numPr>
        <w:spacing w:after="120"/>
        <w:ind w:right="-79"/>
        <w:rPr>
          <w:rFonts w:ascii="Arial" w:hAnsi="Arial" w:cs="Arial"/>
          <w:sz w:val="22"/>
          <w:szCs w:val="22"/>
        </w:rPr>
      </w:pPr>
      <w:r w:rsidRPr="002F7462">
        <w:rPr>
          <w:rFonts w:ascii="Arial" w:hAnsi="Arial" w:cs="Arial"/>
          <w:sz w:val="22"/>
          <w:szCs w:val="22"/>
        </w:rPr>
        <w:t>Staff were invited to meetings without</w:t>
      </w:r>
      <w:r w:rsidR="00FA4617">
        <w:rPr>
          <w:rFonts w:ascii="Arial" w:hAnsi="Arial" w:cs="Arial"/>
          <w:sz w:val="22"/>
          <w:szCs w:val="22"/>
        </w:rPr>
        <w:t xml:space="preserve"> any written information about what was happening</w:t>
      </w:r>
      <w:r w:rsidRPr="002F7462">
        <w:rPr>
          <w:rFonts w:ascii="Arial" w:hAnsi="Arial" w:cs="Arial"/>
          <w:sz w:val="22"/>
          <w:szCs w:val="22"/>
        </w:rPr>
        <w:t xml:space="preserve">, leading to confusion and anxiety. </w:t>
      </w:r>
      <w:r w:rsidR="00B3393D">
        <w:rPr>
          <w:rFonts w:ascii="Arial" w:hAnsi="Arial" w:cs="Arial"/>
          <w:sz w:val="22"/>
          <w:szCs w:val="22"/>
        </w:rPr>
        <w:t>Several staff m</w:t>
      </w:r>
      <w:r w:rsidR="00FA4617">
        <w:rPr>
          <w:rFonts w:ascii="Arial" w:hAnsi="Arial" w:cs="Arial"/>
          <w:sz w:val="22"/>
          <w:szCs w:val="22"/>
        </w:rPr>
        <w:t>embers raised a concern that Court had not been informed about how the zone reprofiling and review would be taken forward.</w:t>
      </w:r>
    </w:p>
    <w:p w14:paraId="2A65EFE0" w14:textId="251B3036" w:rsidR="00BF5794" w:rsidRPr="002F7462" w:rsidRDefault="00BF5794" w:rsidP="00BF5794">
      <w:pPr>
        <w:numPr>
          <w:ilvl w:val="0"/>
          <w:numId w:val="4"/>
        </w:numPr>
        <w:spacing w:after="120"/>
        <w:ind w:right="-79"/>
        <w:rPr>
          <w:rFonts w:ascii="Arial" w:hAnsi="Arial" w:cs="Arial"/>
          <w:sz w:val="22"/>
          <w:szCs w:val="22"/>
        </w:rPr>
      </w:pPr>
      <w:r>
        <w:rPr>
          <w:rFonts w:ascii="Arial" w:hAnsi="Arial" w:cs="Arial"/>
          <w:sz w:val="22"/>
          <w:szCs w:val="22"/>
        </w:rPr>
        <w:t>T</w:t>
      </w:r>
      <w:r w:rsidRPr="002F7462">
        <w:rPr>
          <w:rFonts w:ascii="Arial" w:hAnsi="Arial" w:cs="Arial"/>
          <w:sz w:val="22"/>
          <w:szCs w:val="22"/>
        </w:rPr>
        <w:t>he current process require</w:t>
      </w:r>
      <w:r>
        <w:rPr>
          <w:rFonts w:ascii="Arial" w:hAnsi="Arial" w:cs="Arial"/>
          <w:sz w:val="22"/>
          <w:szCs w:val="22"/>
        </w:rPr>
        <w:t>d</w:t>
      </w:r>
      <w:r w:rsidRPr="002F7462">
        <w:rPr>
          <w:rFonts w:ascii="Arial" w:hAnsi="Arial" w:cs="Arial"/>
          <w:sz w:val="22"/>
          <w:szCs w:val="22"/>
        </w:rPr>
        <w:t xml:space="preserve"> substantial preparation, </w:t>
      </w:r>
      <w:proofErr w:type="gramStart"/>
      <w:r w:rsidRPr="002F7462">
        <w:rPr>
          <w:rFonts w:ascii="Arial" w:hAnsi="Arial" w:cs="Arial"/>
          <w:sz w:val="22"/>
          <w:szCs w:val="22"/>
        </w:rPr>
        <w:t>similar to</w:t>
      </w:r>
      <w:proofErr w:type="gramEnd"/>
      <w:r w:rsidRPr="002F7462">
        <w:rPr>
          <w:rFonts w:ascii="Arial" w:hAnsi="Arial" w:cs="Arial"/>
          <w:sz w:val="22"/>
          <w:szCs w:val="22"/>
        </w:rPr>
        <w:t xml:space="preserve"> a promotion application, and could disrupt research and teaching plans. Concerns were raised that </w:t>
      </w:r>
      <w:r w:rsidRPr="002F7462">
        <w:rPr>
          <w:rFonts w:ascii="Arial" w:hAnsi="Arial" w:cs="Arial"/>
          <w:sz w:val="22"/>
          <w:szCs w:val="22"/>
        </w:rPr>
        <w:lastRenderedPageBreak/>
        <w:t xml:space="preserve">staff </w:t>
      </w:r>
      <w:r>
        <w:rPr>
          <w:rFonts w:ascii="Arial" w:hAnsi="Arial" w:cs="Arial"/>
          <w:sz w:val="22"/>
          <w:szCs w:val="22"/>
        </w:rPr>
        <w:t xml:space="preserve">had been </w:t>
      </w:r>
      <w:r w:rsidRPr="002F7462">
        <w:rPr>
          <w:rFonts w:ascii="Arial" w:hAnsi="Arial" w:cs="Arial"/>
          <w:sz w:val="22"/>
          <w:szCs w:val="22"/>
        </w:rPr>
        <w:t>given short</w:t>
      </w:r>
      <w:r>
        <w:rPr>
          <w:rFonts w:ascii="Arial" w:hAnsi="Arial" w:cs="Arial"/>
          <w:sz w:val="22"/>
          <w:szCs w:val="22"/>
        </w:rPr>
        <w:t>er</w:t>
      </w:r>
      <w:r w:rsidRPr="002F7462">
        <w:rPr>
          <w:rFonts w:ascii="Arial" w:hAnsi="Arial" w:cs="Arial"/>
          <w:sz w:val="22"/>
          <w:szCs w:val="22"/>
        </w:rPr>
        <w:t xml:space="preserve"> notice compared to those who previously applied voluntarily</w:t>
      </w:r>
      <w:r>
        <w:rPr>
          <w:rFonts w:ascii="Arial" w:hAnsi="Arial" w:cs="Arial"/>
          <w:sz w:val="22"/>
          <w:szCs w:val="22"/>
        </w:rPr>
        <w:t xml:space="preserve"> and c</w:t>
      </w:r>
      <w:r w:rsidRPr="002F7462">
        <w:rPr>
          <w:rFonts w:ascii="Arial" w:hAnsi="Arial" w:cs="Arial"/>
          <w:sz w:val="22"/>
          <w:szCs w:val="22"/>
        </w:rPr>
        <w:t>ould be disadvantaged.</w:t>
      </w:r>
    </w:p>
    <w:p w14:paraId="23B033F3" w14:textId="1F154F2D" w:rsidR="00BF5794" w:rsidRPr="002F7462" w:rsidRDefault="00BF5794" w:rsidP="00BF5794">
      <w:pPr>
        <w:numPr>
          <w:ilvl w:val="0"/>
          <w:numId w:val="4"/>
        </w:numPr>
        <w:spacing w:after="120"/>
        <w:ind w:right="-79"/>
        <w:rPr>
          <w:rFonts w:ascii="Arial" w:hAnsi="Arial" w:cs="Arial"/>
          <w:sz w:val="22"/>
          <w:szCs w:val="22"/>
        </w:rPr>
      </w:pPr>
      <w:r>
        <w:rPr>
          <w:rFonts w:ascii="Arial" w:hAnsi="Arial" w:cs="Arial"/>
          <w:sz w:val="22"/>
          <w:szCs w:val="22"/>
        </w:rPr>
        <w:t>The</w:t>
      </w:r>
      <w:r w:rsidRPr="002F7462">
        <w:rPr>
          <w:rFonts w:ascii="Arial" w:hAnsi="Arial" w:cs="Arial"/>
          <w:sz w:val="22"/>
          <w:szCs w:val="22"/>
        </w:rPr>
        <w:t xml:space="preserve"> </w:t>
      </w:r>
      <w:r>
        <w:rPr>
          <w:rFonts w:ascii="Arial" w:hAnsi="Arial" w:cs="Arial"/>
          <w:sz w:val="22"/>
          <w:szCs w:val="22"/>
        </w:rPr>
        <w:t xml:space="preserve">apparently </w:t>
      </w:r>
      <w:r w:rsidRPr="002F7462">
        <w:rPr>
          <w:rFonts w:ascii="Arial" w:hAnsi="Arial" w:cs="Arial"/>
          <w:sz w:val="22"/>
          <w:szCs w:val="22"/>
        </w:rPr>
        <w:t>disproportionate representation of women in STEM on the review list, raising reputational risks and potential equality implications.</w:t>
      </w:r>
    </w:p>
    <w:p w14:paraId="39C5C75F" w14:textId="0F8B36BC" w:rsidR="00BF5794" w:rsidRPr="002F7462" w:rsidRDefault="00BF5794" w:rsidP="00BF5794">
      <w:pPr>
        <w:numPr>
          <w:ilvl w:val="0"/>
          <w:numId w:val="4"/>
        </w:numPr>
        <w:spacing w:after="120"/>
        <w:ind w:right="-79"/>
        <w:rPr>
          <w:rFonts w:ascii="Arial" w:hAnsi="Arial" w:cs="Arial"/>
          <w:sz w:val="22"/>
          <w:szCs w:val="22"/>
        </w:rPr>
      </w:pPr>
      <w:r>
        <w:rPr>
          <w:rFonts w:ascii="Arial" w:hAnsi="Arial" w:cs="Arial"/>
          <w:sz w:val="22"/>
          <w:szCs w:val="22"/>
        </w:rPr>
        <w:t>T</w:t>
      </w:r>
      <w:r w:rsidRPr="002F7462">
        <w:rPr>
          <w:rFonts w:ascii="Arial" w:hAnsi="Arial" w:cs="Arial"/>
          <w:sz w:val="22"/>
          <w:szCs w:val="22"/>
        </w:rPr>
        <w:t>he process could deter international</w:t>
      </w:r>
      <w:r>
        <w:rPr>
          <w:rFonts w:ascii="Arial" w:hAnsi="Arial" w:cs="Arial"/>
          <w:sz w:val="22"/>
          <w:szCs w:val="22"/>
        </w:rPr>
        <w:t xml:space="preserve"> applications</w:t>
      </w:r>
      <w:r w:rsidRPr="002F7462">
        <w:rPr>
          <w:rFonts w:ascii="Arial" w:hAnsi="Arial" w:cs="Arial"/>
          <w:sz w:val="22"/>
          <w:szCs w:val="22"/>
        </w:rPr>
        <w:t xml:space="preserve">, especially from North America, where mandatory regrading </w:t>
      </w:r>
      <w:r>
        <w:rPr>
          <w:rFonts w:ascii="Arial" w:hAnsi="Arial" w:cs="Arial"/>
          <w:sz w:val="22"/>
          <w:szCs w:val="22"/>
        </w:rPr>
        <w:t>was</w:t>
      </w:r>
      <w:r w:rsidRPr="002F7462">
        <w:rPr>
          <w:rFonts w:ascii="Arial" w:hAnsi="Arial" w:cs="Arial"/>
          <w:sz w:val="22"/>
          <w:szCs w:val="22"/>
        </w:rPr>
        <w:t xml:space="preserve"> uncommon.</w:t>
      </w:r>
    </w:p>
    <w:p w14:paraId="1CCAAF3E" w14:textId="3B3E23FD" w:rsidR="00BF5794" w:rsidRPr="009B37B5" w:rsidRDefault="00B3393D" w:rsidP="002F7462">
      <w:pPr>
        <w:numPr>
          <w:ilvl w:val="0"/>
          <w:numId w:val="4"/>
        </w:numPr>
        <w:spacing w:after="120"/>
        <w:ind w:right="-79"/>
        <w:rPr>
          <w:rFonts w:ascii="Arial" w:hAnsi="Arial" w:cs="Arial"/>
          <w:sz w:val="22"/>
          <w:szCs w:val="22"/>
        </w:rPr>
      </w:pPr>
      <w:r>
        <w:rPr>
          <w:rFonts w:ascii="Arial" w:hAnsi="Arial" w:cs="Arial"/>
          <w:sz w:val="22"/>
          <w:szCs w:val="22"/>
        </w:rPr>
        <w:t xml:space="preserve">The </w:t>
      </w:r>
      <w:r w:rsidR="00BF5794">
        <w:rPr>
          <w:rFonts w:ascii="Arial" w:hAnsi="Arial" w:cs="Arial"/>
          <w:sz w:val="22"/>
          <w:szCs w:val="22"/>
        </w:rPr>
        <w:t xml:space="preserve">implementation </w:t>
      </w:r>
      <w:r>
        <w:rPr>
          <w:rFonts w:ascii="Arial" w:hAnsi="Arial" w:cs="Arial"/>
          <w:sz w:val="22"/>
          <w:szCs w:val="22"/>
        </w:rPr>
        <w:t xml:space="preserve">was being undertaken </w:t>
      </w:r>
      <w:r w:rsidR="00BF5794">
        <w:rPr>
          <w:rFonts w:ascii="Arial" w:hAnsi="Arial" w:cs="Arial"/>
          <w:sz w:val="22"/>
          <w:szCs w:val="22"/>
        </w:rPr>
        <w:t>before any</w:t>
      </w:r>
      <w:r w:rsidR="00BF5794" w:rsidRPr="002F7462">
        <w:rPr>
          <w:rFonts w:ascii="Arial" w:hAnsi="Arial" w:cs="Arial"/>
          <w:sz w:val="22"/>
          <w:szCs w:val="22"/>
        </w:rPr>
        <w:t xml:space="preserve"> revisions to zoning criteria</w:t>
      </w:r>
      <w:r w:rsidR="00BF5794">
        <w:rPr>
          <w:rFonts w:ascii="Arial" w:hAnsi="Arial" w:cs="Arial"/>
          <w:sz w:val="22"/>
          <w:szCs w:val="22"/>
        </w:rPr>
        <w:t xml:space="preserve"> had been agreed</w:t>
      </w:r>
      <w:r w:rsidR="00BF5794" w:rsidRPr="002F7462">
        <w:rPr>
          <w:rFonts w:ascii="Arial" w:hAnsi="Arial" w:cs="Arial"/>
          <w:sz w:val="22"/>
          <w:szCs w:val="22"/>
        </w:rPr>
        <w:t>.</w:t>
      </w:r>
    </w:p>
    <w:p w14:paraId="3B52EE4A" w14:textId="48C75526" w:rsidR="00C75020" w:rsidRDefault="00C75020" w:rsidP="00C75020">
      <w:pPr>
        <w:spacing w:after="120"/>
        <w:ind w:right="-79"/>
        <w:rPr>
          <w:rFonts w:ascii="Arial" w:hAnsi="Arial" w:cs="Arial"/>
          <w:sz w:val="22"/>
          <w:szCs w:val="22"/>
        </w:rPr>
      </w:pPr>
      <w:r w:rsidRPr="00207522">
        <w:rPr>
          <w:rFonts w:ascii="Arial" w:hAnsi="Arial" w:cs="Arial"/>
          <w:sz w:val="22"/>
          <w:szCs w:val="22"/>
        </w:rPr>
        <w:t>Professor Frank Coton (</w:t>
      </w:r>
      <w:r w:rsidRPr="00207522">
        <w:rPr>
          <w:rFonts w:ascii="Arial" w:hAnsi="Arial" w:cs="Arial"/>
          <w:sz w:val="22"/>
          <w:szCs w:val="22"/>
          <w:lang w:eastAsia="zh-CN"/>
        </w:rPr>
        <w:t>Senior Vice Principal and Deputy Vice Chancellor (Academic)</w:t>
      </w:r>
      <w:r>
        <w:rPr>
          <w:rFonts w:ascii="Arial" w:hAnsi="Arial" w:cs="Arial"/>
          <w:sz w:val="22"/>
          <w:szCs w:val="22"/>
        </w:rPr>
        <w:t xml:space="preserve">) </w:t>
      </w:r>
      <w:r w:rsidRPr="002F7462">
        <w:rPr>
          <w:rFonts w:ascii="Arial" w:hAnsi="Arial" w:cs="Arial"/>
          <w:sz w:val="22"/>
          <w:szCs w:val="22"/>
        </w:rPr>
        <w:t xml:space="preserve">explained that the current focus </w:t>
      </w:r>
      <w:r>
        <w:rPr>
          <w:rFonts w:ascii="Arial" w:hAnsi="Arial" w:cs="Arial"/>
          <w:sz w:val="22"/>
          <w:szCs w:val="22"/>
        </w:rPr>
        <w:t>was</w:t>
      </w:r>
      <w:r w:rsidRPr="002F7462">
        <w:rPr>
          <w:rFonts w:ascii="Arial" w:hAnsi="Arial" w:cs="Arial"/>
          <w:sz w:val="22"/>
          <w:szCs w:val="22"/>
        </w:rPr>
        <w:t xml:space="preserve"> on recalibrating professorial zoning to ensure alignment with strategic objectives and pay equity. Approximately 20% of the professoriate</w:t>
      </w:r>
      <w:r>
        <w:rPr>
          <w:rFonts w:ascii="Arial" w:hAnsi="Arial" w:cs="Arial"/>
          <w:sz w:val="22"/>
          <w:szCs w:val="22"/>
        </w:rPr>
        <w:t xml:space="preserve"> </w:t>
      </w:r>
      <w:r w:rsidRPr="002F7462">
        <w:rPr>
          <w:rFonts w:ascii="Arial" w:hAnsi="Arial" w:cs="Arial"/>
          <w:sz w:val="22"/>
          <w:szCs w:val="22"/>
        </w:rPr>
        <w:t>h</w:t>
      </w:r>
      <w:r>
        <w:rPr>
          <w:rFonts w:ascii="Arial" w:hAnsi="Arial" w:cs="Arial"/>
          <w:sz w:val="22"/>
          <w:szCs w:val="22"/>
        </w:rPr>
        <w:t>ad</w:t>
      </w:r>
      <w:r w:rsidRPr="002F7462">
        <w:rPr>
          <w:rFonts w:ascii="Arial" w:hAnsi="Arial" w:cs="Arial"/>
          <w:sz w:val="22"/>
          <w:szCs w:val="22"/>
        </w:rPr>
        <w:t xml:space="preserve"> not </w:t>
      </w:r>
      <w:r w:rsidR="00E802D2">
        <w:rPr>
          <w:rFonts w:ascii="Arial" w:hAnsi="Arial" w:cs="Arial"/>
          <w:sz w:val="22"/>
          <w:szCs w:val="22"/>
        </w:rPr>
        <w:t xml:space="preserve">applied for rezoning </w:t>
      </w:r>
      <w:r w:rsidRPr="002F7462">
        <w:rPr>
          <w:rFonts w:ascii="Arial" w:hAnsi="Arial" w:cs="Arial"/>
          <w:sz w:val="22"/>
          <w:szCs w:val="22"/>
        </w:rPr>
        <w:t xml:space="preserve">in recent years </w:t>
      </w:r>
      <w:r>
        <w:rPr>
          <w:rFonts w:ascii="Arial" w:hAnsi="Arial" w:cs="Arial"/>
          <w:sz w:val="22"/>
          <w:szCs w:val="22"/>
        </w:rPr>
        <w:t>and would</w:t>
      </w:r>
      <w:r w:rsidRPr="002F7462">
        <w:rPr>
          <w:rFonts w:ascii="Arial" w:hAnsi="Arial" w:cs="Arial"/>
          <w:sz w:val="22"/>
          <w:szCs w:val="22"/>
        </w:rPr>
        <w:t xml:space="preserve"> be assessed </w:t>
      </w:r>
      <w:r w:rsidR="00E802D2">
        <w:rPr>
          <w:rFonts w:ascii="Arial" w:hAnsi="Arial" w:cs="Arial"/>
          <w:sz w:val="22"/>
          <w:szCs w:val="22"/>
        </w:rPr>
        <w:t xml:space="preserve">under a new procedure </w:t>
      </w:r>
      <w:r w:rsidRPr="002F7462">
        <w:rPr>
          <w:rFonts w:ascii="Arial" w:hAnsi="Arial" w:cs="Arial"/>
          <w:sz w:val="22"/>
          <w:szCs w:val="22"/>
        </w:rPr>
        <w:t>using the standard methodology applied across the institution</w:t>
      </w:r>
      <w:r>
        <w:rPr>
          <w:rFonts w:ascii="Arial" w:hAnsi="Arial" w:cs="Arial"/>
          <w:sz w:val="22"/>
          <w:szCs w:val="22"/>
        </w:rPr>
        <w:t xml:space="preserve"> as part of this review</w:t>
      </w:r>
      <w:r w:rsidRPr="002F7462">
        <w:rPr>
          <w:rFonts w:ascii="Arial" w:hAnsi="Arial" w:cs="Arial"/>
          <w:sz w:val="22"/>
          <w:szCs w:val="22"/>
        </w:rPr>
        <w:t xml:space="preserve">. The rationale </w:t>
      </w:r>
      <w:r>
        <w:rPr>
          <w:rFonts w:ascii="Arial" w:hAnsi="Arial" w:cs="Arial"/>
          <w:sz w:val="22"/>
          <w:szCs w:val="22"/>
        </w:rPr>
        <w:t xml:space="preserve">for the review </w:t>
      </w:r>
      <w:r w:rsidRPr="002F7462">
        <w:rPr>
          <w:rFonts w:ascii="Arial" w:hAnsi="Arial" w:cs="Arial"/>
          <w:sz w:val="22"/>
          <w:szCs w:val="22"/>
        </w:rPr>
        <w:t>include</w:t>
      </w:r>
      <w:r>
        <w:rPr>
          <w:rFonts w:ascii="Arial" w:hAnsi="Arial" w:cs="Arial"/>
          <w:sz w:val="22"/>
          <w:szCs w:val="22"/>
        </w:rPr>
        <w:t>d</w:t>
      </w:r>
      <w:r w:rsidRPr="002F7462">
        <w:rPr>
          <w:rFonts w:ascii="Arial" w:hAnsi="Arial" w:cs="Arial"/>
          <w:sz w:val="22"/>
          <w:szCs w:val="22"/>
        </w:rPr>
        <w:t xml:space="preserve"> addressing potential disparities in progression, particularly gender-related gaps, and ensuring fairness in remuneration. </w:t>
      </w:r>
      <w:r>
        <w:rPr>
          <w:rFonts w:ascii="Arial" w:hAnsi="Arial" w:cs="Arial"/>
          <w:sz w:val="22"/>
          <w:szCs w:val="22"/>
        </w:rPr>
        <w:t xml:space="preserve">Court noted that People and Organisational Development Committee had discussed the mechanism but had not </w:t>
      </w:r>
      <w:r w:rsidR="00AC3015">
        <w:rPr>
          <w:rFonts w:ascii="Arial" w:hAnsi="Arial" w:cs="Arial"/>
          <w:sz w:val="22"/>
          <w:szCs w:val="22"/>
        </w:rPr>
        <w:t>explored</w:t>
      </w:r>
      <w:r w:rsidR="00E802D2">
        <w:rPr>
          <w:rFonts w:ascii="Arial" w:hAnsi="Arial" w:cs="Arial"/>
          <w:sz w:val="22"/>
          <w:szCs w:val="22"/>
        </w:rPr>
        <w:t xml:space="preserve"> the detail of the proposed rezoning exercise.</w:t>
      </w:r>
    </w:p>
    <w:p w14:paraId="6B1F44AA" w14:textId="2DC71792" w:rsidR="00C75020" w:rsidRDefault="00C75020" w:rsidP="002F7462">
      <w:pPr>
        <w:spacing w:after="120"/>
        <w:ind w:right="-79"/>
        <w:rPr>
          <w:rFonts w:ascii="Arial" w:hAnsi="Arial" w:cs="Arial"/>
          <w:sz w:val="22"/>
          <w:szCs w:val="22"/>
        </w:rPr>
      </w:pPr>
      <w:r>
        <w:rPr>
          <w:rFonts w:ascii="Arial" w:hAnsi="Arial" w:cs="Arial"/>
          <w:sz w:val="22"/>
          <w:szCs w:val="22"/>
        </w:rPr>
        <w:t xml:space="preserve">It was reported that </w:t>
      </w:r>
      <w:r w:rsidRPr="002F7462">
        <w:rPr>
          <w:rFonts w:ascii="Arial" w:hAnsi="Arial" w:cs="Arial"/>
          <w:sz w:val="22"/>
          <w:szCs w:val="22"/>
        </w:rPr>
        <w:t>Heads of School</w:t>
      </w:r>
      <w:r>
        <w:rPr>
          <w:rFonts w:ascii="Arial" w:hAnsi="Arial" w:cs="Arial"/>
          <w:sz w:val="22"/>
          <w:szCs w:val="22"/>
        </w:rPr>
        <w:t xml:space="preserve">/Directors of Institutes </w:t>
      </w:r>
      <w:r w:rsidRPr="002F7462">
        <w:rPr>
          <w:rFonts w:ascii="Arial" w:hAnsi="Arial" w:cs="Arial"/>
          <w:sz w:val="22"/>
          <w:szCs w:val="22"/>
        </w:rPr>
        <w:t>w</w:t>
      </w:r>
      <w:r>
        <w:rPr>
          <w:rFonts w:ascii="Arial" w:hAnsi="Arial" w:cs="Arial"/>
          <w:sz w:val="22"/>
          <w:szCs w:val="22"/>
        </w:rPr>
        <w:t>ould</w:t>
      </w:r>
      <w:r w:rsidRPr="002F7462">
        <w:rPr>
          <w:rFonts w:ascii="Arial" w:hAnsi="Arial" w:cs="Arial"/>
          <w:sz w:val="22"/>
          <w:szCs w:val="22"/>
        </w:rPr>
        <w:t xml:space="preserve"> be exempt due to the impact of leadership responsibilities on research outputs, and other exemptions w</w:t>
      </w:r>
      <w:r>
        <w:rPr>
          <w:rFonts w:ascii="Arial" w:hAnsi="Arial" w:cs="Arial"/>
          <w:sz w:val="22"/>
          <w:szCs w:val="22"/>
        </w:rPr>
        <w:t>ould</w:t>
      </w:r>
      <w:r w:rsidRPr="002F7462">
        <w:rPr>
          <w:rFonts w:ascii="Arial" w:hAnsi="Arial" w:cs="Arial"/>
          <w:sz w:val="22"/>
          <w:szCs w:val="22"/>
        </w:rPr>
        <w:t xml:space="preserve"> apply where roles differ</w:t>
      </w:r>
      <w:r>
        <w:rPr>
          <w:rFonts w:ascii="Arial" w:hAnsi="Arial" w:cs="Arial"/>
          <w:sz w:val="22"/>
          <w:szCs w:val="22"/>
        </w:rPr>
        <w:t>ed</w:t>
      </w:r>
      <w:r w:rsidRPr="002F7462">
        <w:rPr>
          <w:rFonts w:ascii="Arial" w:hAnsi="Arial" w:cs="Arial"/>
          <w:sz w:val="22"/>
          <w:szCs w:val="22"/>
        </w:rPr>
        <w:t xml:space="preserve"> significantly from standard academic profiles. </w:t>
      </w:r>
      <w:r>
        <w:rPr>
          <w:rFonts w:ascii="Arial" w:hAnsi="Arial" w:cs="Arial"/>
          <w:sz w:val="22"/>
          <w:szCs w:val="22"/>
        </w:rPr>
        <w:t xml:space="preserve">Professor Coton also confirmed that </w:t>
      </w:r>
      <w:r w:rsidRPr="002F7462">
        <w:rPr>
          <w:rFonts w:ascii="Arial" w:hAnsi="Arial" w:cs="Arial"/>
          <w:sz w:val="22"/>
          <w:szCs w:val="22"/>
        </w:rPr>
        <w:t xml:space="preserve">performance </w:t>
      </w:r>
      <w:r>
        <w:rPr>
          <w:rFonts w:ascii="Arial" w:hAnsi="Arial" w:cs="Arial"/>
          <w:sz w:val="22"/>
          <w:szCs w:val="22"/>
        </w:rPr>
        <w:t xml:space="preserve">would be reviewed </w:t>
      </w:r>
      <w:r w:rsidRPr="002F7462">
        <w:rPr>
          <w:rFonts w:ascii="Arial" w:hAnsi="Arial" w:cs="Arial"/>
          <w:sz w:val="22"/>
          <w:szCs w:val="22"/>
        </w:rPr>
        <w:t xml:space="preserve">over a six-year window rather than a single year, mitigating concerns about short-term fluctuations. </w:t>
      </w:r>
      <w:r w:rsidR="00810946" w:rsidRPr="00810946">
        <w:rPr>
          <w:rFonts w:ascii="Arial" w:hAnsi="Arial" w:cs="Arial"/>
          <w:sz w:val="22"/>
          <w:szCs w:val="22"/>
        </w:rPr>
        <w:t xml:space="preserve">It was emphasised that the exercise was not intended as a demotion mechanism but as a calibration process, with potential outcomes ranging from confirmation of performance within, above or below current zone. For performance above current zone, an upward salary adjustment will be made.  Where performance was below current zone, a tailored development plan would be </w:t>
      </w:r>
      <w:proofErr w:type="gramStart"/>
      <w:r w:rsidR="00810946" w:rsidRPr="00810946">
        <w:rPr>
          <w:rFonts w:ascii="Arial" w:hAnsi="Arial" w:cs="Arial"/>
          <w:sz w:val="22"/>
          <w:szCs w:val="22"/>
        </w:rPr>
        <w:t>implemented</w:t>
      </w:r>
      <w:proofErr w:type="gramEnd"/>
      <w:r w:rsidR="00810946" w:rsidRPr="00810946">
        <w:rPr>
          <w:rFonts w:ascii="Arial" w:hAnsi="Arial" w:cs="Arial"/>
          <w:sz w:val="22"/>
          <w:szCs w:val="22"/>
        </w:rPr>
        <w:t xml:space="preserve"> and salary would be maintained for a period of up to two-years at which point progress towards the required level of performance would be reviewed.</w:t>
      </w:r>
    </w:p>
    <w:p w14:paraId="64AF0450" w14:textId="5AF0B354" w:rsidR="00AA20B4" w:rsidRDefault="00BF5794" w:rsidP="002F7462">
      <w:pPr>
        <w:spacing w:after="120"/>
        <w:ind w:right="-79"/>
        <w:rPr>
          <w:rFonts w:ascii="Arial" w:hAnsi="Arial" w:cs="Arial"/>
          <w:sz w:val="22"/>
          <w:szCs w:val="22"/>
        </w:rPr>
      </w:pPr>
      <w:r>
        <w:rPr>
          <w:rFonts w:ascii="Arial" w:hAnsi="Arial" w:cs="Arial"/>
          <w:sz w:val="22"/>
          <w:szCs w:val="22"/>
        </w:rPr>
        <w:t>It was also reported that grading review was a normal process in managing performance across many sectors and that although there was variety across the HE Sector for monitoring academic performance, it was not uncommon for universities to look at grading on a regular basis.</w:t>
      </w:r>
      <w:r w:rsidR="00FA4617">
        <w:rPr>
          <w:rFonts w:ascii="Arial" w:hAnsi="Arial" w:cs="Arial"/>
          <w:sz w:val="22"/>
          <w:szCs w:val="22"/>
        </w:rPr>
        <w:t xml:space="preserve"> </w:t>
      </w:r>
      <w:r w:rsidR="00AC3015">
        <w:rPr>
          <w:rFonts w:ascii="Arial" w:hAnsi="Arial" w:cs="Arial"/>
          <w:sz w:val="22"/>
          <w:szCs w:val="22"/>
        </w:rPr>
        <w:t xml:space="preserve">Christine Barr, </w:t>
      </w:r>
      <w:r w:rsidR="00FA4617">
        <w:rPr>
          <w:rFonts w:ascii="Arial" w:hAnsi="Arial" w:cs="Arial"/>
          <w:sz w:val="22"/>
          <w:szCs w:val="22"/>
        </w:rPr>
        <w:t>Executive Director of P&amp;OD stated that the issue was raised at one of the regular meetings between P&amp;OD staff and trade union representatives. Duncan Lowther querie</w:t>
      </w:r>
      <w:r w:rsidR="00AC3015">
        <w:rPr>
          <w:rFonts w:ascii="Arial" w:hAnsi="Arial" w:cs="Arial"/>
          <w:sz w:val="22"/>
          <w:szCs w:val="22"/>
        </w:rPr>
        <w:t>d</w:t>
      </w:r>
      <w:r w:rsidR="00FA4617">
        <w:rPr>
          <w:rFonts w:ascii="Arial" w:hAnsi="Arial" w:cs="Arial"/>
          <w:sz w:val="22"/>
          <w:szCs w:val="22"/>
        </w:rPr>
        <w:t xml:space="preserve"> whether this represented an appropriate level of discussion before the process was commenced. </w:t>
      </w:r>
    </w:p>
    <w:p w14:paraId="71244B1E" w14:textId="4348F176" w:rsidR="00C75020" w:rsidRPr="006A7350" w:rsidRDefault="00263A86" w:rsidP="006A7350">
      <w:pPr>
        <w:spacing w:after="120"/>
        <w:ind w:right="-79"/>
        <w:rPr>
          <w:rFonts w:ascii="Arial" w:hAnsi="Arial" w:cs="Arial"/>
          <w:sz w:val="22"/>
          <w:szCs w:val="22"/>
        </w:rPr>
      </w:pPr>
      <w:r>
        <w:rPr>
          <w:rFonts w:ascii="Arial" w:hAnsi="Arial" w:cs="Arial"/>
          <w:sz w:val="22"/>
          <w:szCs w:val="22"/>
        </w:rPr>
        <w:t xml:space="preserve">Court </w:t>
      </w:r>
      <w:r w:rsidR="00FE1693">
        <w:rPr>
          <w:rFonts w:ascii="Arial" w:hAnsi="Arial" w:cs="Arial"/>
          <w:sz w:val="22"/>
          <w:szCs w:val="22"/>
        </w:rPr>
        <w:t>was reminded</w:t>
      </w:r>
      <w:r>
        <w:rPr>
          <w:rFonts w:ascii="Arial" w:hAnsi="Arial" w:cs="Arial"/>
          <w:sz w:val="22"/>
          <w:szCs w:val="22"/>
        </w:rPr>
        <w:t xml:space="preserve"> </w:t>
      </w:r>
      <w:r w:rsidR="00BF5794">
        <w:rPr>
          <w:rFonts w:ascii="Arial" w:hAnsi="Arial" w:cs="Arial"/>
          <w:sz w:val="22"/>
          <w:szCs w:val="22"/>
        </w:rPr>
        <w:t>that in</w:t>
      </w:r>
      <w:r>
        <w:rPr>
          <w:rFonts w:ascii="Arial" w:hAnsi="Arial" w:cs="Arial"/>
          <w:sz w:val="22"/>
          <w:szCs w:val="22"/>
        </w:rPr>
        <w:t xml:space="preserve"> June 2025 </w:t>
      </w:r>
      <w:r w:rsidR="00C75020">
        <w:rPr>
          <w:rFonts w:ascii="Arial" w:hAnsi="Arial" w:cs="Arial"/>
          <w:sz w:val="22"/>
          <w:szCs w:val="22"/>
        </w:rPr>
        <w:t>as part of the approved budget under item</w:t>
      </w:r>
      <w:r>
        <w:rPr>
          <w:rFonts w:ascii="Arial" w:hAnsi="Arial" w:cs="Arial"/>
          <w:sz w:val="22"/>
          <w:szCs w:val="22"/>
        </w:rPr>
        <w:t xml:space="preserve"> </w:t>
      </w:r>
      <w:r w:rsidRPr="00C75020">
        <w:rPr>
          <w:rFonts w:ascii="Arial" w:eastAsiaTheme="minorEastAsia" w:hAnsi="Arial" w:cs="Arial"/>
          <w:i/>
          <w:iCs/>
          <w:sz w:val="22"/>
          <w:szCs w:val="22"/>
        </w:rPr>
        <w:t>CRT/2024/60</w:t>
      </w:r>
      <w:r w:rsidRPr="00C75020">
        <w:rPr>
          <w:rFonts w:asciiTheme="minorBidi" w:eastAsiaTheme="minorEastAsia" w:hAnsiTheme="minorBidi" w:cstheme="minorBidi"/>
          <w:i/>
          <w:iCs/>
          <w:sz w:val="22"/>
          <w:szCs w:val="22"/>
        </w:rPr>
        <w:t xml:space="preserve">. </w:t>
      </w:r>
      <w:r w:rsidRPr="00C75020">
        <w:rPr>
          <w:rFonts w:asciiTheme="minorBidi" w:hAnsiTheme="minorBidi" w:cstheme="minorBidi"/>
          <w:i/>
          <w:iCs/>
          <w:sz w:val="22"/>
          <w:szCs w:val="22"/>
        </w:rPr>
        <w:t>Budget 2025/26 and Financial Forecasts</w:t>
      </w:r>
      <w:r w:rsidR="00FE1693">
        <w:rPr>
          <w:rFonts w:asciiTheme="minorBidi" w:hAnsiTheme="minorBidi" w:cstheme="minorBidi"/>
          <w:sz w:val="22"/>
          <w:szCs w:val="22"/>
        </w:rPr>
        <w:t xml:space="preserve">, </w:t>
      </w:r>
      <w:r>
        <w:rPr>
          <w:rFonts w:asciiTheme="minorBidi" w:hAnsiTheme="minorBidi" w:cstheme="minorBidi"/>
          <w:sz w:val="22"/>
          <w:szCs w:val="22"/>
        </w:rPr>
        <w:t xml:space="preserve">three major strategic projects </w:t>
      </w:r>
      <w:r w:rsidR="00BF5794">
        <w:rPr>
          <w:rFonts w:asciiTheme="minorBidi" w:hAnsiTheme="minorBidi" w:cstheme="minorBidi"/>
          <w:sz w:val="22"/>
          <w:szCs w:val="22"/>
        </w:rPr>
        <w:t xml:space="preserve">had been noted as being </w:t>
      </w:r>
      <w:r w:rsidR="00FE1693">
        <w:rPr>
          <w:rFonts w:asciiTheme="minorBidi" w:hAnsiTheme="minorBidi" w:cstheme="minorBidi"/>
          <w:sz w:val="22"/>
          <w:szCs w:val="22"/>
        </w:rPr>
        <w:t>a key focus for SMG</w:t>
      </w:r>
      <w:r>
        <w:rPr>
          <w:rFonts w:asciiTheme="minorBidi" w:hAnsiTheme="minorBidi" w:cstheme="minorBidi"/>
          <w:sz w:val="22"/>
          <w:szCs w:val="22"/>
        </w:rPr>
        <w:t xml:space="preserve"> </w:t>
      </w:r>
      <w:r>
        <w:rPr>
          <w:rFonts w:asciiTheme="minorBidi" w:hAnsiTheme="minorBidi" w:cstheme="minorBidi"/>
          <w:sz w:val="22"/>
          <w:szCs w:val="22"/>
          <w:lang w:val="en-US"/>
        </w:rPr>
        <w:t>to ensure the University was operating efficientl</w:t>
      </w:r>
      <w:r w:rsidR="00FE1693">
        <w:rPr>
          <w:rFonts w:asciiTheme="minorBidi" w:hAnsiTheme="minorBidi" w:cstheme="minorBidi"/>
          <w:sz w:val="22"/>
          <w:szCs w:val="22"/>
          <w:lang w:val="en-US"/>
        </w:rPr>
        <w:t>y</w:t>
      </w:r>
      <w:r w:rsidR="00BF5794">
        <w:rPr>
          <w:rFonts w:asciiTheme="minorBidi" w:hAnsiTheme="minorBidi" w:cstheme="minorBidi"/>
          <w:sz w:val="22"/>
          <w:szCs w:val="22"/>
          <w:lang w:val="en-US"/>
        </w:rPr>
        <w:t xml:space="preserve"> </w:t>
      </w:r>
      <w:proofErr w:type="gramStart"/>
      <w:r w:rsidR="00BF5794">
        <w:rPr>
          <w:rFonts w:asciiTheme="minorBidi" w:hAnsiTheme="minorBidi" w:cstheme="minorBidi"/>
          <w:sz w:val="22"/>
          <w:szCs w:val="22"/>
          <w:lang w:val="en-US"/>
        </w:rPr>
        <w:t xml:space="preserve">- </w:t>
      </w:r>
      <w:r w:rsidR="00FE1693">
        <w:rPr>
          <w:rFonts w:asciiTheme="minorBidi" w:hAnsiTheme="minorBidi" w:cstheme="minorBidi"/>
          <w:sz w:val="22"/>
          <w:szCs w:val="22"/>
          <w:lang w:val="en-US"/>
        </w:rPr>
        <w:t xml:space="preserve"> </w:t>
      </w:r>
      <w:r w:rsidR="00E67F82">
        <w:rPr>
          <w:rFonts w:asciiTheme="minorBidi" w:hAnsiTheme="minorBidi" w:cstheme="minorBidi"/>
          <w:sz w:val="22"/>
          <w:szCs w:val="22"/>
          <w:lang w:val="en-US"/>
        </w:rPr>
        <w:t>the</w:t>
      </w:r>
      <w:proofErr w:type="gramEnd"/>
      <w:r w:rsidR="00E67F82">
        <w:rPr>
          <w:rFonts w:asciiTheme="minorBidi" w:hAnsiTheme="minorBidi" w:cstheme="minorBidi"/>
          <w:sz w:val="22"/>
          <w:szCs w:val="22"/>
          <w:lang w:val="en-US"/>
        </w:rPr>
        <w:t xml:space="preserve"> paper noted </w:t>
      </w:r>
      <w:proofErr w:type="spellStart"/>
      <w:r w:rsidR="0093685B">
        <w:rPr>
          <w:rFonts w:asciiTheme="minorBidi" w:hAnsiTheme="minorBidi" w:cstheme="minorBidi"/>
          <w:sz w:val="22"/>
          <w:szCs w:val="22"/>
          <w:lang w:val="en-US"/>
        </w:rPr>
        <w:t>m</w:t>
      </w:r>
      <w:r w:rsidRPr="008839EA">
        <w:rPr>
          <w:rFonts w:asciiTheme="minorBidi" w:hAnsiTheme="minorBidi" w:cstheme="minorBidi"/>
          <w:sz w:val="22"/>
          <w:szCs w:val="22"/>
          <w:lang w:val="en-US"/>
        </w:rPr>
        <w:t>aximising</w:t>
      </w:r>
      <w:proofErr w:type="spellEnd"/>
      <w:r w:rsidRPr="008839EA">
        <w:rPr>
          <w:rFonts w:asciiTheme="minorBidi" w:hAnsiTheme="minorBidi" w:cstheme="minorBidi"/>
          <w:sz w:val="22"/>
          <w:szCs w:val="22"/>
          <w:lang w:val="en-US"/>
        </w:rPr>
        <w:t xml:space="preserve"> </w:t>
      </w:r>
      <w:r w:rsidR="0093685B">
        <w:rPr>
          <w:rFonts w:asciiTheme="minorBidi" w:hAnsiTheme="minorBidi" w:cstheme="minorBidi"/>
          <w:sz w:val="22"/>
          <w:szCs w:val="22"/>
          <w:lang w:val="en-US"/>
        </w:rPr>
        <w:t>a</w:t>
      </w:r>
      <w:r w:rsidRPr="008839EA">
        <w:rPr>
          <w:rFonts w:asciiTheme="minorBidi" w:hAnsiTheme="minorBidi" w:cstheme="minorBidi"/>
          <w:sz w:val="22"/>
          <w:szCs w:val="22"/>
          <w:lang w:val="en-US"/>
        </w:rPr>
        <w:t xml:space="preserve">cademic </w:t>
      </w:r>
      <w:r w:rsidR="0093685B">
        <w:rPr>
          <w:rFonts w:asciiTheme="minorBidi" w:hAnsiTheme="minorBidi" w:cstheme="minorBidi"/>
          <w:sz w:val="22"/>
          <w:szCs w:val="22"/>
          <w:lang w:val="en-US"/>
        </w:rPr>
        <w:t>p</w:t>
      </w:r>
      <w:r w:rsidRPr="008839EA">
        <w:rPr>
          <w:rFonts w:asciiTheme="minorBidi" w:hAnsiTheme="minorBidi" w:cstheme="minorBidi"/>
          <w:sz w:val="22"/>
          <w:szCs w:val="22"/>
          <w:lang w:val="en-US"/>
        </w:rPr>
        <w:t>erformance</w:t>
      </w:r>
      <w:r>
        <w:rPr>
          <w:rFonts w:asciiTheme="minorBidi" w:hAnsiTheme="minorBidi" w:cstheme="minorBidi"/>
          <w:sz w:val="22"/>
          <w:szCs w:val="22"/>
          <w:lang w:val="en-US"/>
        </w:rPr>
        <w:t xml:space="preserve"> </w:t>
      </w:r>
      <w:r w:rsidR="00DB01FB">
        <w:rPr>
          <w:rFonts w:asciiTheme="minorBidi" w:hAnsiTheme="minorBidi" w:cstheme="minorBidi"/>
          <w:sz w:val="22"/>
          <w:szCs w:val="22"/>
          <w:lang w:val="en-US"/>
        </w:rPr>
        <w:t>as</w:t>
      </w:r>
      <w:r>
        <w:rPr>
          <w:rFonts w:asciiTheme="minorBidi" w:hAnsiTheme="minorBidi" w:cstheme="minorBidi"/>
          <w:sz w:val="22"/>
          <w:szCs w:val="22"/>
          <w:lang w:val="en-US"/>
        </w:rPr>
        <w:t xml:space="preserve"> </w:t>
      </w:r>
      <w:r w:rsidR="00FE1693">
        <w:rPr>
          <w:rFonts w:asciiTheme="minorBidi" w:hAnsiTheme="minorBidi" w:cstheme="minorBidi"/>
          <w:sz w:val="22"/>
          <w:szCs w:val="22"/>
          <w:lang w:val="en-US"/>
        </w:rPr>
        <w:t xml:space="preserve">one </w:t>
      </w:r>
      <w:r w:rsidR="00BF5794">
        <w:rPr>
          <w:rFonts w:asciiTheme="minorBidi" w:hAnsiTheme="minorBidi" w:cstheme="minorBidi"/>
          <w:sz w:val="22"/>
          <w:szCs w:val="22"/>
          <w:lang w:val="en-US"/>
        </w:rPr>
        <w:t xml:space="preserve">of the strategic projects </w:t>
      </w:r>
      <w:r w:rsidR="00E67F82">
        <w:rPr>
          <w:rFonts w:asciiTheme="minorBidi" w:hAnsiTheme="minorBidi" w:cstheme="minorBidi"/>
          <w:sz w:val="22"/>
          <w:szCs w:val="22"/>
          <w:lang w:val="en-US"/>
        </w:rPr>
        <w:t xml:space="preserve">and that it </w:t>
      </w:r>
      <w:r w:rsidR="00BF5794">
        <w:rPr>
          <w:rFonts w:asciiTheme="minorBidi" w:hAnsiTheme="minorBidi" w:cstheme="minorBidi"/>
          <w:sz w:val="22"/>
          <w:szCs w:val="22"/>
          <w:lang w:val="en-US"/>
        </w:rPr>
        <w:t>included a</w:t>
      </w:r>
      <w:r w:rsidR="00BF5794" w:rsidRPr="008839EA">
        <w:rPr>
          <w:rFonts w:asciiTheme="minorBidi" w:hAnsiTheme="minorBidi" w:cstheme="minorBidi"/>
          <w:sz w:val="22"/>
          <w:szCs w:val="22"/>
          <w:lang w:val="en-US"/>
        </w:rPr>
        <w:t xml:space="preserve"> review of promotions criteria, professorial zoning, and performance management</w:t>
      </w:r>
      <w:r>
        <w:rPr>
          <w:rFonts w:asciiTheme="minorBidi" w:hAnsiTheme="minorBidi" w:cstheme="minorBidi"/>
          <w:sz w:val="22"/>
          <w:szCs w:val="22"/>
          <w:lang w:val="en-US"/>
        </w:rPr>
        <w:t xml:space="preserve">. </w:t>
      </w:r>
      <w:r w:rsidR="00C75020">
        <w:rPr>
          <w:rFonts w:asciiTheme="minorBidi" w:hAnsiTheme="minorBidi" w:cstheme="minorBidi"/>
          <w:sz w:val="22"/>
          <w:szCs w:val="22"/>
          <w:lang w:val="en-US"/>
        </w:rPr>
        <w:t xml:space="preserve"> </w:t>
      </w:r>
    </w:p>
    <w:p w14:paraId="1EE3FC20" w14:textId="16D4091D" w:rsidR="002C0502" w:rsidRDefault="00F70D4A" w:rsidP="002C0502">
      <w:pPr>
        <w:jc w:val="both"/>
        <w:rPr>
          <w:rFonts w:ascii="Arial" w:hAnsi="Arial" w:cs="Arial"/>
          <w:sz w:val="22"/>
          <w:szCs w:val="22"/>
        </w:rPr>
      </w:pPr>
      <w:r>
        <w:rPr>
          <w:rFonts w:ascii="Arial" w:hAnsi="Arial" w:cs="Arial"/>
          <w:sz w:val="22"/>
          <w:szCs w:val="22"/>
        </w:rPr>
        <w:t xml:space="preserve">Following the discussion </w:t>
      </w:r>
      <w:r w:rsidRPr="002F7462">
        <w:rPr>
          <w:rFonts w:ascii="Arial" w:hAnsi="Arial" w:cs="Arial"/>
          <w:sz w:val="22"/>
          <w:szCs w:val="22"/>
        </w:rPr>
        <w:t xml:space="preserve">Court </w:t>
      </w:r>
      <w:r>
        <w:rPr>
          <w:rFonts w:ascii="Arial" w:hAnsi="Arial" w:cs="Arial"/>
          <w:sz w:val="22"/>
          <w:szCs w:val="22"/>
        </w:rPr>
        <w:t xml:space="preserve">asked </w:t>
      </w:r>
      <w:r w:rsidRPr="002F7462">
        <w:rPr>
          <w:rFonts w:ascii="Arial" w:hAnsi="Arial" w:cs="Arial"/>
          <w:sz w:val="22"/>
          <w:szCs w:val="22"/>
        </w:rPr>
        <w:t xml:space="preserve">management to </w:t>
      </w:r>
      <w:r w:rsidR="00AA20B4">
        <w:rPr>
          <w:rFonts w:ascii="Arial" w:hAnsi="Arial" w:cs="Arial"/>
          <w:sz w:val="22"/>
          <w:szCs w:val="22"/>
        </w:rPr>
        <w:t xml:space="preserve">reflect on the concerns raised and to </w:t>
      </w:r>
      <w:r>
        <w:rPr>
          <w:rFonts w:ascii="Arial" w:hAnsi="Arial" w:cs="Arial"/>
          <w:sz w:val="22"/>
          <w:szCs w:val="22"/>
        </w:rPr>
        <w:t xml:space="preserve">consider if </w:t>
      </w:r>
      <w:r w:rsidR="00AA20B4">
        <w:rPr>
          <w:rFonts w:ascii="Arial" w:hAnsi="Arial" w:cs="Arial"/>
          <w:sz w:val="22"/>
          <w:szCs w:val="22"/>
        </w:rPr>
        <w:t>adjustments to the process were appropriate</w:t>
      </w:r>
      <w:r>
        <w:rPr>
          <w:rFonts w:ascii="Arial" w:hAnsi="Arial" w:cs="Arial"/>
          <w:sz w:val="22"/>
          <w:szCs w:val="22"/>
        </w:rPr>
        <w:t xml:space="preserve">. It was also noted that it would be beneficial to </w:t>
      </w:r>
      <w:r w:rsidRPr="002F7462">
        <w:rPr>
          <w:rFonts w:ascii="Arial" w:hAnsi="Arial" w:cs="Arial"/>
          <w:sz w:val="22"/>
          <w:szCs w:val="22"/>
        </w:rPr>
        <w:t>improve engagement with staff and unions</w:t>
      </w:r>
      <w:r>
        <w:rPr>
          <w:rFonts w:ascii="Arial" w:hAnsi="Arial" w:cs="Arial"/>
          <w:sz w:val="22"/>
          <w:szCs w:val="22"/>
        </w:rPr>
        <w:t xml:space="preserve"> on this matter</w:t>
      </w:r>
      <w:r w:rsidRPr="002F7462">
        <w:rPr>
          <w:rFonts w:ascii="Arial" w:hAnsi="Arial" w:cs="Arial"/>
          <w:sz w:val="22"/>
          <w:szCs w:val="22"/>
        </w:rPr>
        <w:t>, and</w:t>
      </w:r>
      <w:r>
        <w:rPr>
          <w:rFonts w:ascii="Arial" w:hAnsi="Arial" w:cs="Arial"/>
          <w:sz w:val="22"/>
          <w:szCs w:val="22"/>
        </w:rPr>
        <w:t xml:space="preserve"> to</w:t>
      </w:r>
      <w:r w:rsidRPr="002F7462">
        <w:rPr>
          <w:rFonts w:ascii="Arial" w:hAnsi="Arial" w:cs="Arial"/>
          <w:sz w:val="22"/>
          <w:szCs w:val="22"/>
        </w:rPr>
        <w:t xml:space="preserve"> provide clearer communication and support mechanisms.</w:t>
      </w:r>
    </w:p>
    <w:p w14:paraId="3CAC1AB5" w14:textId="77777777" w:rsidR="00D76731" w:rsidRDefault="00D76731" w:rsidP="002C0502">
      <w:pPr>
        <w:jc w:val="both"/>
        <w:rPr>
          <w:rFonts w:ascii="Arial" w:hAnsi="Arial" w:cs="Arial"/>
          <w:sz w:val="22"/>
          <w:szCs w:val="22"/>
        </w:rPr>
      </w:pPr>
    </w:p>
    <w:p w14:paraId="7853B965" w14:textId="1ECD3017" w:rsidR="00D76731" w:rsidRPr="00B011D2" w:rsidRDefault="00D76731" w:rsidP="00D76731">
      <w:pPr>
        <w:tabs>
          <w:tab w:val="left" w:pos="0"/>
        </w:tabs>
        <w:autoSpaceDE/>
        <w:autoSpaceDN/>
        <w:spacing w:before="120" w:after="240"/>
        <w:jc w:val="both"/>
        <w:rPr>
          <w:rFonts w:asciiTheme="minorBidi" w:hAnsiTheme="minorBidi" w:cstheme="minorBidi"/>
          <w:sz w:val="22"/>
          <w:szCs w:val="22"/>
        </w:rPr>
      </w:pPr>
      <w:r w:rsidRPr="00264694">
        <w:rPr>
          <w:rFonts w:ascii="Arial" w:eastAsiaTheme="minorEastAsia" w:hAnsi="Arial" w:cs="Arial"/>
          <w:b/>
          <w:bCs/>
          <w:sz w:val="22"/>
          <w:szCs w:val="22"/>
        </w:rPr>
        <w:t>CRT/20</w:t>
      </w:r>
      <w:r>
        <w:rPr>
          <w:rFonts w:ascii="Arial" w:eastAsiaTheme="minorEastAsia" w:hAnsi="Arial" w:cs="Arial"/>
          <w:b/>
          <w:bCs/>
          <w:sz w:val="22"/>
          <w:szCs w:val="22"/>
        </w:rPr>
        <w:t>25/2</w:t>
      </w:r>
      <w:r w:rsidR="00BD5F53">
        <w:rPr>
          <w:rFonts w:ascii="Arial" w:eastAsiaTheme="minorEastAsia" w:hAnsi="Arial" w:cs="Arial"/>
          <w:b/>
          <w:bCs/>
          <w:sz w:val="22"/>
          <w:szCs w:val="22"/>
        </w:rPr>
        <w:t>6</w:t>
      </w:r>
      <w:r w:rsidRPr="00264694">
        <w:rPr>
          <w:rFonts w:ascii="Arial" w:eastAsiaTheme="minorEastAsia" w:hAnsi="Arial" w:cs="Arial"/>
          <w:b/>
          <w:bCs/>
          <w:sz w:val="22"/>
          <w:szCs w:val="22"/>
        </w:rPr>
        <w:t>. Reports o</w:t>
      </w:r>
      <w:r w:rsidRPr="006363F6">
        <w:rPr>
          <w:rFonts w:ascii="Arial" w:eastAsiaTheme="minorEastAsia" w:hAnsi="Arial" w:cs="Arial"/>
          <w:b/>
          <w:bCs/>
          <w:sz w:val="22"/>
          <w:szCs w:val="22"/>
        </w:rPr>
        <w:t>f Court Committees</w:t>
      </w:r>
    </w:p>
    <w:p w14:paraId="3EFC4EE7" w14:textId="40BA9994" w:rsidR="00D76731" w:rsidRPr="00067547" w:rsidRDefault="00D76731" w:rsidP="00D76731">
      <w:pPr>
        <w:tabs>
          <w:tab w:val="left" w:pos="0"/>
        </w:tabs>
        <w:autoSpaceDE/>
        <w:autoSpaceDN/>
        <w:spacing w:after="240"/>
        <w:jc w:val="both"/>
        <w:rPr>
          <w:rFonts w:ascii="Arial" w:hAnsi="Arial" w:cs="Arial"/>
          <w:bCs/>
          <w:i/>
          <w:sz w:val="22"/>
          <w:szCs w:val="22"/>
        </w:rPr>
      </w:pPr>
      <w:r w:rsidRPr="006363F6">
        <w:rPr>
          <w:rFonts w:ascii="Arial" w:hAnsi="Arial" w:cs="Arial"/>
          <w:bCs/>
          <w:i/>
          <w:sz w:val="22"/>
          <w:szCs w:val="22"/>
        </w:rPr>
        <w:t>CRT/202</w:t>
      </w:r>
      <w:r>
        <w:rPr>
          <w:rFonts w:ascii="Arial" w:hAnsi="Arial" w:cs="Arial"/>
          <w:bCs/>
          <w:i/>
          <w:sz w:val="22"/>
          <w:szCs w:val="22"/>
        </w:rPr>
        <w:t>5</w:t>
      </w:r>
      <w:r w:rsidRPr="006363F6">
        <w:rPr>
          <w:rFonts w:ascii="Arial" w:hAnsi="Arial" w:cs="Arial"/>
          <w:bCs/>
          <w:i/>
          <w:sz w:val="22"/>
          <w:szCs w:val="22"/>
        </w:rPr>
        <w:t>/</w:t>
      </w:r>
      <w:r>
        <w:rPr>
          <w:rFonts w:ascii="Arial" w:hAnsi="Arial" w:cs="Arial"/>
          <w:bCs/>
          <w:i/>
          <w:sz w:val="22"/>
          <w:szCs w:val="22"/>
        </w:rPr>
        <w:t>2</w:t>
      </w:r>
      <w:r w:rsidR="00BD5F53">
        <w:rPr>
          <w:rFonts w:ascii="Arial" w:hAnsi="Arial" w:cs="Arial"/>
          <w:bCs/>
          <w:i/>
          <w:sz w:val="22"/>
          <w:szCs w:val="22"/>
        </w:rPr>
        <w:t>6</w:t>
      </w:r>
      <w:r w:rsidRPr="006363F6">
        <w:rPr>
          <w:rFonts w:ascii="Arial" w:hAnsi="Arial" w:cs="Arial"/>
          <w:bCs/>
          <w:i/>
          <w:sz w:val="22"/>
          <w:szCs w:val="22"/>
        </w:rPr>
        <w:t>.1. Finance Committee</w:t>
      </w:r>
    </w:p>
    <w:p w14:paraId="706BCD74" w14:textId="77777777" w:rsidR="00D76731" w:rsidRDefault="00D76731" w:rsidP="00D76731">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sidRPr="00D1426F">
        <w:rPr>
          <w:rFonts w:ascii="Arial" w:hAnsi="Arial" w:cs="Arial"/>
          <w:sz w:val="22"/>
          <w:szCs w:val="22"/>
        </w:rPr>
        <w:t>The</w:t>
      </w:r>
      <w:r>
        <w:rPr>
          <w:rFonts w:ascii="Arial" w:hAnsi="Arial" w:cs="Arial"/>
          <w:sz w:val="22"/>
          <w:szCs w:val="22"/>
        </w:rPr>
        <w:t xml:space="preserve"> </w:t>
      </w:r>
      <w:r w:rsidRPr="00D1426F">
        <w:rPr>
          <w:rFonts w:ascii="Arial" w:hAnsi="Arial" w:cs="Arial"/>
          <w:sz w:val="22"/>
          <w:szCs w:val="22"/>
        </w:rPr>
        <w:t xml:space="preserve">report </w:t>
      </w:r>
      <w:r>
        <w:rPr>
          <w:rFonts w:ascii="Arial" w:hAnsi="Arial" w:cs="Arial"/>
          <w:sz w:val="22"/>
          <w:szCs w:val="22"/>
        </w:rPr>
        <w:t xml:space="preserve">for the Finance Committee </w:t>
      </w:r>
      <w:r w:rsidRPr="00D1426F">
        <w:rPr>
          <w:rFonts w:ascii="Arial" w:hAnsi="Arial" w:cs="Arial"/>
          <w:sz w:val="22"/>
          <w:szCs w:val="22"/>
        </w:rPr>
        <w:t>was noted.</w:t>
      </w:r>
    </w:p>
    <w:p w14:paraId="72B5DDAA" w14:textId="51A29795" w:rsidR="00D76731" w:rsidRPr="00D1426F" w:rsidRDefault="00D76731" w:rsidP="00D76731">
      <w:pPr>
        <w:tabs>
          <w:tab w:val="left" w:pos="1134"/>
          <w:tab w:val="left" w:pos="1418"/>
          <w:tab w:val="left" w:pos="1701"/>
          <w:tab w:val="left" w:pos="1985"/>
          <w:tab w:val="left" w:pos="2268"/>
          <w:tab w:val="left" w:pos="2551"/>
        </w:tabs>
        <w:spacing w:before="120" w:after="240"/>
        <w:ind w:right="-79"/>
        <w:jc w:val="both"/>
        <w:rPr>
          <w:rFonts w:ascii="Arial" w:hAnsi="Arial" w:cs="Arial"/>
          <w:i/>
          <w:iCs/>
          <w:sz w:val="22"/>
          <w:szCs w:val="22"/>
        </w:rPr>
      </w:pPr>
      <w:r w:rsidRPr="00D1426F">
        <w:rPr>
          <w:rFonts w:ascii="Arial" w:hAnsi="Arial" w:cs="Arial"/>
          <w:i/>
          <w:iCs/>
          <w:sz w:val="22"/>
          <w:szCs w:val="22"/>
        </w:rPr>
        <w:lastRenderedPageBreak/>
        <w:t>CRT/202</w:t>
      </w:r>
      <w:r>
        <w:rPr>
          <w:rFonts w:ascii="Arial" w:hAnsi="Arial" w:cs="Arial"/>
          <w:i/>
          <w:iCs/>
          <w:sz w:val="22"/>
          <w:szCs w:val="22"/>
        </w:rPr>
        <w:t>5</w:t>
      </w:r>
      <w:r w:rsidRPr="00D1426F">
        <w:rPr>
          <w:rFonts w:ascii="Arial" w:hAnsi="Arial" w:cs="Arial"/>
          <w:i/>
          <w:iCs/>
          <w:sz w:val="22"/>
          <w:szCs w:val="22"/>
        </w:rPr>
        <w:t>/</w:t>
      </w:r>
      <w:r>
        <w:rPr>
          <w:rFonts w:ascii="Arial" w:hAnsi="Arial" w:cs="Arial"/>
          <w:i/>
          <w:iCs/>
          <w:sz w:val="22"/>
          <w:szCs w:val="22"/>
        </w:rPr>
        <w:t>2</w:t>
      </w:r>
      <w:r w:rsidR="00BD5F53">
        <w:rPr>
          <w:rFonts w:ascii="Arial" w:hAnsi="Arial" w:cs="Arial"/>
          <w:i/>
          <w:iCs/>
          <w:sz w:val="22"/>
          <w:szCs w:val="22"/>
        </w:rPr>
        <w:t>6</w:t>
      </w:r>
      <w:r w:rsidRPr="00D1426F">
        <w:rPr>
          <w:rFonts w:ascii="Arial" w:hAnsi="Arial" w:cs="Arial"/>
          <w:i/>
          <w:iCs/>
          <w:sz w:val="22"/>
          <w:szCs w:val="22"/>
        </w:rPr>
        <w:t xml:space="preserve">.2 Estates </w:t>
      </w:r>
      <w:r>
        <w:rPr>
          <w:rFonts w:ascii="Arial" w:hAnsi="Arial" w:cs="Arial"/>
          <w:i/>
          <w:iCs/>
          <w:sz w:val="22"/>
          <w:szCs w:val="22"/>
        </w:rPr>
        <w:t xml:space="preserve">and Sustainability </w:t>
      </w:r>
      <w:r w:rsidRPr="00D1426F">
        <w:rPr>
          <w:rFonts w:ascii="Arial" w:hAnsi="Arial" w:cs="Arial"/>
          <w:i/>
          <w:iCs/>
          <w:sz w:val="22"/>
          <w:szCs w:val="22"/>
        </w:rPr>
        <w:t>Committee</w:t>
      </w:r>
    </w:p>
    <w:p w14:paraId="4605ACC8" w14:textId="77777777" w:rsidR="00D76731" w:rsidRDefault="00D76731" w:rsidP="00D76731">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sidRPr="00D1426F">
        <w:rPr>
          <w:rFonts w:ascii="Arial" w:hAnsi="Arial" w:cs="Arial"/>
          <w:sz w:val="22"/>
          <w:szCs w:val="22"/>
        </w:rPr>
        <w:t xml:space="preserve">The report </w:t>
      </w:r>
      <w:r>
        <w:rPr>
          <w:rFonts w:ascii="Arial" w:hAnsi="Arial" w:cs="Arial"/>
          <w:sz w:val="22"/>
          <w:szCs w:val="22"/>
        </w:rPr>
        <w:t xml:space="preserve">for Estates and Sustainability Committee </w:t>
      </w:r>
      <w:r w:rsidRPr="00D1426F">
        <w:rPr>
          <w:rFonts w:ascii="Arial" w:hAnsi="Arial" w:cs="Arial"/>
          <w:sz w:val="22"/>
          <w:szCs w:val="22"/>
        </w:rPr>
        <w:t>was noted.</w:t>
      </w:r>
    </w:p>
    <w:p w14:paraId="62C24F65" w14:textId="659E20A5" w:rsidR="00D76731" w:rsidRPr="00D1426F" w:rsidRDefault="00D76731" w:rsidP="00D76731">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sidRPr="00D1426F">
        <w:rPr>
          <w:rFonts w:ascii="Arial" w:hAnsi="Arial" w:cs="Arial"/>
          <w:i/>
          <w:iCs/>
          <w:sz w:val="22"/>
          <w:szCs w:val="22"/>
        </w:rPr>
        <w:t>CRT/202</w:t>
      </w:r>
      <w:r>
        <w:rPr>
          <w:rFonts w:ascii="Arial" w:hAnsi="Arial" w:cs="Arial"/>
          <w:i/>
          <w:iCs/>
          <w:sz w:val="22"/>
          <w:szCs w:val="22"/>
        </w:rPr>
        <w:t>5</w:t>
      </w:r>
      <w:r w:rsidRPr="00D1426F">
        <w:rPr>
          <w:rFonts w:ascii="Arial" w:hAnsi="Arial" w:cs="Arial"/>
          <w:i/>
          <w:iCs/>
          <w:sz w:val="22"/>
          <w:szCs w:val="22"/>
        </w:rPr>
        <w:t>/</w:t>
      </w:r>
      <w:r>
        <w:rPr>
          <w:rFonts w:ascii="Arial" w:hAnsi="Arial" w:cs="Arial"/>
          <w:i/>
          <w:iCs/>
          <w:sz w:val="22"/>
          <w:szCs w:val="22"/>
        </w:rPr>
        <w:t>2</w:t>
      </w:r>
      <w:r w:rsidR="00BD5F53">
        <w:rPr>
          <w:rFonts w:ascii="Arial" w:hAnsi="Arial" w:cs="Arial"/>
          <w:i/>
          <w:iCs/>
          <w:sz w:val="22"/>
          <w:szCs w:val="22"/>
        </w:rPr>
        <w:t>6</w:t>
      </w:r>
      <w:r w:rsidRPr="00D1426F">
        <w:rPr>
          <w:rFonts w:ascii="Arial" w:hAnsi="Arial" w:cs="Arial"/>
          <w:i/>
          <w:iCs/>
          <w:sz w:val="22"/>
          <w:szCs w:val="22"/>
        </w:rPr>
        <w:t>.3 Audit &amp; Risk Committee</w:t>
      </w:r>
    </w:p>
    <w:p w14:paraId="536CAE41" w14:textId="77777777" w:rsidR="00D76731" w:rsidRDefault="00D76731" w:rsidP="00D76731">
      <w:pPr>
        <w:tabs>
          <w:tab w:val="left" w:pos="1134"/>
          <w:tab w:val="left" w:pos="1418"/>
          <w:tab w:val="left" w:pos="1701"/>
          <w:tab w:val="left" w:pos="1985"/>
          <w:tab w:val="left" w:pos="2268"/>
          <w:tab w:val="left" w:pos="2551"/>
        </w:tabs>
        <w:spacing w:after="120"/>
        <w:ind w:right="-79"/>
        <w:rPr>
          <w:rFonts w:ascii="Arial" w:hAnsi="Arial" w:cs="Arial"/>
          <w:sz w:val="22"/>
          <w:szCs w:val="22"/>
        </w:rPr>
      </w:pPr>
      <w:r w:rsidRPr="00256AA7">
        <w:rPr>
          <w:rFonts w:ascii="Arial" w:hAnsi="Arial" w:cs="Arial"/>
          <w:sz w:val="22"/>
          <w:szCs w:val="22"/>
        </w:rPr>
        <w:t xml:space="preserve">Court considered the recommendation for the appointment of PwC as external auditors for the University’s financial statements. Management reported that the procurement process </w:t>
      </w:r>
      <w:r>
        <w:rPr>
          <w:rFonts w:ascii="Arial" w:hAnsi="Arial" w:cs="Arial"/>
          <w:sz w:val="22"/>
          <w:szCs w:val="22"/>
        </w:rPr>
        <w:t xml:space="preserve">had </w:t>
      </w:r>
      <w:r w:rsidRPr="00256AA7">
        <w:rPr>
          <w:rFonts w:ascii="Arial" w:hAnsi="Arial" w:cs="Arial"/>
          <w:sz w:val="22"/>
          <w:szCs w:val="22"/>
        </w:rPr>
        <w:t>attracted two bids</w:t>
      </w:r>
      <w:r>
        <w:rPr>
          <w:rFonts w:ascii="Arial" w:hAnsi="Arial" w:cs="Arial"/>
          <w:sz w:val="22"/>
          <w:szCs w:val="22"/>
        </w:rPr>
        <w:t>.</w:t>
      </w:r>
      <w:r w:rsidRPr="00256AA7">
        <w:rPr>
          <w:rFonts w:ascii="Arial" w:hAnsi="Arial" w:cs="Arial"/>
          <w:sz w:val="22"/>
          <w:szCs w:val="22"/>
        </w:rPr>
        <w:t xml:space="preserve"> PwC’s proposal was assessed as high quality, fully compliant with requirements, and offered continuity as the incumbent auditor. </w:t>
      </w:r>
      <w:r>
        <w:rPr>
          <w:rFonts w:ascii="Arial" w:hAnsi="Arial" w:cs="Arial"/>
          <w:sz w:val="22"/>
          <w:szCs w:val="22"/>
        </w:rPr>
        <w:t>Martin Sinclair, chair of Audit and Risk Committee stated that the</w:t>
      </w:r>
      <w:r w:rsidRPr="00256AA7">
        <w:rPr>
          <w:rFonts w:ascii="Arial" w:hAnsi="Arial" w:cs="Arial"/>
          <w:sz w:val="22"/>
          <w:szCs w:val="22"/>
        </w:rPr>
        <w:t xml:space="preserve"> panel overseeing the tender process </w:t>
      </w:r>
      <w:r>
        <w:rPr>
          <w:rFonts w:ascii="Arial" w:hAnsi="Arial" w:cs="Arial"/>
          <w:sz w:val="22"/>
          <w:szCs w:val="22"/>
        </w:rPr>
        <w:t xml:space="preserve">had </w:t>
      </w:r>
      <w:r w:rsidRPr="00256AA7">
        <w:rPr>
          <w:rFonts w:ascii="Arial" w:hAnsi="Arial" w:cs="Arial"/>
          <w:sz w:val="22"/>
          <w:szCs w:val="22"/>
        </w:rPr>
        <w:t xml:space="preserve">confirmed that PwC’s bid represented best value and quality for the University. </w:t>
      </w:r>
    </w:p>
    <w:p w14:paraId="0B65E848" w14:textId="77777777" w:rsidR="00D76731" w:rsidRPr="00256AA7" w:rsidRDefault="00D76731" w:rsidP="00D76731">
      <w:pPr>
        <w:tabs>
          <w:tab w:val="left" w:pos="1134"/>
          <w:tab w:val="left" w:pos="1418"/>
          <w:tab w:val="left" w:pos="1701"/>
          <w:tab w:val="left" w:pos="1985"/>
          <w:tab w:val="left" w:pos="2268"/>
          <w:tab w:val="left" w:pos="2551"/>
        </w:tabs>
        <w:spacing w:after="120"/>
        <w:ind w:right="-79"/>
        <w:rPr>
          <w:rFonts w:ascii="Arial" w:hAnsi="Arial" w:cs="Arial"/>
          <w:sz w:val="22"/>
          <w:szCs w:val="22"/>
        </w:rPr>
      </w:pPr>
      <w:r w:rsidRPr="00256AA7">
        <w:rPr>
          <w:rFonts w:ascii="Arial" w:hAnsi="Arial" w:cs="Arial"/>
          <w:sz w:val="22"/>
          <w:szCs w:val="22"/>
        </w:rPr>
        <w:t>Following discussion, Court approved the appointment of PwC as external auditors for the next audit cycle, noting that the contract will commence from 1 January 2026</w:t>
      </w:r>
      <w:r>
        <w:rPr>
          <w:rFonts w:ascii="Arial" w:hAnsi="Arial" w:cs="Arial"/>
          <w:sz w:val="22"/>
          <w:szCs w:val="22"/>
        </w:rPr>
        <w:t xml:space="preserve"> for an initial 3 years</w:t>
      </w:r>
      <w:r w:rsidRPr="00256AA7">
        <w:rPr>
          <w:rFonts w:ascii="Arial" w:hAnsi="Arial" w:cs="Arial"/>
          <w:sz w:val="22"/>
          <w:szCs w:val="22"/>
        </w:rPr>
        <w:t xml:space="preserve">. </w:t>
      </w:r>
    </w:p>
    <w:p w14:paraId="5F8CBE83" w14:textId="7E573AE5" w:rsidR="00D76731" w:rsidRDefault="00D76731" w:rsidP="00D76731">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Pr>
          <w:rFonts w:ascii="Arial" w:hAnsi="Arial" w:cs="Arial"/>
          <w:i/>
          <w:iCs/>
          <w:sz w:val="22"/>
          <w:szCs w:val="22"/>
        </w:rPr>
        <w:t>CRT/2025/2</w:t>
      </w:r>
      <w:r w:rsidR="00BD5F53">
        <w:rPr>
          <w:rFonts w:ascii="Arial" w:hAnsi="Arial" w:cs="Arial"/>
          <w:i/>
          <w:iCs/>
          <w:sz w:val="22"/>
          <w:szCs w:val="22"/>
        </w:rPr>
        <w:t>6</w:t>
      </w:r>
      <w:r>
        <w:rPr>
          <w:rFonts w:ascii="Arial" w:hAnsi="Arial" w:cs="Arial"/>
          <w:i/>
          <w:iCs/>
          <w:sz w:val="22"/>
          <w:szCs w:val="22"/>
        </w:rPr>
        <w:t>.4 Information Policy and Strategy Committee</w:t>
      </w:r>
    </w:p>
    <w:p w14:paraId="357595CF" w14:textId="77777777" w:rsidR="00D76731" w:rsidRPr="00D94412" w:rsidRDefault="00D76731" w:rsidP="00D76731">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sidRPr="00D1426F">
        <w:rPr>
          <w:rFonts w:ascii="Arial" w:hAnsi="Arial" w:cs="Arial"/>
          <w:sz w:val="22"/>
          <w:szCs w:val="22"/>
        </w:rPr>
        <w:t xml:space="preserve">The report </w:t>
      </w:r>
      <w:r>
        <w:rPr>
          <w:rFonts w:ascii="Arial" w:hAnsi="Arial" w:cs="Arial"/>
          <w:sz w:val="22"/>
          <w:szCs w:val="22"/>
        </w:rPr>
        <w:t xml:space="preserve">for </w:t>
      </w:r>
      <w:r w:rsidRPr="00D94412">
        <w:rPr>
          <w:rFonts w:ascii="Arial" w:hAnsi="Arial" w:cs="Arial"/>
          <w:sz w:val="22"/>
          <w:szCs w:val="22"/>
        </w:rPr>
        <w:t xml:space="preserve">Information Policy and Strategy Committee </w:t>
      </w:r>
      <w:r w:rsidRPr="00D1426F">
        <w:rPr>
          <w:rFonts w:ascii="Arial" w:hAnsi="Arial" w:cs="Arial"/>
          <w:sz w:val="22"/>
          <w:szCs w:val="22"/>
        </w:rPr>
        <w:t>was noted.</w:t>
      </w:r>
    </w:p>
    <w:p w14:paraId="7B010774" w14:textId="737B650A" w:rsidR="00D76731" w:rsidRDefault="00D76731" w:rsidP="00D76731">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Pr>
          <w:rFonts w:ascii="Arial" w:hAnsi="Arial" w:cs="Arial"/>
          <w:i/>
          <w:iCs/>
          <w:sz w:val="22"/>
          <w:szCs w:val="22"/>
        </w:rPr>
        <w:t>CRT/2025/2</w:t>
      </w:r>
      <w:r w:rsidR="00BD5F53">
        <w:rPr>
          <w:rFonts w:ascii="Arial" w:hAnsi="Arial" w:cs="Arial"/>
          <w:i/>
          <w:iCs/>
          <w:sz w:val="22"/>
          <w:szCs w:val="22"/>
        </w:rPr>
        <w:t>6</w:t>
      </w:r>
      <w:r>
        <w:rPr>
          <w:rFonts w:ascii="Arial" w:hAnsi="Arial" w:cs="Arial"/>
          <w:i/>
          <w:iCs/>
          <w:sz w:val="22"/>
          <w:szCs w:val="22"/>
        </w:rPr>
        <w:t>.5 People and Organisational Development Committee</w:t>
      </w:r>
    </w:p>
    <w:p w14:paraId="7187E480" w14:textId="77777777" w:rsidR="00D76731" w:rsidRDefault="00D76731" w:rsidP="00D76731">
      <w:pPr>
        <w:tabs>
          <w:tab w:val="left" w:pos="1134"/>
          <w:tab w:val="left" w:pos="1418"/>
          <w:tab w:val="left" w:pos="1701"/>
          <w:tab w:val="left" w:pos="1985"/>
          <w:tab w:val="left" w:pos="2268"/>
          <w:tab w:val="left" w:pos="2551"/>
        </w:tabs>
        <w:spacing w:after="120"/>
        <w:ind w:right="-79"/>
        <w:jc w:val="both"/>
        <w:rPr>
          <w:rFonts w:ascii="Arial" w:hAnsi="Arial" w:cs="Arial"/>
          <w:sz w:val="22"/>
          <w:szCs w:val="22"/>
        </w:rPr>
      </w:pPr>
      <w:r w:rsidRPr="00D1426F">
        <w:rPr>
          <w:rFonts w:ascii="Arial" w:hAnsi="Arial" w:cs="Arial"/>
          <w:sz w:val="22"/>
          <w:szCs w:val="22"/>
        </w:rPr>
        <w:t xml:space="preserve">The report </w:t>
      </w:r>
      <w:r>
        <w:rPr>
          <w:rFonts w:ascii="Arial" w:hAnsi="Arial" w:cs="Arial"/>
          <w:sz w:val="22"/>
          <w:szCs w:val="22"/>
        </w:rPr>
        <w:t xml:space="preserve">for People and Organisational Development Committee </w:t>
      </w:r>
      <w:r w:rsidRPr="00D1426F">
        <w:rPr>
          <w:rFonts w:ascii="Arial" w:hAnsi="Arial" w:cs="Arial"/>
          <w:sz w:val="22"/>
          <w:szCs w:val="22"/>
        </w:rPr>
        <w:t>was noted.</w:t>
      </w:r>
    </w:p>
    <w:p w14:paraId="0555E9FB" w14:textId="5FE02897" w:rsidR="00D76731" w:rsidRDefault="00D76731" w:rsidP="00D76731">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Pr>
          <w:rFonts w:ascii="Arial" w:hAnsi="Arial" w:cs="Arial"/>
          <w:i/>
          <w:iCs/>
          <w:sz w:val="22"/>
          <w:szCs w:val="22"/>
        </w:rPr>
        <w:t>CRT/2025/2</w:t>
      </w:r>
      <w:r w:rsidR="00BD5F53">
        <w:rPr>
          <w:rFonts w:ascii="Arial" w:hAnsi="Arial" w:cs="Arial"/>
          <w:i/>
          <w:iCs/>
          <w:sz w:val="22"/>
          <w:szCs w:val="22"/>
        </w:rPr>
        <w:t>6</w:t>
      </w:r>
      <w:r>
        <w:rPr>
          <w:rFonts w:ascii="Arial" w:hAnsi="Arial" w:cs="Arial"/>
          <w:i/>
          <w:iCs/>
          <w:sz w:val="22"/>
          <w:szCs w:val="22"/>
        </w:rPr>
        <w:t>.6 Health, Safety and Wellbeing Committee</w:t>
      </w:r>
    </w:p>
    <w:p w14:paraId="4BFDEFD1" w14:textId="77777777" w:rsidR="00D76731" w:rsidRPr="00D94412" w:rsidRDefault="00D76731" w:rsidP="00D76731">
      <w:pPr>
        <w:tabs>
          <w:tab w:val="left" w:pos="1134"/>
          <w:tab w:val="left" w:pos="1418"/>
          <w:tab w:val="left" w:pos="1701"/>
          <w:tab w:val="left" w:pos="1985"/>
          <w:tab w:val="left" w:pos="2268"/>
          <w:tab w:val="left" w:pos="2551"/>
        </w:tabs>
        <w:spacing w:after="120"/>
        <w:ind w:right="-79"/>
        <w:rPr>
          <w:rFonts w:ascii="Arial" w:hAnsi="Arial" w:cs="Arial"/>
          <w:sz w:val="22"/>
          <w:szCs w:val="22"/>
        </w:rPr>
      </w:pPr>
      <w:r w:rsidRPr="009D6F0D">
        <w:rPr>
          <w:rFonts w:ascii="Arial" w:hAnsi="Arial" w:cs="Arial"/>
          <w:sz w:val="22"/>
          <w:szCs w:val="22"/>
        </w:rPr>
        <w:t>David Duncan</w:t>
      </w:r>
      <w:r>
        <w:rPr>
          <w:rFonts w:ascii="Arial" w:eastAsiaTheme="minorEastAsia" w:hAnsi="Arial" w:cs="Arial"/>
          <w:sz w:val="22"/>
          <w:szCs w:val="22"/>
        </w:rPr>
        <w:t>, (</w:t>
      </w:r>
      <w:r w:rsidRPr="0070346A">
        <w:rPr>
          <w:rFonts w:ascii="Arial" w:eastAsiaTheme="minorEastAsia" w:hAnsi="Arial" w:cs="Arial"/>
          <w:sz w:val="22"/>
          <w:szCs w:val="22"/>
        </w:rPr>
        <w:t>University Secretary and COO</w:t>
      </w:r>
      <w:r>
        <w:rPr>
          <w:rFonts w:ascii="Arial" w:eastAsiaTheme="minorEastAsia" w:hAnsi="Arial" w:cs="Arial"/>
          <w:sz w:val="22"/>
          <w:szCs w:val="22"/>
        </w:rPr>
        <w:t>)</w:t>
      </w:r>
      <w:r w:rsidRPr="009D6F0D">
        <w:rPr>
          <w:rFonts w:ascii="Arial" w:hAnsi="Arial" w:cs="Arial"/>
          <w:sz w:val="22"/>
          <w:szCs w:val="22"/>
        </w:rPr>
        <w:t xml:space="preserve"> reported that the University was undertaking a structured review of its </w:t>
      </w:r>
      <w:r w:rsidRPr="009D6F0D">
        <w:rPr>
          <w:rFonts w:ascii="Arial" w:hAnsi="Arial" w:cs="Arial"/>
          <w:color w:val="000000"/>
          <w:sz w:val="22"/>
          <w:szCs w:val="22"/>
        </w:rPr>
        <w:t>Specified Animal Pathogens Order (SAPO)</w:t>
      </w:r>
      <w:r w:rsidRPr="009D6F0D">
        <w:rPr>
          <w:rFonts w:ascii="Arial" w:hAnsi="Arial" w:cs="Arial"/>
          <w:sz w:val="22"/>
          <w:szCs w:val="22"/>
        </w:rPr>
        <w:t xml:space="preserve"> licence arrangements and associated sample handling licences following a recent inspection by Health and Safety Executive</w:t>
      </w:r>
      <w:r w:rsidRPr="009D6F0D">
        <w:rPr>
          <w:rFonts w:ascii="Arial" w:hAnsi="Arial" w:cs="Arial"/>
          <w:color w:val="000000"/>
          <w:sz w:val="22"/>
          <w:szCs w:val="22"/>
        </w:rPr>
        <w:t xml:space="preserve">. </w:t>
      </w:r>
      <w:r w:rsidRPr="009D6F0D">
        <w:rPr>
          <w:rFonts w:ascii="Arial" w:hAnsi="Arial" w:cs="Arial"/>
          <w:sz w:val="22"/>
          <w:szCs w:val="22"/>
        </w:rPr>
        <w:t xml:space="preserve">Three targeted working groups had been established to deliver the remedial and enhancement actions required by the inspectorate, covering: (i) documentation and control of licensed activities; (ii) </w:t>
      </w:r>
      <w:r w:rsidRPr="00D94412">
        <w:rPr>
          <w:rFonts w:ascii="Arial" w:hAnsi="Arial" w:cs="Arial"/>
          <w:sz w:val="22"/>
          <w:szCs w:val="22"/>
        </w:rPr>
        <w:t xml:space="preserve">competency, training, and supervision arrangements for staff and students engaged in licensed work; and (iii) physical controls, storage, and waste management for biological materials. The Biological Safety Adviser </w:t>
      </w:r>
      <w:r>
        <w:rPr>
          <w:rFonts w:ascii="Arial" w:hAnsi="Arial" w:cs="Arial"/>
          <w:sz w:val="22"/>
          <w:szCs w:val="22"/>
        </w:rPr>
        <w:t xml:space="preserve">had </w:t>
      </w:r>
      <w:r w:rsidRPr="00D94412">
        <w:rPr>
          <w:rFonts w:ascii="Arial" w:hAnsi="Arial" w:cs="Arial"/>
          <w:sz w:val="22"/>
          <w:szCs w:val="22"/>
        </w:rPr>
        <w:t>reported</w:t>
      </w:r>
      <w:r>
        <w:rPr>
          <w:rFonts w:ascii="Arial" w:hAnsi="Arial" w:cs="Arial"/>
          <w:sz w:val="22"/>
          <w:szCs w:val="22"/>
        </w:rPr>
        <w:t xml:space="preserve"> </w:t>
      </w:r>
      <w:r w:rsidRPr="00D94412">
        <w:rPr>
          <w:rFonts w:ascii="Arial" w:hAnsi="Arial" w:cs="Arial"/>
          <w:sz w:val="22"/>
          <w:szCs w:val="22"/>
        </w:rPr>
        <w:t>confidence that all actions w</w:t>
      </w:r>
      <w:r>
        <w:rPr>
          <w:rFonts w:ascii="Arial" w:hAnsi="Arial" w:cs="Arial"/>
          <w:sz w:val="22"/>
          <w:szCs w:val="22"/>
        </w:rPr>
        <w:t>ould</w:t>
      </w:r>
      <w:r w:rsidRPr="00D94412">
        <w:rPr>
          <w:rFonts w:ascii="Arial" w:hAnsi="Arial" w:cs="Arial"/>
          <w:sz w:val="22"/>
          <w:szCs w:val="22"/>
        </w:rPr>
        <w:t xml:space="preserve"> be completed ahead of the regulator’s deadline of 23 March 2026. </w:t>
      </w:r>
      <w:r>
        <w:rPr>
          <w:rFonts w:ascii="Arial" w:hAnsi="Arial" w:cs="Arial"/>
          <w:sz w:val="22"/>
          <w:szCs w:val="22"/>
        </w:rPr>
        <w:t>Court noted that d</w:t>
      </w:r>
      <w:r w:rsidRPr="00D94412">
        <w:rPr>
          <w:rFonts w:ascii="Arial" w:hAnsi="Arial" w:cs="Arial"/>
          <w:sz w:val="22"/>
          <w:szCs w:val="22"/>
        </w:rPr>
        <w:t>etailed progress and assurance w</w:t>
      </w:r>
      <w:r>
        <w:rPr>
          <w:rFonts w:ascii="Arial" w:hAnsi="Arial" w:cs="Arial"/>
          <w:sz w:val="22"/>
          <w:szCs w:val="22"/>
        </w:rPr>
        <w:t>ould</w:t>
      </w:r>
      <w:r w:rsidRPr="00D94412">
        <w:rPr>
          <w:rFonts w:ascii="Arial" w:hAnsi="Arial" w:cs="Arial"/>
          <w:sz w:val="22"/>
          <w:szCs w:val="22"/>
        </w:rPr>
        <w:t xml:space="preserve"> be presented to the next scheduled meeting of the Health</w:t>
      </w:r>
      <w:r>
        <w:rPr>
          <w:rFonts w:ascii="Arial" w:hAnsi="Arial" w:cs="Arial"/>
          <w:sz w:val="22"/>
          <w:szCs w:val="22"/>
        </w:rPr>
        <w:t xml:space="preserve">, </w:t>
      </w:r>
      <w:r w:rsidRPr="00D94412">
        <w:rPr>
          <w:rFonts w:ascii="Arial" w:hAnsi="Arial" w:cs="Arial"/>
          <w:sz w:val="22"/>
          <w:szCs w:val="22"/>
        </w:rPr>
        <w:t>Safety</w:t>
      </w:r>
      <w:r>
        <w:rPr>
          <w:rFonts w:ascii="Arial" w:hAnsi="Arial" w:cs="Arial"/>
          <w:sz w:val="22"/>
          <w:szCs w:val="22"/>
        </w:rPr>
        <w:t xml:space="preserve"> and Wellbeing</w:t>
      </w:r>
      <w:r w:rsidRPr="00D94412">
        <w:rPr>
          <w:rFonts w:ascii="Arial" w:hAnsi="Arial" w:cs="Arial"/>
          <w:sz w:val="22"/>
          <w:szCs w:val="22"/>
        </w:rPr>
        <w:t xml:space="preserve"> Committee, with any material risks escalated to Court through the agreed governance route.</w:t>
      </w:r>
    </w:p>
    <w:p w14:paraId="67E5F027" w14:textId="358221B7" w:rsidR="00D76731" w:rsidRDefault="00D76731" w:rsidP="00D76731">
      <w:pPr>
        <w:tabs>
          <w:tab w:val="left" w:pos="1134"/>
          <w:tab w:val="left" w:pos="1418"/>
          <w:tab w:val="left" w:pos="1701"/>
          <w:tab w:val="left" w:pos="1985"/>
          <w:tab w:val="left" w:pos="2268"/>
          <w:tab w:val="left" w:pos="2551"/>
        </w:tabs>
        <w:spacing w:before="120" w:after="120"/>
        <w:ind w:right="-79"/>
        <w:jc w:val="both"/>
        <w:rPr>
          <w:rFonts w:ascii="Arial" w:hAnsi="Arial" w:cs="Arial"/>
          <w:i/>
          <w:iCs/>
          <w:sz w:val="22"/>
          <w:szCs w:val="22"/>
        </w:rPr>
      </w:pPr>
      <w:r>
        <w:rPr>
          <w:rFonts w:ascii="Arial" w:hAnsi="Arial" w:cs="Arial"/>
          <w:i/>
          <w:iCs/>
          <w:sz w:val="22"/>
          <w:szCs w:val="22"/>
        </w:rPr>
        <w:t>CRT/2025/2</w:t>
      </w:r>
      <w:r w:rsidR="00BD5F53">
        <w:rPr>
          <w:rFonts w:ascii="Arial" w:hAnsi="Arial" w:cs="Arial"/>
          <w:i/>
          <w:iCs/>
          <w:sz w:val="22"/>
          <w:szCs w:val="22"/>
        </w:rPr>
        <w:t>6</w:t>
      </w:r>
      <w:r>
        <w:rPr>
          <w:rFonts w:ascii="Arial" w:hAnsi="Arial" w:cs="Arial"/>
          <w:i/>
          <w:iCs/>
          <w:sz w:val="22"/>
          <w:szCs w:val="22"/>
        </w:rPr>
        <w:t>.7 Nominations Committee</w:t>
      </w:r>
    </w:p>
    <w:p w14:paraId="7B3AF017" w14:textId="77777777" w:rsidR="00D76731" w:rsidRDefault="00D76731" w:rsidP="00D76731">
      <w:pPr>
        <w:widowControl/>
        <w:overflowPunct/>
        <w:rPr>
          <w:rFonts w:ascii="Arial" w:hAnsi="Arial" w:cs="Arial"/>
          <w:sz w:val="22"/>
          <w:szCs w:val="22"/>
        </w:rPr>
      </w:pPr>
      <w:r w:rsidRPr="00D94412">
        <w:rPr>
          <w:rFonts w:ascii="Arial" w:hAnsi="Arial" w:cs="Arial"/>
          <w:sz w:val="22"/>
          <w:szCs w:val="22"/>
        </w:rPr>
        <w:t>Court approved the re-appointment of Jonathan Loukes to Court as a Co</w:t>
      </w:r>
      <w:r w:rsidRPr="00D94412">
        <w:rPr>
          <w:rFonts w:ascii="Cambria Math" w:hAnsi="Cambria Math" w:cs="Cambria Math"/>
          <w:sz w:val="22"/>
          <w:szCs w:val="22"/>
        </w:rPr>
        <w:t>‐</w:t>
      </w:r>
      <w:r w:rsidRPr="00D94412">
        <w:rPr>
          <w:rFonts w:ascii="Arial" w:hAnsi="Arial" w:cs="Arial"/>
          <w:sz w:val="22"/>
          <w:szCs w:val="22"/>
        </w:rPr>
        <w:t>opted Member of Court for a further 4 years from 1 December 2025 to 30 November 2029.</w:t>
      </w:r>
    </w:p>
    <w:p w14:paraId="1F19A016" w14:textId="77777777" w:rsidR="00D76731" w:rsidRDefault="00D76731" w:rsidP="00D76731">
      <w:pPr>
        <w:widowControl/>
        <w:overflowPunct/>
        <w:rPr>
          <w:rFonts w:ascii="Arial" w:hAnsi="Arial" w:cs="Arial"/>
          <w:sz w:val="22"/>
          <w:szCs w:val="22"/>
        </w:rPr>
      </w:pPr>
    </w:p>
    <w:p w14:paraId="351F3E0A" w14:textId="77777777" w:rsidR="00D76731" w:rsidRDefault="00D76731" w:rsidP="00D76731">
      <w:pPr>
        <w:widowControl/>
        <w:overflowPunct/>
        <w:rPr>
          <w:rFonts w:ascii="Arial" w:hAnsi="Arial" w:cs="Arial"/>
          <w:sz w:val="22"/>
          <w:szCs w:val="22"/>
        </w:rPr>
      </w:pPr>
      <w:r w:rsidRPr="001B0378">
        <w:rPr>
          <w:rFonts w:ascii="Arial" w:hAnsi="Arial" w:cs="Arial"/>
          <w:sz w:val="22"/>
          <w:szCs w:val="22"/>
        </w:rPr>
        <w:t>A proposal for Court to nominate a named member to the Gift Acceptance Committee from outside the Court membership was also approved, noting that this was subject to the individual agreeing to take on the role.  This would</w:t>
      </w:r>
      <w:r>
        <w:rPr>
          <w:rFonts w:ascii="Arial" w:hAnsi="Arial" w:cs="Arial"/>
          <w:sz w:val="22"/>
          <w:szCs w:val="22"/>
        </w:rPr>
        <w:t xml:space="preserve"> be</w:t>
      </w:r>
      <w:r w:rsidRPr="001B0378">
        <w:rPr>
          <w:rFonts w:ascii="Arial" w:hAnsi="Arial" w:cs="Arial"/>
          <w:sz w:val="22"/>
          <w:szCs w:val="22"/>
        </w:rPr>
        <w:t xml:space="preserve"> reported to Court at its next meeting.</w:t>
      </w:r>
    </w:p>
    <w:p w14:paraId="0A9BDB81" w14:textId="77777777" w:rsidR="00D76731" w:rsidRDefault="00D76731" w:rsidP="00D76731">
      <w:pPr>
        <w:widowControl/>
        <w:overflowPunct/>
        <w:rPr>
          <w:rFonts w:asciiTheme="minorBidi" w:hAnsiTheme="minorBidi" w:cstheme="minorBidi"/>
          <w:sz w:val="22"/>
          <w:szCs w:val="22"/>
        </w:rPr>
      </w:pPr>
    </w:p>
    <w:p w14:paraId="18409D7C" w14:textId="77777777" w:rsidR="00D76731" w:rsidRDefault="00D76731" w:rsidP="00D76731">
      <w:pPr>
        <w:spacing w:after="120"/>
        <w:ind w:right="-79"/>
        <w:rPr>
          <w:rFonts w:ascii="Arial" w:hAnsi="Arial" w:cs="Arial"/>
          <w:sz w:val="22"/>
          <w:szCs w:val="22"/>
        </w:rPr>
      </w:pPr>
      <w:r w:rsidRPr="006655C1">
        <w:rPr>
          <w:rFonts w:ascii="Arial" w:hAnsi="Arial" w:cs="Arial"/>
          <w:sz w:val="22"/>
          <w:szCs w:val="22"/>
        </w:rPr>
        <w:t>SMG members left the meeting for this item.</w:t>
      </w:r>
    </w:p>
    <w:p w14:paraId="01E66BAD" w14:textId="5C5442CB" w:rsidR="00D76731" w:rsidRPr="00D94412" w:rsidRDefault="00D76731" w:rsidP="00D76731">
      <w:pPr>
        <w:spacing w:after="120"/>
        <w:ind w:right="-79"/>
        <w:rPr>
          <w:rFonts w:ascii="Arial" w:hAnsi="Arial" w:cs="Arial"/>
          <w:sz w:val="22"/>
          <w:szCs w:val="22"/>
        </w:rPr>
      </w:pPr>
      <w:r>
        <w:rPr>
          <w:rFonts w:ascii="Arial" w:hAnsi="Arial" w:cs="Arial"/>
          <w:i/>
          <w:iCs/>
          <w:sz w:val="22"/>
          <w:szCs w:val="22"/>
        </w:rPr>
        <w:t>CRT/2025/2</w:t>
      </w:r>
      <w:r w:rsidR="00BD5F53">
        <w:rPr>
          <w:rFonts w:ascii="Arial" w:hAnsi="Arial" w:cs="Arial"/>
          <w:i/>
          <w:iCs/>
          <w:sz w:val="22"/>
          <w:szCs w:val="22"/>
        </w:rPr>
        <w:t>6</w:t>
      </w:r>
      <w:r>
        <w:rPr>
          <w:rFonts w:ascii="Arial" w:hAnsi="Arial" w:cs="Arial"/>
          <w:i/>
          <w:iCs/>
          <w:sz w:val="22"/>
          <w:szCs w:val="22"/>
        </w:rPr>
        <w:t>.8 Remuneration Committee</w:t>
      </w:r>
    </w:p>
    <w:p w14:paraId="7FBD8637" w14:textId="2793535E" w:rsidR="00D76731" w:rsidRPr="006655C1" w:rsidRDefault="00D76731" w:rsidP="00D76731">
      <w:pPr>
        <w:pStyle w:val="SectText2"/>
        <w:ind w:left="540" w:right="-284" w:hanging="540"/>
        <w:jc w:val="left"/>
        <w:rPr>
          <w:rFonts w:ascii="Arial" w:hAnsi="Arial" w:cs="Arial"/>
          <w:i/>
          <w:iCs/>
          <w:szCs w:val="22"/>
        </w:rPr>
      </w:pPr>
      <w:r w:rsidRPr="00595809">
        <w:rPr>
          <w:rFonts w:ascii="Arial" w:hAnsi="Arial" w:cs="Arial"/>
          <w:i/>
          <w:iCs/>
          <w:szCs w:val="22"/>
        </w:rPr>
        <w:t>CRT</w:t>
      </w:r>
      <w:r>
        <w:rPr>
          <w:rFonts w:ascii="Arial" w:hAnsi="Arial" w:cs="Arial"/>
          <w:i/>
          <w:iCs/>
          <w:szCs w:val="22"/>
        </w:rPr>
        <w:t>/</w:t>
      </w:r>
      <w:r w:rsidRPr="00595809">
        <w:rPr>
          <w:rFonts w:ascii="Arial" w:hAnsi="Arial" w:cs="Arial"/>
          <w:i/>
          <w:iCs/>
          <w:szCs w:val="22"/>
        </w:rPr>
        <w:t>20</w:t>
      </w:r>
      <w:r>
        <w:rPr>
          <w:rFonts w:ascii="Arial" w:hAnsi="Arial" w:cs="Arial"/>
          <w:i/>
          <w:iCs/>
          <w:szCs w:val="22"/>
        </w:rPr>
        <w:t>25/2</w:t>
      </w:r>
      <w:r w:rsidR="00BD5F53">
        <w:rPr>
          <w:rFonts w:ascii="Arial" w:hAnsi="Arial" w:cs="Arial"/>
          <w:i/>
          <w:iCs/>
          <w:szCs w:val="22"/>
        </w:rPr>
        <w:t>6</w:t>
      </w:r>
      <w:r w:rsidRPr="00595809">
        <w:rPr>
          <w:rFonts w:ascii="Arial" w:hAnsi="Arial" w:cs="Arial"/>
          <w:i/>
          <w:iCs/>
          <w:szCs w:val="22"/>
        </w:rPr>
        <w:t>.</w:t>
      </w:r>
      <w:r>
        <w:rPr>
          <w:rFonts w:ascii="Arial" w:hAnsi="Arial" w:cs="Arial"/>
          <w:i/>
          <w:iCs/>
          <w:szCs w:val="22"/>
        </w:rPr>
        <w:t>8.1</w:t>
      </w:r>
      <w:r w:rsidRPr="00595809">
        <w:rPr>
          <w:rFonts w:ascii="Arial" w:hAnsi="Arial" w:cs="Arial"/>
          <w:i/>
          <w:iCs/>
          <w:szCs w:val="22"/>
        </w:rPr>
        <w:t xml:space="preserve"> </w:t>
      </w:r>
      <w:r>
        <w:rPr>
          <w:rFonts w:ascii="Arial" w:hAnsi="Arial" w:cs="Arial"/>
          <w:i/>
          <w:szCs w:val="22"/>
        </w:rPr>
        <w:t>SMG and Principal’s Remuneration</w:t>
      </w:r>
    </w:p>
    <w:p w14:paraId="24D2D8EE" w14:textId="77777777" w:rsidR="00D76731" w:rsidRDefault="00D76731" w:rsidP="00D76731">
      <w:pPr>
        <w:spacing w:after="120"/>
        <w:ind w:right="-79"/>
        <w:rPr>
          <w:rFonts w:ascii="Arial" w:hAnsi="Arial" w:cs="Arial"/>
          <w:kern w:val="1"/>
          <w:sz w:val="22"/>
          <w:szCs w:val="22"/>
        </w:rPr>
      </w:pPr>
      <w:r>
        <w:rPr>
          <w:rFonts w:asciiTheme="minorBidi" w:hAnsiTheme="minorBidi" w:cstheme="minorBidi"/>
          <w:sz w:val="22"/>
          <w:szCs w:val="22"/>
        </w:rPr>
        <w:t>Kerry Christie</w:t>
      </w:r>
      <w:r w:rsidRPr="006655C1">
        <w:rPr>
          <w:rFonts w:asciiTheme="minorBidi" w:hAnsiTheme="minorBidi" w:cstheme="minorBidi"/>
          <w:sz w:val="22"/>
          <w:szCs w:val="22"/>
        </w:rPr>
        <w:t xml:space="preserve">, chair of the Committee, reported that the </w:t>
      </w:r>
      <w:r w:rsidRPr="006655C1">
        <w:rPr>
          <w:rFonts w:ascii="Arial" w:hAnsi="Arial" w:cs="Arial"/>
          <w:kern w:val="1"/>
          <w:sz w:val="22"/>
          <w:szCs w:val="22"/>
        </w:rPr>
        <w:t xml:space="preserve">Committee had met in </w:t>
      </w:r>
      <w:r>
        <w:rPr>
          <w:rFonts w:ascii="Arial" w:hAnsi="Arial" w:cs="Arial"/>
          <w:kern w:val="1"/>
          <w:sz w:val="22"/>
          <w:szCs w:val="22"/>
        </w:rPr>
        <w:t>late November and a full report would be submitted to the next Court meeting.</w:t>
      </w:r>
    </w:p>
    <w:p w14:paraId="47D8F110" w14:textId="77777777" w:rsidR="00D76731" w:rsidRDefault="00D76731" w:rsidP="00D76731">
      <w:pPr>
        <w:spacing w:after="120"/>
        <w:ind w:right="-79"/>
        <w:rPr>
          <w:rFonts w:ascii="Arial" w:hAnsi="Arial" w:cs="Arial"/>
          <w:kern w:val="1"/>
          <w:sz w:val="22"/>
          <w:szCs w:val="22"/>
        </w:rPr>
      </w:pPr>
      <w:r>
        <w:rPr>
          <w:rFonts w:ascii="Arial" w:hAnsi="Arial" w:cs="Arial"/>
          <w:kern w:val="1"/>
          <w:sz w:val="22"/>
          <w:szCs w:val="22"/>
        </w:rPr>
        <w:t xml:space="preserve">Court noted that the </w:t>
      </w:r>
      <w:r w:rsidRPr="006655C1">
        <w:rPr>
          <w:rFonts w:ascii="Arial" w:hAnsi="Arial" w:cs="Arial"/>
          <w:kern w:val="1"/>
          <w:sz w:val="22"/>
          <w:szCs w:val="22"/>
        </w:rPr>
        <w:t xml:space="preserve">Committee </w:t>
      </w:r>
      <w:r>
        <w:rPr>
          <w:rFonts w:ascii="Arial" w:hAnsi="Arial" w:cs="Arial"/>
          <w:kern w:val="1"/>
          <w:sz w:val="22"/>
          <w:szCs w:val="22"/>
        </w:rPr>
        <w:t xml:space="preserve">had </w:t>
      </w:r>
      <w:r w:rsidRPr="006655C1">
        <w:rPr>
          <w:rFonts w:ascii="Arial" w:hAnsi="Arial" w:cs="Arial"/>
          <w:kern w:val="1"/>
          <w:sz w:val="22"/>
          <w:szCs w:val="22"/>
        </w:rPr>
        <w:t xml:space="preserve">agreed with the proposal outlined by the </w:t>
      </w:r>
      <w:proofErr w:type="gramStart"/>
      <w:r w:rsidRPr="006655C1">
        <w:rPr>
          <w:rFonts w:ascii="Arial" w:hAnsi="Arial" w:cs="Arial"/>
          <w:kern w:val="1"/>
          <w:sz w:val="22"/>
          <w:szCs w:val="22"/>
        </w:rPr>
        <w:t>Principal</w:t>
      </w:r>
      <w:proofErr w:type="gramEnd"/>
      <w:r w:rsidRPr="006655C1">
        <w:rPr>
          <w:rFonts w:ascii="Arial" w:hAnsi="Arial" w:cs="Arial"/>
          <w:kern w:val="1"/>
          <w:sz w:val="22"/>
          <w:szCs w:val="22"/>
        </w:rPr>
        <w:t xml:space="preserve"> at the meeting, that SMG </w:t>
      </w:r>
      <w:r>
        <w:rPr>
          <w:rFonts w:ascii="Arial" w:hAnsi="Arial" w:cs="Arial"/>
          <w:kern w:val="1"/>
          <w:sz w:val="22"/>
          <w:szCs w:val="22"/>
        </w:rPr>
        <w:t>sh</w:t>
      </w:r>
      <w:r w:rsidRPr="006655C1">
        <w:rPr>
          <w:rFonts w:ascii="Arial" w:hAnsi="Arial" w:cs="Arial"/>
          <w:kern w:val="1"/>
          <w:sz w:val="22"/>
          <w:szCs w:val="22"/>
        </w:rPr>
        <w:t xml:space="preserve">ould receive the </w:t>
      </w:r>
      <w:r>
        <w:rPr>
          <w:rFonts w:ascii="Arial" w:hAnsi="Arial" w:cs="Arial"/>
          <w:kern w:val="1"/>
          <w:sz w:val="22"/>
          <w:szCs w:val="22"/>
        </w:rPr>
        <w:t>1.4</w:t>
      </w:r>
      <w:r w:rsidRPr="006655C1">
        <w:rPr>
          <w:rFonts w:ascii="Arial" w:hAnsi="Arial" w:cs="Arial"/>
          <w:kern w:val="1"/>
          <w:sz w:val="22"/>
          <w:szCs w:val="22"/>
        </w:rPr>
        <w:t>% national pay</w:t>
      </w:r>
      <w:r>
        <w:rPr>
          <w:rFonts w:ascii="Arial" w:hAnsi="Arial" w:cs="Arial"/>
          <w:kern w:val="1"/>
          <w:sz w:val="22"/>
          <w:szCs w:val="22"/>
        </w:rPr>
        <w:t xml:space="preserve"> </w:t>
      </w:r>
      <w:r w:rsidRPr="006655C1">
        <w:rPr>
          <w:rFonts w:ascii="Arial" w:hAnsi="Arial" w:cs="Arial"/>
          <w:kern w:val="1"/>
          <w:sz w:val="22"/>
          <w:szCs w:val="22"/>
        </w:rPr>
        <w:t xml:space="preserve">uplift. </w:t>
      </w:r>
      <w:r>
        <w:rPr>
          <w:rFonts w:ascii="Arial" w:hAnsi="Arial" w:cs="Arial"/>
          <w:kern w:val="1"/>
          <w:sz w:val="22"/>
          <w:szCs w:val="22"/>
        </w:rPr>
        <w:t>It was also noted that the</w:t>
      </w:r>
      <w:r w:rsidRPr="006655C1">
        <w:rPr>
          <w:rFonts w:ascii="Arial" w:hAnsi="Arial" w:cs="Arial"/>
          <w:kern w:val="1"/>
          <w:sz w:val="22"/>
          <w:szCs w:val="22"/>
        </w:rPr>
        <w:t xml:space="preserve"> </w:t>
      </w:r>
      <w:r w:rsidRPr="006655C1">
        <w:rPr>
          <w:rFonts w:ascii="Arial" w:hAnsi="Arial" w:cs="Arial"/>
          <w:kern w:val="1"/>
          <w:sz w:val="22"/>
          <w:szCs w:val="22"/>
        </w:rPr>
        <w:lastRenderedPageBreak/>
        <w:t xml:space="preserve">Committee </w:t>
      </w:r>
      <w:r>
        <w:rPr>
          <w:rFonts w:ascii="Arial" w:hAnsi="Arial" w:cs="Arial"/>
          <w:kern w:val="1"/>
          <w:sz w:val="22"/>
          <w:szCs w:val="22"/>
        </w:rPr>
        <w:t xml:space="preserve">had </w:t>
      </w:r>
      <w:r w:rsidRPr="006655C1">
        <w:rPr>
          <w:rFonts w:ascii="Arial" w:hAnsi="Arial" w:cs="Arial"/>
          <w:kern w:val="1"/>
          <w:sz w:val="22"/>
          <w:szCs w:val="22"/>
        </w:rPr>
        <w:t xml:space="preserve">agreed with the proposal outlined by the Convener of Court at the meeting, that the </w:t>
      </w:r>
      <w:proofErr w:type="gramStart"/>
      <w:r w:rsidRPr="006655C1">
        <w:rPr>
          <w:rFonts w:ascii="Arial" w:hAnsi="Arial" w:cs="Arial"/>
          <w:kern w:val="1"/>
          <w:sz w:val="22"/>
          <w:szCs w:val="22"/>
        </w:rPr>
        <w:t>Principal</w:t>
      </w:r>
      <w:proofErr w:type="gramEnd"/>
      <w:r w:rsidRPr="006655C1">
        <w:rPr>
          <w:rFonts w:ascii="Arial" w:hAnsi="Arial" w:cs="Arial"/>
          <w:kern w:val="1"/>
          <w:sz w:val="22"/>
          <w:szCs w:val="22"/>
        </w:rPr>
        <w:t xml:space="preserve"> </w:t>
      </w:r>
      <w:r>
        <w:rPr>
          <w:rFonts w:ascii="Arial" w:hAnsi="Arial" w:cs="Arial"/>
          <w:kern w:val="1"/>
          <w:sz w:val="22"/>
          <w:szCs w:val="22"/>
        </w:rPr>
        <w:t>sh</w:t>
      </w:r>
      <w:r w:rsidRPr="006655C1">
        <w:rPr>
          <w:rFonts w:ascii="Arial" w:hAnsi="Arial" w:cs="Arial"/>
          <w:kern w:val="1"/>
          <w:sz w:val="22"/>
          <w:szCs w:val="22"/>
        </w:rPr>
        <w:t xml:space="preserve">ould receive </w:t>
      </w:r>
      <w:r>
        <w:rPr>
          <w:rFonts w:ascii="Arial" w:hAnsi="Arial" w:cs="Arial"/>
          <w:kern w:val="1"/>
          <w:sz w:val="22"/>
          <w:szCs w:val="22"/>
        </w:rPr>
        <w:t>1.4</w:t>
      </w:r>
      <w:r w:rsidRPr="006655C1">
        <w:rPr>
          <w:rFonts w:ascii="Arial" w:hAnsi="Arial" w:cs="Arial"/>
          <w:kern w:val="1"/>
          <w:sz w:val="22"/>
          <w:szCs w:val="22"/>
        </w:rPr>
        <w:t>%</w:t>
      </w:r>
      <w:r>
        <w:rPr>
          <w:rFonts w:ascii="Arial" w:hAnsi="Arial" w:cs="Arial"/>
          <w:kern w:val="1"/>
          <w:sz w:val="22"/>
          <w:szCs w:val="22"/>
        </w:rPr>
        <w:t xml:space="preserve"> in line with the</w:t>
      </w:r>
      <w:r w:rsidRPr="006655C1">
        <w:rPr>
          <w:rFonts w:ascii="Arial" w:hAnsi="Arial" w:cs="Arial"/>
          <w:kern w:val="1"/>
          <w:sz w:val="22"/>
          <w:szCs w:val="22"/>
        </w:rPr>
        <w:t xml:space="preserve"> national pay uplift.</w:t>
      </w:r>
      <w:r>
        <w:rPr>
          <w:rFonts w:ascii="Arial" w:hAnsi="Arial" w:cs="Arial"/>
          <w:kern w:val="1"/>
          <w:sz w:val="22"/>
          <w:szCs w:val="22"/>
        </w:rPr>
        <w:t xml:space="preserve"> </w:t>
      </w:r>
      <w:r w:rsidRPr="006655C1">
        <w:rPr>
          <w:rFonts w:ascii="Arial" w:hAnsi="Arial" w:cs="Arial"/>
          <w:kern w:val="1"/>
          <w:sz w:val="22"/>
          <w:szCs w:val="22"/>
        </w:rPr>
        <w:t xml:space="preserve">Court noted that the </w:t>
      </w:r>
      <w:proofErr w:type="gramStart"/>
      <w:r w:rsidRPr="006655C1">
        <w:rPr>
          <w:rFonts w:ascii="Arial" w:hAnsi="Arial" w:cs="Arial"/>
          <w:kern w:val="1"/>
          <w:sz w:val="22"/>
          <w:szCs w:val="22"/>
        </w:rPr>
        <w:t>Principal’s</w:t>
      </w:r>
      <w:proofErr w:type="gramEnd"/>
      <w:r w:rsidRPr="006655C1">
        <w:rPr>
          <w:rFonts w:ascii="Arial" w:hAnsi="Arial" w:cs="Arial"/>
          <w:kern w:val="1"/>
          <w:sz w:val="22"/>
          <w:szCs w:val="22"/>
        </w:rPr>
        <w:t xml:space="preserve"> salary uplift had been in line with the contractual arrangements agreed by Court and had been subject to satisfactory performance, which had been confirmed.</w:t>
      </w:r>
      <w:r w:rsidRPr="00D04EEA">
        <w:rPr>
          <w:rFonts w:ascii="Arial" w:hAnsi="Arial" w:cs="Arial"/>
          <w:kern w:val="1"/>
          <w:sz w:val="22"/>
          <w:szCs w:val="22"/>
        </w:rPr>
        <w:t xml:space="preserve">   </w:t>
      </w:r>
    </w:p>
    <w:p w14:paraId="68A4BB0B" w14:textId="77777777" w:rsidR="00D76731" w:rsidRDefault="00D76731" w:rsidP="00D76731">
      <w:pPr>
        <w:pStyle w:val="paragraph"/>
        <w:spacing w:before="0" w:after="120"/>
        <w:ind w:right="-47"/>
        <w:rPr>
          <w:rFonts w:ascii="Arial" w:hAnsi="Arial" w:cs="Arial"/>
          <w:sz w:val="22"/>
          <w:szCs w:val="22"/>
        </w:rPr>
      </w:pPr>
      <w:r w:rsidRPr="006655C1">
        <w:rPr>
          <w:rFonts w:ascii="Arial" w:hAnsi="Arial" w:cs="Arial"/>
          <w:sz w:val="22"/>
          <w:szCs w:val="22"/>
        </w:rPr>
        <w:t>SMG members</w:t>
      </w:r>
      <w:r>
        <w:rPr>
          <w:rFonts w:ascii="Arial" w:hAnsi="Arial" w:cs="Arial"/>
          <w:sz w:val="22"/>
          <w:szCs w:val="22"/>
        </w:rPr>
        <w:t xml:space="preserve"> returned to the meeting</w:t>
      </w:r>
      <w:r w:rsidRPr="006655C1">
        <w:rPr>
          <w:rFonts w:ascii="Arial" w:hAnsi="Arial" w:cs="Arial"/>
          <w:sz w:val="22"/>
          <w:szCs w:val="22"/>
        </w:rPr>
        <w:t>.</w:t>
      </w:r>
    </w:p>
    <w:p w14:paraId="12A872BC" w14:textId="59F20D05" w:rsidR="00D76731" w:rsidRDefault="00D76731" w:rsidP="00D76731">
      <w:pPr>
        <w:pStyle w:val="paragraph"/>
        <w:spacing w:before="0" w:after="120"/>
        <w:ind w:right="-47"/>
        <w:rPr>
          <w:rFonts w:ascii="Arial" w:hAnsi="Arial" w:cs="Arial"/>
          <w:sz w:val="22"/>
          <w:szCs w:val="22"/>
        </w:rPr>
      </w:pPr>
      <w:r w:rsidRPr="00595809">
        <w:rPr>
          <w:rFonts w:ascii="Arial" w:hAnsi="Arial" w:cs="Arial"/>
          <w:i/>
          <w:iCs/>
          <w:szCs w:val="22"/>
        </w:rPr>
        <w:t>CRT</w:t>
      </w:r>
      <w:r>
        <w:rPr>
          <w:rFonts w:ascii="Arial" w:hAnsi="Arial" w:cs="Arial"/>
          <w:i/>
          <w:iCs/>
          <w:szCs w:val="22"/>
        </w:rPr>
        <w:t>/</w:t>
      </w:r>
      <w:r w:rsidRPr="00595809">
        <w:rPr>
          <w:rFonts w:ascii="Arial" w:hAnsi="Arial" w:cs="Arial"/>
          <w:i/>
          <w:iCs/>
          <w:szCs w:val="22"/>
        </w:rPr>
        <w:t>20</w:t>
      </w:r>
      <w:r>
        <w:rPr>
          <w:rFonts w:ascii="Arial" w:hAnsi="Arial" w:cs="Arial"/>
          <w:i/>
          <w:iCs/>
          <w:szCs w:val="22"/>
        </w:rPr>
        <w:t>25/2</w:t>
      </w:r>
      <w:r w:rsidR="00BD5F53">
        <w:rPr>
          <w:rFonts w:ascii="Arial" w:hAnsi="Arial" w:cs="Arial"/>
          <w:i/>
          <w:iCs/>
          <w:szCs w:val="22"/>
        </w:rPr>
        <w:t>6</w:t>
      </w:r>
      <w:r w:rsidRPr="00595809">
        <w:rPr>
          <w:rFonts w:ascii="Arial" w:hAnsi="Arial" w:cs="Arial"/>
          <w:i/>
          <w:iCs/>
          <w:szCs w:val="22"/>
        </w:rPr>
        <w:t>.</w:t>
      </w:r>
      <w:r>
        <w:rPr>
          <w:rFonts w:ascii="Arial" w:hAnsi="Arial" w:cs="Arial"/>
          <w:i/>
          <w:iCs/>
          <w:szCs w:val="22"/>
        </w:rPr>
        <w:t>8.2</w:t>
      </w:r>
      <w:r w:rsidRPr="00256AA7">
        <w:rPr>
          <w:rFonts w:ascii="Arial" w:hAnsi="Arial" w:cs="Arial"/>
          <w:i/>
          <w:iCs/>
          <w:sz w:val="22"/>
          <w:szCs w:val="22"/>
          <w:lang w:val="en-GB"/>
        </w:rPr>
        <w:t> Payments to members of the Governing Body</w:t>
      </w:r>
      <w:r w:rsidRPr="00256AA7">
        <w:rPr>
          <w:rFonts w:ascii="Arial" w:hAnsi="Arial" w:cs="Arial"/>
          <w:sz w:val="22"/>
          <w:szCs w:val="22"/>
          <w:lang w:val="en-GB"/>
        </w:rPr>
        <w:t> </w:t>
      </w:r>
    </w:p>
    <w:p w14:paraId="634652B0" w14:textId="77777777" w:rsidR="00D76731" w:rsidRDefault="00D76731" w:rsidP="00D76731">
      <w:pPr>
        <w:pStyle w:val="paragraph"/>
        <w:spacing w:before="0" w:after="120"/>
        <w:ind w:right="-47"/>
        <w:rPr>
          <w:rFonts w:ascii="Arial" w:hAnsi="Arial" w:cs="Arial"/>
          <w:sz w:val="22"/>
          <w:szCs w:val="22"/>
        </w:rPr>
      </w:pPr>
      <w:r>
        <w:rPr>
          <w:rFonts w:ascii="Arial" w:hAnsi="Arial" w:cs="Arial"/>
          <w:sz w:val="22"/>
          <w:szCs w:val="22"/>
        </w:rPr>
        <w:t>The Convener of Court left the meeting for this item.</w:t>
      </w:r>
    </w:p>
    <w:p w14:paraId="1BDF1337" w14:textId="77777777" w:rsidR="00D76731" w:rsidRPr="00D94412" w:rsidRDefault="00D76731" w:rsidP="00D76731">
      <w:pPr>
        <w:pStyle w:val="paragraph"/>
        <w:spacing w:before="0" w:after="120"/>
        <w:ind w:right="-47"/>
        <w:rPr>
          <w:rFonts w:ascii="Arial" w:hAnsi="Arial" w:cs="Arial"/>
          <w:kern w:val="1"/>
          <w:sz w:val="22"/>
          <w:szCs w:val="22"/>
        </w:rPr>
      </w:pPr>
      <w:r>
        <w:rPr>
          <w:rFonts w:asciiTheme="minorBidi" w:hAnsiTheme="minorBidi" w:cstheme="minorBidi"/>
          <w:sz w:val="22"/>
          <w:szCs w:val="22"/>
        </w:rPr>
        <w:t>Kerry Christie</w:t>
      </w:r>
      <w:r w:rsidRPr="006655C1">
        <w:rPr>
          <w:rFonts w:asciiTheme="minorBidi" w:hAnsiTheme="minorBidi" w:cstheme="minorBidi"/>
          <w:sz w:val="22"/>
          <w:szCs w:val="22"/>
        </w:rPr>
        <w:t>, chair of the Committee</w:t>
      </w:r>
      <w:r>
        <w:rPr>
          <w:rFonts w:asciiTheme="minorBidi" w:hAnsiTheme="minorBidi" w:cstheme="minorBidi"/>
          <w:sz w:val="22"/>
          <w:szCs w:val="22"/>
        </w:rPr>
        <w:t xml:space="preserve"> and Vice-Convener of Court</w:t>
      </w:r>
      <w:r w:rsidRPr="006655C1">
        <w:rPr>
          <w:rFonts w:asciiTheme="minorBidi" w:hAnsiTheme="minorBidi" w:cstheme="minorBidi"/>
          <w:sz w:val="22"/>
          <w:szCs w:val="22"/>
        </w:rPr>
        <w:t xml:space="preserve">, reported that the </w:t>
      </w:r>
      <w:r w:rsidRPr="006655C1">
        <w:rPr>
          <w:rFonts w:ascii="Arial" w:hAnsi="Arial" w:cs="Arial"/>
          <w:kern w:val="1"/>
          <w:sz w:val="22"/>
          <w:szCs w:val="22"/>
        </w:rPr>
        <w:t>Committee</w:t>
      </w:r>
      <w:r w:rsidRPr="00256AA7">
        <w:rPr>
          <w:rFonts w:ascii="Arial" w:hAnsi="Arial" w:cs="Arial"/>
          <w:kern w:val="1"/>
          <w:sz w:val="22"/>
          <w:szCs w:val="22"/>
          <w:lang w:val="en-GB"/>
        </w:rPr>
        <w:t> </w:t>
      </w:r>
      <w:r>
        <w:rPr>
          <w:rFonts w:ascii="Arial" w:hAnsi="Arial" w:cs="Arial"/>
          <w:kern w:val="1"/>
          <w:sz w:val="22"/>
          <w:szCs w:val="22"/>
          <w:lang w:val="en-GB"/>
        </w:rPr>
        <w:t xml:space="preserve">had </w:t>
      </w:r>
      <w:r w:rsidRPr="00256AA7">
        <w:rPr>
          <w:rFonts w:ascii="Arial" w:hAnsi="Arial" w:cs="Arial"/>
          <w:kern w:val="1"/>
          <w:sz w:val="22"/>
          <w:szCs w:val="22"/>
          <w:lang w:val="en-GB"/>
        </w:rPr>
        <w:t>confirmed</w:t>
      </w:r>
      <w:r>
        <w:rPr>
          <w:rFonts w:ascii="Arial" w:hAnsi="Arial" w:cs="Arial"/>
          <w:kern w:val="1"/>
          <w:sz w:val="22"/>
          <w:szCs w:val="22"/>
          <w:lang w:val="en-GB"/>
        </w:rPr>
        <w:t>,</w:t>
      </w:r>
      <w:r w:rsidRPr="00256AA7">
        <w:rPr>
          <w:rFonts w:ascii="Arial" w:hAnsi="Arial" w:cs="Arial"/>
          <w:kern w:val="1"/>
          <w:sz w:val="22"/>
          <w:szCs w:val="22"/>
          <w:lang w:val="en-GB"/>
        </w:rPr>
        <w:t xml:space="preserve"> as previously agreed </w:t>
      </w:r>
      <w:r>
        <w:rPr>
          <w:rFonts w:ascii="Arial" w:hAnsi="Arial" w:cs="Arial"/>
          <w:kern w:val="1"/>
          <w:sz w:val="22"/>
          <w:szCs w:val="22"/>
          <w:lang w:val="en-GB"/>
        </w:rPr>
        <w:t xml:space="preserve">by Court, </w:t>
      </w:r>
      <w:r w:rsidRPr="00256AA7">
        <w:rPr>
          <w:rFonts w:ascii="Arial" w:hAnsi="Arial" w:cs="Arial"/>
          <w:kern w:val="1"/>
          <w:sz w:val="22"/>
          <w:szCs w:val="22"/>
          <w:lang w:val="en-GB"/>
        </w:rPr>
        <w:t>that the daily rate would be uplifted</w:t>
      </w:r>
      <w:r>
        <w:rPr>
          <w:rFonts w:ascii="Arial" w:hAnsi="Arial" w:cs="Arial"/>
          <w:kern w:val="1"/>
          <w:sz w:val="22"/>
          <w:szCs w:val="22"/>
          <w:lang w:val="en-GB"/>
        </w:rPr>
        <w:t xml:space="preserve"> by </w:t>
      </w:r>
      <w:r>
        <w:rPr>
          <w:rFonts w:ascii="Arial" w:hAnsi="Arial" w:cs="Arial"/>
          <w:kern w:val="1"/>
          <w:sz w:val="22"/>
          <w:szCs w:val="22"/>
        </w:rPr>
        <w:t>1.4</w:t>
      </w:r>
      <w:r w:rsidRPr="006655C1">
        <w:rPr>
          <w:rFonts w:ascii="Arial" w:hAnsi="Arial" w:cs="Arial"/>
          <w:kern w:val="1"/>
          <w:sz w:val="22"/>
          <w:szCs w:val="22"/>
        </w:rPr>
        <w:t>%</w:t>
      </w:r>
      <w:r>
        <w:rPr>
          <w:rFonts w:ascii="Arial" w:hAnsi="Arial" w:cs="Arial"/>
          <w:kern w:val="1"/>
          <w:sz w:val="22"/>
          <w:szCs w:val="22"/>
        </w:rPr>
        <w:t xml:space="preserve"> in line with the</w:t>
      </w:r>
      <w:r w:rsidRPr="006655C1">
        <w:rPr>
          <w:rFonts w:ascii="Arial" w:hAnsi="Arial" w:cs="Arial"/>
          <w:kern w:val="1"/>
          <w:sz w:val="22"/>
          <w:szCs w:val="22"/>
        </w:rPr>
        <w:t xml:space="preserve"> national pay uplift</w:t>
      </w:r>
      <w:r w:rsidRPr="00256AA7">
        <w:rPr>
          <w:rFonts w:ascii="Arial" w:hAnsi="Arial" w:cs="Arial"/>
          <w:kern w:val="1"/>
          <w:sz w:val="22"/>
          <w:szCs w:val="22"/>
          <w:lang w:val="en-GB"/>
        </w:rPr>
        <w:t xml:space="preserve"> </w:t>
      </w:r>
      <w:r>
        <w:rPr>
          <w:rFonts w:ascii="Arial" w:hAnsi="Arial" w:cs="Arial"/>
          <w:kern w:val="1"/>
          <w:sz w:val="22"/>
          <w:szCs w:val="22"/>
          <w:lang w:val="en-GB"/>
        </w:rPr>
        <w:t xml:space="preserve">with </w:t>
      </w:r>
      <w:r w:rsidRPr="00256AA7">
        <w:rPr>
          <w:rFonts w:ascii="Arial" w:hAnsi="Arial" w:cs="Arial"/>
          <w:kern w:val="1"/>
          <w:sz w:val="22"/>
          <w:szCs w:val="22"/>
          <w:lang w:val="en-GB"/>
        </w:rPr>
        <w:t>up to a maximum of 50</w:t>
      </w:r>
      <w:r>
        <w:rPr>
          <w:rFonts w:ascii="Arial" w:hAnsi="Arial" w:cs="Arial"/>
          <w:kern w:val="1"/>
          <w:sz w:val="22"/>
          <w:szCs w:val="22"/>
          <w:lang w:val="en-GB"/>
        </w:rPr>
        <w:t xml:space="preserve"> days a year eligible to be claimed for.</w:t>
      </w:r>
    </w:p>
    <w:p w14:paraId="57F0E053" w14:textId="77777777" w:rsidR="00D76731" w:rsidRPr="00256AA7" w:rsidRDefault="00D76731" w:rsidP="00D76731">
      <w:pPr>
        <w:pStyle w:val="paragraph"/>
        <w:spacing w:before="0" w:after="120"/>
        <w:ind w:right="-47"/>
        <w:rPr>
          <w:rFonts w:ascii="Arial" w:hAnsi="Arial" w:cs="Arial"/>
          <w:sz w:val="22"/>
          <w:szCs w:val="22"/>
        </w:rPr>
      </w:pPr>
      <w:r>
        <w:rPr>
          <w:rFonts w:ascii="Arial" w:hAnsi="Arial" w:cs="Arial"/>
          <w:sz w:val="22"/>
          <w:szCs w:val="22"/>
        </w:rPr>
        <w:t>The Convener of Court returned to the meeting.</w:t>
      </w:r>
    </w:p>
    <w:p w14:paraId="587C6A09" w14:textId="7BBB18D4" w:rsidR="00D76731" w:rsidRPr="00D04EEA" w:rsidRDefault="00D76731" w:rsidP="00D76731">
      <w:pPr>
        <w:spacing w:after="120"/>
        <w:ind w:right="-79"/>
        <w:jc w:val="both"/>
        <w:rPr>
          <w:rFonts w:ascii="Arial" w:eastAsiaTheme="minorEastAsia" w:hAnsi="Arial" w:cs="Arial"/>
          <w:b/>
          <w:bCs/>
          <w:sz w:val="22"/>
          <w:szCs w:val="22"/>
        </w:rPr>
      </w:pPr>
      <w:r w:rsidRPr="00D04EEA">
        <w:rPr>
          <w:rFonts w:ascii="Arial" w:eastAsiaTheme="minorEastAsia" w:hAnsi="Arial" w:cs="Arial"/>
          <w:b/>
          <w:bCs/>
          <w:sz w:val="22"/>
          <w:szCs w:val="22"/>
        </w:rPr>
        <w:t>CRT/20</w:t>
      </w:r>
      <w:r>
        <w:rPr>
          <w:rFonts w:ascii="Arial" w:eastAsiaTheme="minorEastAsia" w:hAnsi="Arial" w:cs="Arial"/>
          <w:b/>
          <w:bCs/>
          <w:sz w:val="22"/>
          <w:szCs w:val="22"/>
        </w:rPr>
        <w:t>25</w:t>
      </w:r>
      <w:r w:rsidRPr="00D04EEA">
        <w:rPr>
          <w:rFonts w:ascii="Arial" w:eastAsiaTheme="minorEastAsia" w:hAnsi="Arial" w:cs="Arial"/>
          <w:b/>
          <w:bCs/>
          <w:sz w:val="22"/>
          <w:szCs w:val="22"/>
        </w:rPr>
        <w:t>/</w:t>
      </w:r>
      <w:r>
        <w:rPr>
          <w:rFonts w:ascii="Arial" w:eastAsiaTheme="minorEastAsia" w:hAnsi="Arial" w:cs="Arial"/>
          <w:b/>
          <w:bCs/>
          <w:sz w:val="22"/>
          <w:szCs w:val="22"/>
        </w:rPr>
        <w:t>2</w:t>
      </w:r>
      <w:r w:rsidR="00BD5F53">
        <w:rPr>
          <w:rFonts w:ascii="Arial" w:eastAsiaTheme="minorEastAsia" w:hAnsi="Arial" w:cs="Arial"/>
          <w:b/>
          <w:bCs/>
          <w:sz w:val="22"/>
          <w:szCs w:val="22"/>
        </w:rPr>
        <w:t>7</w:t>
      </w:r>
      <w:r w:rsidRPr="00D04EEA">
        <w:rPr>
          <w:rFonts w:ascii="Arial" w:eastAsiaTheme="minorEastAsia" w:hAnsi="Arial" w:cs="Arial"/>
          <w:b/>
          <w:bCs/>
          <w:sz w:val="22"/>
          <w:szCs w:val="22"/>
        </w:rPr>
        <w:t>. Any Other Business</w:t>
      </w:r>
    </w:p>
    <w:p w14:paraId="734EB8B9" w14:textId="4979A39F" w:rsidR="00D76731" w:rsidRDefault="00BD5F53" w:rsidP="002C0502">
      <w:pPr>
        <w:jc w:val="both"/>
        <w:rPr>
          <w:rFonts w:ascii="Arial" w:hAnsi="Arial" w:cs="Arial"/>
          <w:sz w:val="22"/>
          <w:szCs w:val="22"/>
        </w:rPr>
      </w:pPr>
      <w:r>
        <w:rPr>
          <w:rFonts w:ascii="Arial" w:hAnsi="Arial" w:cs="Arial"/>
          <w:sz w:val="22"/>
          <w:szCs w:val="22"/>
        </w:rPr>
        <w:t>No other substantive items were raised.</w:t>
      </w:r>
    </w:p>
    <w:p w14:paraId="537C8A63" w14:textId="77777777" w:rsidR="00D76731" w:rsidRPr="00ED4F47" w:rsidRDefault="00D76731" w:rsidP="002C0502">
      <w:pPr>
        <w:jc w:val="both"/>
        <w:rPr>
          <w:rFonts w:ascii="Arial" w:hAnsi="Arial" w:cs="Arial"/>
          <w:sz w:val="22"/>
          <w:szCs w:val="22"/>
        </w:rPr>
      </w:pPr>
    </w:p>
    <w:p w14:paraId="2B4C2999" w14:textId="426E9870" w:rsidR="002C0502" w:rsidRPr="00D04EEA" w:rsidRDefault="002C0502" w:rsidP="002C0502">
      <w:pPr>
        <w:spacing w:after="120"/>
        <w:ind w:right="-79"/>
        <w:jc w:val="both"/>
        <w:rPr>
          <w:rFonts w:ascii="Arial" w:eastAsiaTheme="minorEastAsia" w:hAnsi="Arial" w:cs="Arial"/>
          <w:b/>
          <w:bCs/>
          <w:sz w:val="22"/>
          <w:szCs w:val="22"/>
        </w:rPr>
      </w:pPr>
      <w:r w:rsidRPr="00D04EEA">
        <w:rPr>
          <w:rFonts w:ascii="Arial" w:eastAsiaTheme="minorEastAsia" w:hAnsi="Arial" w:cs="Arial"/>
          <w:b/>
          <w:bCs/>
          <w:sz w:val="22"/>
          <w:szCs w:val="22"/>
        </w:rPr>
        <w:t>CRT/20</w:t>
      </w:r>
      <w:r>
        <w:rPr>
          <w:rFonts w:ascii="Arial" w:eastAsiaTheme="minorEastAsia" w:hAnsi="Arial" w:cs="Arial"/>
          <w:b/>
          <w:bCs/>
          <w:sz w:val="22"/>
          <w:szCs w:val="22"/>
        </w:rPr>
        <w:t>2</w:t>
      </w:r>
      <w:r w:rsidR="00A07806">
        <w:rPr>
          <w:rFonts w:ascii="Arial" w:eastAsiaTheme="minorEastAsia" w:hAnsi="Arial" w:cs="Arial"/>
          <w:b/>
          <w:bCs/>
          <w:sz w:val="22"/>
          <w:szCs w:val="22"/>
        </w:rPr>
        <w:t>5</w:t>
      </w:r>
      <w:r w:rsidRPr="00D04EEA">
        <w:rPr>
          <w:rFonts w:ascii="Arial" w:eastAsiaTheme="minorEastAsia" w:hAnsi="Arial" w:cs="Arial"/>
          <w:b/>
          <w:bCs/>
          <w:sz w:val="22"/>
          <w:szCs w:val="22"/>
        </w:rPr>
        <w:t>/</w:t>
      </w:r>
      <w:r w:rsidR="00BA64FF">
        <w:rPr>
          <w:rFonts w:ascii="Arial" w:eastAsiaTheme="minorEastAsia" w:hAnsi="Arial" w:cs="Arial"/>
          <w:b/>
          <w:bCs/>
          <w:sz w:val="22"/>
          <w:szCs w:val="22"/>
        </w:rPr>
        <w:t>2</w:t>
      </w:r>
      <w:r w:rsidR="00BD5F53">
        <w:rPr>
          <w:rFonts w:ascii="Arial" w:eastAsiaTheme="minorEastAsia" w:hAnsi="Arial" w:cs="Arial"/>
          <w:b/>
          <w:bCs/>
          <w:sz w:val="22"/>
          <w:szCs w:val="22"/>
        </w:rPr>
        <w:t>8</w:t>
      </w:r>
      <w:r w:rsidRPr="00D04EEA">
        <w:rPr>
          <w:rFonts w:ascii="Arial" w:eastAsiaTheme="minorEastAsia" w:hAnsi="Arial" w:cs="Arial"/>
          <w:b/>
          <w:bCs/>
          <w:sz w:val="22"/>
          <w:szCs w:val="22"/>
        </w:rPr>
        <w:t xml:space="preserve">. Date of Next Meeting </w:t>
      </w:r>
    </w:p>
    <w:p w14:paraId="341745A3" w14:textId="3C199465" w:rsidR="002C0502" w:rsidRPr="00B86A9B" w:rsidRDefault="002C0502" w:rsidP="00F27597">
      <w:pPr>
        <w:spacing w:after="240"/>
        <w:ind w:right="-79"/>
        <w:jc w:val="both"/>
        <w:rPr>
          <w:rFonts w:ascii="Arial" w:eastAsiaTheme="minorEastAsia" w:hAnsi="Arial" w:cs="Arial"/>
          <w:sz w:val="22"/>
          <w:szCs w:val="22"/>
        </w:rPr>
      </w:pPr>
      <w:r w:rsidRPr="00D04EEA">
        <w:rPr>
          <w:rFonts w:ascii="Arial" w:eastAsiaTheme="minorEastAsia" w:hAnsi="Arial" w:cs="Arial"/>
          <w:sz w:val="22"/>
          <w:szCs w:val="22"/>
        </w:rPr>
        <w:t>The next meeting of Court w</w:t>
      </w:r>
      <w:r>
        <w:rPr>
          <w:rFonts w:ascii="Arial" w:eastAsiaTheme="minorEastAsia" w:hAnsi="Arial" w:cs="Arial"/>
          <w:sz w:val="22"/>
          <w:szCs w:val="22"/>
        </w:rPr>
        <w:t>ould</w:t>
      </w:r>
      <w:r w:rsidRPr="00D04EEA">
        <w:rPr>
          <w:rFonts w:ascii="Arial" w:eastAsiaTheme="minorEastAsia" w:hAnsi="Arial" w:cs="Arial"/>
          <w:sz w:val="22"/>
          <w:szCs w:val="22"/>
        </w:rPr>
        <w:t xml:space="preserve"> be held on </w:t>
      </w:r>
      <w:r w:rsidR="00BA64FF" w:rsidRPr="00BA64FF">
        <w:rPr>
          <w:rFonts w:ascii="Arial" w:eastAsiaTheme="minorEastAsia" w:hAnsi="Arial" w:cs="Arial"/>
          <w:sz w:val="22"/>
          <w:szCs w:val="22"/>
        </w:rPr>
        <w:t>Wednesday 11 February 2026 at 1.45p</w:t>
      </w:r>
      <w:r>
        <w:rPr>
          <w:rFonts w:ascii="Arial" w:eastAsiaTheme="minorEastAsia" w:hAnsi="Arial" w:cs="Arial"/>
          <w:sz w:val="22"/>
          <w:szCs w:val="22"/>
        </w:rPr>
        <w:t xml:space="preserve">m. A Pre-Court </w:t>
      </w:r>
      <w:r w:rsidR="008115E8">
        <w:rPr>
          <w:rFonts w:ascii="Arial" w:eastAsiaTheme="minorEastAsia" w:hAnsi="Arial" w:cs="Arial"/>
          <w:sz w:val="22"/>
          <w:szCs w:val="22"/>
        </w:rPr>
        <w:t xml:space="preserve">session </w:t>
      </w:r>
      <w:r>
        <w:rPr>
          <w:rFonts w:ascii="Arial" w:eastAsiaTheme="minorEastAsia" w:hAnsi="Arial" w:cs="Arial"/>
          <w:sz w:val="22"/>
          <w:szCs w:val="22"/>
        </w:rPr>
        <w:t>would take place at 12pm</w:t>
      </w:r>
      <w:r w:rsidR="00A07806">
        <w:rPr>
          <w:rFonts w:ascii="Arial" w:eastAsiaTheme="minorEastAsia" w:hAnsi="Arial" w:cs="Arial"/>
          <w:sz w:val="22"/>
          <w:szCs w:val="22"/>
        </w:rPr>
        <w:t>.</w:t>
      </w:r>
    </w:p>
    <w:bookmarkEnd w:id="0"/>
    <w:p w14:paraId="266D5D07" w14:textId="77777777" w:rsidR="002C0502" w:rsidRPr="000F7A9D" w:rsidRDefault="002C0502" w:rsidP="00273726">
      <w:pPr>
        <w:spacing w:after="240"/>
        <w:ind w:right="-79"/>
        <w:jc w:val="both"/>
        <w:rPr>
          <w:rFonts w:ascii="Arial" w:eastAsiaTheme="minorEastAsia" w:hAnsi="Arial" w:cs="Arial"/>
          <w:i/>
          <w:iCs/>
          <w:color w:val="FF0000"/>
          <w:sz w:val="22"/>
          <w:szCs w:val="22"/>
        </w:rPr>
      </w:pPr>
    </w:p>
    <w:sectPr w:rsidR="002C0502" w:rsidRPr="000F7A9D">
      <w:headerReference w:type="default" r:id="rId8"/>
      <w:footerReference w:type="default" r:id="rId9"/>
      <w:headerReference w:type="first" r:id="rId10"/>
      <w:pgSz w:w="11905" w:h="16838"/>
      <w:pgMar w:top="1418" w:right="1440" w:bottom="1440" w:left="1440" w:header="720" w:footer="720"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D16E" w14:textId="77777777" w:rsidR="004E0C5D" w:rsidRDefault="004E0C5D">
      <w:r>
        <w:separator/>
      </w:r>
    </w:p>
  </w:endnote>
  <w:endnote w:type="continuationSeparator" w:id="0">
    <w:p w14:paraId="193F1421" w14:textId="77777777" w:rsidR="004E0C5D" w:rsidRDefault="004E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7D12" w14:textId="77777777" w:rsidR="00A03A2C" w:rsidRDefault="00A03A2C">
    <w:pPr>
      <w:pStyle w:val="Footer"/>
      <w:jc w:val="right"/>
    </w:pPr>
    <w:r>
      <w:fldChar w:fldCharType="begin"/>
    </w:r>
    <w:r>
      <w:instrText xml:space="preserve"> PAGE   \* MERGEFORMAT </w:instrText>
    </w:r>
    <w:r>
      <w:fldChar w:fldCharType="separate"/>
    </w:r>
    <w:r>
      <w:rPr>
        <w:noProof/>
      </w:rPr>
      <w:t>15</w:t>
    </w:r>
    <w:r>
      <w:fldChar w:fldCharType="end"/>
    </w:r>
  </w:p>
  <w:p w14:paraId="0218C487" w14:textId="77777777" w:rsidR="00A03A2C" w:rsidRPr="000049D3" w:rsidRDefault="00A03A2C">
    <w:pPr>
      <w:tabs>
        <w:tab w:val="center" w:pos="4152"/>
        <w:tab w:val="right" w:pos="830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FC4D" w14:textId="77777777" w:rsidR="004E0C5D" w:rsidRDefault="004E0C5D">
      <w:r>
        <w:separator/>
      </w:r>
    </w:p>
  </w:footnote>
  <w:footnote w:type="continuationSeparator" w:id="0">
    <w:p w14:paraId="3EE2F35B" w14:textId="77777777" w:rsidR="004E0C5D" w:rsidRDefault="004E0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F5FA" w14:textId="5CDA3E63" w:rsidR="00A03A2C" w:rsidRPr="00D04EEA" w:rsidRDefault="00A03A2C">
    <w:pPr>
      <w:tabs>
        <w:tab w:val="center" w:pos="4152"/>
        <w:tab w:val="right" w:pos="8305"/>
      </w:tabs>
      <w:jc w:val="center"/>
      <w:rPr>
        <w:rFonts w:ascii="Arial" w:hAnsi="Arial" w:cs="Arial"/>
        <w:kern w:val="0"/>
      </w:rPr>
    </w:pPr>
    <w:r w:rsidRPr="00D04EEA">
      <w:rPr>
        <w:rFonts w:ascii="Arial" w:hAnsi="Arial" w:cs="Arial"/>
        <w:kern w:val="0"/>
      </w:rPr>
      <w:t xml:space="preserve">Court </w:t>
    </w:r>
    <w:r w:rsidR="00BA64FF">
      <w:rPr>
        <w:rFonts w:ascii="Arial" w:hAnsi="Arial" w:cs="Arial"/>
        <w:kern w:val="0"/>
      </w:rPr>
      <w:t>Wednesday 2</w:t>
    </w:r>
    <w:r w:rsidR="00737C9C">
      <w:rPr>
        <w:rFonts w:ascii="Arial" w:hAnsi="Arial" w:cs="Arial"/>
        <w:kern w:val="0"/>
      </w:rPr>
      <w:t>6</w:t>
    </w:r>
    <w:r w:rsidR="00BA64FF">
      <w:rPr>
        <w:rFonts w:ascii="Arial" w:hAnsi="Arial" w:cs="Arial"/>
        <w:kern w:val="0"/>
      </w:rPr>
      <w:t xml:space="preserve"> November</w:t>
    </w:r>
    <w:r w:rsidR="00E6640B">
      <w:rPr>
        <w:rFonts w:ascii="Arial" w:hAnsi="Arial" w:cs="Arial"/>
        <w:kern w:val="0"/>
      </w:rPr>
      <w:t xml:space="preserve"> 202</w:t>
    </w:r>
    <w:r w:rsidR="00507A50">
      <w:rPr>
        <w:rFonts w:ascii="Arial" w:hAnsi="Arial" w:cs="Arial"/>
        <w:kern w:val="0"/>
      </w:rPr>
      <w:t>5</w:t>
    </w:r>
  </w:p>
  <w:p w14:paraId="6E0F800A" w14:textId="77777777" w:rsidR="00A03A2C" w:rsidRPr="000049D3" w:rsidRDefault="00A03A2C">
    <w:pPr>
      <w:tabs>
        <w:tab w:val="center" w:pos="4152"/>
        <w:tab w:val="right" w:pos="8305"/>
      </w:tabs>
      <w:jc w:val="center"/>
      <w:rPr>
        <w:kern w:val="0"/>
      </w:rPr>
    </w:pPr>
  </w:p>
  <w:p w14:paraId="63AFE229" w14:textId="77777777" w:rsidR="00A03A2C" w:rsidRPr="000049D3" w:rsidRDefault="00A03A2C">
    <w:pPr>
      <w:tabs>
        <w:tab w:val="center" w:pos="4152"/>
        <w:tab w:val="right" w:pos="8305"/>
      </w:tabs>
      <w:jc w:val="center"/>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CCDA" w14:textId="6FF49FCA" w:rsidR="00A03A2C" w:rsidRPr="00D122C6" w:rsidRDefault="00FA45B3" w:rsidP="0045458D">
    <w:pPr>
      <w:pStyle w:val="Header"/>
      <w:jc w:val="right"/>
      <w:rPr>
        <w:rFonts w:asciiTheme="minorBidi" w:hAnsiTheme="minorBidi" w:cstheme="minorBidi"/>
        <w:b/>
        <w:bCs/>
        <w:sz w:val="22"/>
        <w:szCs w:val="22"/>
      </w:rPr>
    </w:pPr>
    <w:proofErr w:type="spellStart"/>
    <w:r>
      <w:rPr>
        <w:rFonts w:asciiTheme="minorBidi" w:hAnsiTheme="minorBidi" w:cstheme="minorBidi"/>
        <w:b/>
        <w:bCs/>
        <w:sz w:val="22"/>
        <w:szCs w:val="22"/>
      </w:rPr>
      <w:t>Webcopy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1106"/>
    <w:multiLevelType w:val="hybridMultilevel"/>
    <w:tmpl w:val="A63E3752"/>
    <w:lvl w:ilvl="0" w:tplc="D5E085FC">
      <w:numFmt w:val="bullet"/>
      <w:lvlText w:val="-"/>
      <w:lvlJc w:val="left"/>
      <w:pPr>
        <w:ind w:left="720" w:hanging="360"/>
      </w:pPr>
      <w:rPr>
        <w:rFonts w:ascii="Aptos" w:eastAsia="DengXian"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19471E"/>
    <w:multiLevelType w:val="hybridMultilevel"/>
    <w:tmpl w:val="CAA241CA"/>
    <w:lvl w:ilvl="0" w:tplc="5C62797E">
      <w:start w:val="1"/>
      <w:numFmt w:val="decimal"/>
      <w:pStyle w:val="Heading1"/>
      <w:lvlText w:val="%1."/>
      <w:lvlJc w:val="left"/>
      <w:pPr>
        <w:ind w:left="277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21C37068"/>
    <w:multiLevelType w:val="hybridMultilevel"/>
    <w:tmpl w:val="3FC82A5A"/>
    <w:styleLink w:val="ImportedStyle1"/>
    <w:lvl w:ilvl="0" w:tplc="0D28F7B8">
      <w:start w:val="1"/>
      <w:numFmt w:val="bullet"/>
      <w:lvlText w:val="·"/>
      <w:lvlJc w:val="left"/>
      <w:pPr>
        <w:tabs>
          <w:tab w:val="left" w:pos="720"/>
        </w:tabs>
        <w:ind w:left="11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1272F3FC">
      <w:start w:val="1"/>
      <w:numFmt w:val="bullet"/>
      <w:lvlText w:val="·"/>
      <w:lvlJc w:val="left"/>
      <w:pPr>
        <w:tabs>
          <w:tab w:val="left" w:pos="720"/>
        </w:tabs>
        <w:ind w:left="18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BF0E1CA2">
      <w:start w:val="1"/>
      <w:numFmt w:val="bullet"/>
      <w:lvlText w:val="·"/>
      <w:lvlJc w:val="left"/>
      <w:pPr>
        <w:tabs>
          <w:tab w:val="left" w:pos="720"/>
        </w:tabs>
        <w:ind w:left="257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BB565610">
      <w:start w:val="1"/>
      <w:numFmt w:val="bullet"/>
      <w:lvlText w:val="·"/>
      <w:lvlJc w:val="left"/>
      <w:pPr>
        <w:tabs>
          <w:tab w:val="left" w:pos="720"/>
        </w:tabs>
        <w:ind w:left="32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1158B2DE">
      <w:start w:val="1"/>
      <w:numFmt w:val="bullet"/>
      <w:lvlText w:val="·"/>
      <w:lvlJc w:val="left"/>
      <w:pPr>
        <w:tabs>
          <w:tab w:val="left" w:pos="720"/>
        </w:tabs>
        <w:ind w:left="401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4DCEB18">
      <w:start w:val="1"/>
      <w:numFmt w:val="bullet"/>
      <w:lvlText w:val="·"/>
      <w:lvlJc w:val="left"/>
      <w:pPr>
        <w:tabs>
          <w:tab w:val="left" w:pos="720"/>
        </w:tabs>
        <w:ind w:left="47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95E4D722">
      <w:start w:val="1"/>
      <w:numFmt w:val="bullet"/>
      <w:lvlText w:val="·"/>
      <w:lvlJc w:val="left"/>
      <w:pPr>
        <w:tabs>
          <w:tab w:val="left" w:pos="720"/>
        </w:tabs>
        <w:ind w:left="54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CE088F2">
      <w:start w:val="1"/>
      <w:numFmt w:val="bullet"/>
      <w:lvlText w:val="·"/>
      <w:lvlJc w:val="left"/>
      <w:pPr>
        <w:tabs>
          <w:tab w:val="left" w:pos="720"/>
        </w:tabs>
        <w:ind w:left="617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286E83F4">
      <w:start w:val="1"/>
      <w:numFmt w:val="bullet"/>
      <w:lvlText w:val="·"/>
      <w:lvlJc w:val="left"/>
      <w:pPr>
        <w:tabs>
          <w:tab w:val="left" w:pos="720"/>
        </w:tabs>
        <w:ind w:left="68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 w15:restartNumberingAfterBreak="0">
    <w:nsid w:val="25003D40"/>
    <w:multiLevelType w:val="multilevel"/>
    <w:tmpl w:val="1024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7A0D05"/>
    <w:multiLevelType w:val="hybridMultilevel"/>
    <w:tmpl w:val="6A3869BA"/>
    <w:lvl w:ilvl="0" w:tplc="933610D0">
      <w:start w:val="1"/>
      <w:numFmt w:val="bullet"/>
      <w:pStyle w:val="BullList"/>
      <w:lvlText w:val="•"/>
      <w:lvlJc w:val="left"/>
      <w:pPr>
        <w:tabs>
          <w:tab w:val="num" w:pos="720"/>
        </w:tabs>
        <w:ind w:left="720" w:hanging="360"/>
      </w:pPr>
      <w:rPr>
        <w:rFonts w:ascii="Arial" w:hAnsi="Arial" w:hint="default"/>
      </w:rPr>
    </w:lvl>
    <w:lvl w:ilvl="1" w:tplc="38486FBE" w:tentative="1">
      <w:start w:val="1"/>
      <w:numFmt w:val="bullet"/>
      <w:lvlText w:val="•"/>
      <w:lvlJc w:val="left"/>
      <w:pPr>
        <w:tabs>
          <w:tab w:val="num" w:pos="1440"/>
        </w:tabs>
        <w:ind w:left="1440" w:hanging="360"/>
      </w:pPr>
      <w:rPr>
        <w:rFonts w:ascii="Arial" w:hAnsi="Arial" w:hint="default"/>
      </w:rPr>
    </w:lvl>
    <w:lvl w:ilvl="2" w:tplc="5B9CE980" w:tentative="1">
      <w:start w:val="1"/>
      <w:numFmt w:val="bullet"/>
      <w:lvlText w:val="•"/>
      <w:lvlJc w:val="left"/>
      <w:pPr>
        <w:tabs>
          <w:tab w:val="num" w:pos="2160"/>
        </w:tabs>
        <w:ind w:left="2160" w:hanging="360"/>
      </w:pPr>
      <w:rPr>
        <w:rFonts w:ascii="Arial" w:hAnsi="Arial" w:hint="default"/>
      </w:rPr>
    </w:lvl>
    <w:lvl w:ilvl="3" w:tplc="6C7A0F96" w:tentative="1">
      <w:start w:val="1"/>
      <w:numFmt w:val="bullet"/>
      <w:lvlText w:val="•"/>
      <w:lvlJc w:val="left"/>
      <w:pPr>
        <w:tabs>
          <w:tab w:val="num" w:pos="2880"/>
        </w:tabs>
        <w:ind w:left="2880" w:hanging="360"/>
      </w:pPr>
      <w:rPr>
        <w:rFonts w:ascii="Arial" w:hAnsi="Arial" w:hint="default"/>
      </w:rPr>
    </w:lvl>
    <w:lvl w:ilvl="4" w:tplc="705AA106" w:tentative="1">
      <w:start w:val="1"/>
      <w:numFmt w:val="bullet"/>
      <w:lvlText w:val="•"/>
      <w:lvlJc w:val="left"/>
      <w:pPr>
        <w:tabs>
          <w:tab w:val="num" w:pos="3600"/>
        </w:tabs>
        <w:ind w:left="3600" w:hanging="360"/>
      </w:pPr>
      <w:rPr>
        <w:rFonts w:ascii="Arial" w:hAnsi="Arial" w:hint="default"/>
      </w:rPr>
    </w:lvl>
    <w:lvl w:ilvl="5" w:tplc="E0EE9C7E" w:tentative="1">
      <w:start w:val="1"/>
      <w:numFmt w:val="bullet"/>
      <w:lvlText w:val="•"/>
      <w:lvlJc w:val="left"/>
      <w:pPr>
        <w:tabs>
          <w:tab w:val="num" w:pos="4320"/>
        </w:tabs>
        <w:ind w:left="4320" w:hanging="360"/>
      </w:pPr>
      <w:rPr>
        <w:rFonts w:ascii="Arial" w:hAnsi="Arial" w:hint="default"/>
      </w:rPr>
    </w:lvl>
    <w:lvl w:ilvl="6" w:tplc="028897D4" w:tentative="1">
      <w:start w:val="1"/>
      <w:numFmt w:val="bullet"/>
      <w:lvlText w:val="•"/>
      <w:lvlJc w:val="left"/>
      <w:pPr>
        <w:tabs>
          <w:tab w:val="num" w:pos="5040"/>
        </w:tabs>
        <w:ind w:left="5040" w:hanging="360"/>
      </w:pPr>
      <w:rPr>
        <w:rFonts w:ascii="Arial" w:hAnsi="Arial" w:hint="default"/>
      </w:rPr>
    </w:lvl>
    <w:lvl w:ilvl="7" w:tplc="4CE8DA06" w:tentative="1">
      <w:start w:val="1"/>
      <w:numFmt w:val="bullet"/>
      <w:lvlText w:val="•"/>
      <w:lvlJc w:val="left"/>
      <w:pPr>
        <w:tabs>
          <w:tab w:val="num" w:pos="5760"/>
        </w:tabs>
        <w:ind w:left="5760" w:hanging="360"/>
      </w:pPr>
      <w:rPr>
        <w:rFonts w:ascii="Arial" w:hAnsi="Arial" w:hint="default"/>
      </w:rPr>
    </w:lvl>
    <w:lvl w:ilvl="8" w:tplc="A4C0EFC2" w:tentative="1">
      <w:start w:val="1"/>
      <w:numFmt w:val="bullet"/>
      <w:lvlText w:val="•"/>
      <w:lvlJc w:val="left"/>
      <w:pPr>
        <w:tabs>
          <w:tab w:val="num" w:pos="6480"/>
        </w:tabs>
        <w:ind w:left="6480" w:hanging="360"/>
      </w:pPr>
      <w:rPr>
        <w:rFonts w:ascii="Arial" w:hAnsi="Arial" w:hint="default"/>
      </w:rPr>
    </w:lvl>
  </w:abstractNum>
  <w:num w:numId="1" w16cid:durableId="765539803">
    <w:abstractNumId w:val="1"/>
  </w:num>
  <w:num w:numId="2" w16cid:durableId="1356535695">
    <w:abstractNumId w:val="4"/>
  </w:num>
  <w:num w:numId="3" w16cid:durableId="92867252">
    <w:abstractNumId w:val="2"/>
  </w:num>
  <w:num w:numId="4" w16cid:durableId="49575912">
    <w:abstractNumId w:val="3"/>
  </w:num>
  <w:num w:numId="5" w16cid:durableId="142595415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C676B"/>
    <w:rsid w:val="00000559"/>
    <w:rsid w:val="00001A8A"/>
    <w:rsid w:val="00001B97"/>
    <w:rsid w:val="000034CF"/>
    <w:rsid w:val="000049D3"/>
    <w:rsid w:val="00005120"/>
    <w:rsid w:val="00005AC3"/>
    <w:rsid w:val="000061EE"/>
    <w:rsid w:val="00006E41"/>
    <w:rsid w:val="00007852"/>
    <w:rsid w:val="00007904"/>
    <w:rsid w:val="00007BE6"/>
    <w:rsid w:val="00010A2E"/>
    <w:rsid w:val="00011FAC"/>
    <w:rsid w:val="00013592"/>
    <w:rsid w:val="00013A6E"/>
    <w:rsid w:val="0001670C"/>
    <w:rsid w:val="00016B0C"/>
    <w:rsid w:val="00017A40"/>
    <w:rsid w:val="00020DD2"/>
    <w:rsid w:val="00021E08"/>
    <w:rsid w:val="00022DF7"/>
    <w:rsid w:val="00023631"/>
    <w:rsid w:val="000240D4"/>
    <w:rsid w:val="00024E3D"/>
    <w:rsid w:val="0002570F"/>
    <w:rsid w:val="00025FD9"/>
    <w:rsid w:val="00026B94"/>
    <w:rsid w:val="00030D39"/>
    <w:rsid w:val="00032429"/>
    <w:rsid w:val="00032899"/>
    <w:rsid w:val="00033352"/>
    <w:rsid w:val="000341E4"/>
    <w:rsid w:val="00034F6A"/>
    <w:rsid w:val="000357EE"/>
    <w:rsid w:val="00036A26"/>
    <w:rsid w:val="00036C8E"/>
    <w:rsid w:val="00036CB1"/>
    <w:rsid w:val="000370D0"/>
    <w:rsid w:val="00043B69"/>
    <w:rsid w:val="00043B94"/>
    <w:rsid w:val="000458E9"/>
    <w:rsid w:val="000464D3"/>
    <w:rsid w:val="0004754C"/>
    <w:rsid w:val="00050AEE"/>
    <w:rsid w:val="00050BC1"/>
    <w:rsid w:val="00050E3F"/>
    <w:rsid w:val="0005359C"/>
    <w:rsid w:val="00053977"/>
    <w:rsid w:val="00054F3C"/>
    <w:rsid w:val="00057774"/>
    <w:rsid w:val="00057B30"/>
    <w:rsid w:val="00057B67"/>
    <w:rsid w:val="00061C73"/>
    <w:rsid w:val="00062465"/>
    <w:rsid w:val="0006411D"/>
    <w:rsid w:val="000641FB"/>
    <w:rsid w:val="00064A73"/>
    <w:rsid w:val="00064F54"/>
    <w:rsid w:val="0006591E"/>
    <w:rsid w:val="00066625"/>
    <w:rsid w:val="00067547"/>
    <w:rsid w:val="00067EB8"/>
    <w:rsid w:val="000734FB"/>
    <w:rsid w:val="00073A43"/>
    <w:rsid w:val="00074A3B"/>
    <w:rsid w:val="00075143"/>
    <w:rsid w:val="00075B71"/>
    <w:rsid w:val="00076119"/>
    <w:rsid w:val="000762B0"/>
    <w:rsid w:val="000764EB"/>
    <w:rsid w:val="000779F8"/>
    <w:rsid w:val="00077D7A"/>
    <w:rsid w:val="00080688"/>
    <w:rsid w:val="00080A5B"/>
    <w:rsid w:val="0008277D"/>
    <w:rsid w:val="00083B72"/>
    <w:rsid w:val="00083D3D"/>
    <w:rsid w:val="00084EE0"/>
    <w:rsid w:val="00085C85"/>
    <w:rsid w:val="0009248F"/>
    <w:rsid w:val="00092EEE"/>
    <w:rsid w:val="000931A0"/>
    <w:rsid w:val="000934A7"/>
    <w:rsid w:val="00093D0F"/>
    <w:rsid w:val="00093EBB"/>
    <w:rsid w:val="00095325"/>
    <w:rsid w:val="0009690B"/>
    <w:rsid w:val="000A02A3"/>
    <w:rsid w:val="000A0821"/>
    <w:rsid w:val="000A09DA"/>
    <w:rsid w:val="000A0D66"/>
    <w:rsid w:val="000A10F0"/>
    <w:rsid w:val="000A1232"/>
    <w:rsid w:val="000A2400"/>
    <w:rsid w:val="000A475B"/>
    <w:rsid w:val="000A63CB"/>
    <w:rsid w:val="000A6888"/>
    <w:rsid w:val="000A6DFA"/>
    <w:rsid w:val="000A6EA7"/>
    <w:rsid w:val="000B1B18"/>
    <w:rsid w:val="000B1CCF"/>
    <w:rsid w:val="000B4391"/>
    <w:rsid w:val="000B5C35"/>
    <w:rsid w:val="000B6C10"/>
    <w:rsid w:val="000B6C62"/>
    <w:rsid w:val="000B6C93"/>
    <w:rsid w:val="000B6D6E"/>
    <w:rsid w:val="000B757B"/>
    <w:rsid w:val="000B7746"/>
    <w:rsid w:val="000B78CB"/>
    <w:rsid w:val="000C2083"/>
    <w:rsid w:val="000C227D"/>
    <w:rsid w:val="000C4B34"/>
    <w:rsid w:val="000C52FC"/>
    <w:rsid w:val="000C55BF"/>
    <w:rsid w:val="000C5D14"/>
    <w:rsid w:val="000C64CB"/>
    <w:rsid w:val="000C6EF6"/>
    <w:rsid w:val="000C6FF0"/>
    <w:rsid w:val="000D26C2"/>
    <w:rsid w:val="000D31D4"/>
    <w:rsid w:val="000D3BD6"/>
    <w:rsid w:val="000D71C0"/>
    <w:rsid w:val="000D7326"/>
    <w:rsid w:val="000D7B8E"/>
    <w:rsid w:val="000E09C9"/>
    <w:rsid w:val="000E1D4B"/>
    <w:rsid w:val="000E1FB8"/>
    <w:rsid w:val="000E6124"/>
    <w:rsid w:val="000E63CF"/>
    <w:rsid w:val="000E7404"/>
    <w:rsid w:val="000F0763"/>
    <w:rsid w:val="000F0C3D"/>
    <w:rsid w:val="000F19C5"/>
    <w:rsid w:val="000F340B"/>
    <w:rsid w:val="000F48FE"/>
    <w:rsid w:val="000F6CBB"/>
    <w:rsid w:val="000F7A9D"/>
    <w:rsid w:val="00100A90"/>
    <w:rsid w:val="00100EF5"/>
    <w:rsid w:val="00101638"/>
    <w:rsid w:val="00102455"/>
    <w:rsid w:val="00104719"/>
    <w:rsid w:val="001048B7"/>
    <w:rsid w:val="00104DBD"/>
    <w:rsid w:val="0010524B"/>
    <w:rsid w:val="00105C6C"/>
    <w:rsid w:val="00106C32"/>
    <w:rsid w:val="00106CBB"/>
    <w:rsid w:val="00111BE5"/>
    <w:rsid w:val="0011221D"/>
    <w:rsid w:val="0011296C"/>
    <w:rsid w:val="0011380E"/>
    <w:rsid w:val="001143EA"/>
    <w:rsid w:val="001144A7"/>
    <w:rsid w:val="00114BB1"/>
    <w:rsid w:val="00115878"/>
    <w:rsid w:val="0011592D"/>
    <w:rsid w:val="001169A8"/>
    <w:rsid w:val="00121963"/>
    <w:rsid w:val="00121D67"/>
    <w:rsid w:val="00122122"/>
    <w:rsid w:val="00122B23"/>
    <w:rsid w:val="00123D7C"/>
    <w:rsid w:val="00124154"/>
    <w:rsid w:val="0012422C"/>
    <w:rsid w:val="00124FCE"/>
    <w:rsid w:val="00125777"/>
    <w:rsid w:val="0012660A"/>
    <w:rsid w:val="00126A8C"/>
    <w:rsid w:val="00127C20"/>
    <w:rsid w:val="00127C46"/>
    <w:rsid w:val="001302BB"/>
    <w:rsid w:val="00130458"/>
    <w:rsid w:val="00131DE1"/>
    <w:rsid w:val="00132DE9"/>
    <w:rsid w:val="00134209"/>
    <w:rsid w:val="00134316"/>
    <w:rsid w:val="001358AF"/>
    <w:rsid w:val="00135904"/>
    <w:rsid w:val="001363C5"/>
    <w:rsid w:val="00136482"/>
    <w:rsid w:val="00136DC5"/>
    <w:rsid w:val="001372D9"/>
    <w:rsid w:val="00137901"/>
    <w:rsid w:val="001379F4"/>
    <w:rsid w:val="00141D1A"/>
    <w:rsid w:val="00142005"/>
    <w:rsid w:val="00142E33"/>
    <w:rsid w:val="00143B06"/>
    <w:rsid w:val="0014423D"/>
    <w:rsid w:val="00145BB2"/>
    <w:rsid w:val="00146F37"/>
    <w:rsid w:val="00146F58"/>
    <w:rsid w:val="001471AF"/>
    <w:rsid w:val="001474C8"/>
    <w:rsid w:val="0015039A"/>
    <w:rsid w:val="00150778"/>
    <w:rsid w:val="00150FA8"/>
    <w:rsid w:val="0015104C"/>
    <w:rsid w:val="00151E26"/>
    <w:rsid w:val="00153FA7"/>
    <w:rsid w:val="0015463B"/>
    <w:rsid w:val="0015621F"/>
    <w:rsid w:val="0015788D"/>
    <w:rsid w:val="001617F5"/>
    <w:rsid w:val="00161E21"/>
    <w:rsid w:val="0016249B"/>
    <w:rsid w:val="00162E39"/>
    <w:rsid w:val="001633C7"/>
    <w:rsid w:val="00163623"/>
    <w:rsid w:val="00163BC7"/>
    <w:rsid w:val="00163D14"/>
    <w:rsid w:val="00163D52"/>
    <w:rsid w:val="00163F4E"/>
    <w:rsid w:val="00164827"/>
    <w:rsid w:val="00164F46"/>
    <w:rsid w:val="00165537"/>
    <w:rsid w:val="00166F22"/>
    <w:rsid w:val="001679C6"/>
    <w:rsid w:val="00167D87"/>
    <w:rsid w:val="001701B8"/>
    <w:rsid w:val="001701D6"/>
    <w:rsid w:val="00170681"/>
    <w:rsid w:val="00171585"/>
    <w:rsid w:val="001728F6"/>
    <w:rsid w:val="00174140"/>
    <w:rsid w:val="00174774"/>
    <w:rsid w:val="00174D3C"/>
    <w:rsid w:val="0017568F"/>
    <w:rsid w:val="00177401"/>
    <w:rsid w:val="00180178"/>
    <w:rsid w:val="00181FAD"/>
    <w:rsid w:val="00182D61"/>
    <w:rsid w:val="001834A8"/>
    <w:rsid w:val="00183D94"/>
    <w:rsid w:val="0018419E"/>
    <w:rsid w:val="00184DF2"/>
    <w:rsid w:val="001858D3"/>
    <w:rsid w:val="00185DB5"/>
    <w:rsid w:val="00186192"/>
    <w:rsid w:val="00186B3A"/>
    <w:rsid w:val="00190019"/>
    <w:rsid w:val="001930B2"/>
    <w:rsid w:val="00194609"/>
    <w:rsid w:val="0019574E"/>
    <w:rsid w:val="00196213"/>
    <w:rsid w:val="0019722A"/>
    <w:rsid w:val="001974F5"/>
    <w:rsid w:val="00197F02"/>
    <w:rsid w:val="00197F3B"/>
    <w:rsid w:val="001A04EA"/>
    <w:rsid w:val="001A0744"/>
    <w:rsid w:val="001A0847"/>
    <w:rsid w:val="001A0B4C"/>
    <w:rsid w:val="001A0C5F"/>
    <w:rsid w:val="001A1216"/>
    <w:rsid w:val="001A173B"/>
    <w:rsid w:val="001A1A6E"/>
    <w:rsid w:val="001A24CC"/>
    <w:rsid w:val="001A3368"/>
    <w:rsid w:val="001A48C2"/>
    <w:rsid w:val="001A57F3"/>
    <w:rsid w:val="001A6357"/>
    <w:rsid w:val="001A6845"/>
    <w:rsid w:val="001A72D1"/>
    <w:rsid w:val="001A74CF"/>
    <w:rsid w:val="001A7B54"/>
    <w:rsid w:val="001A7BEB"/>
    <w:rsid w:val="001A7CB1"/>
    <w:rsid w:val="001B0053"/>
    <w:rsid w:val="001B0378"/>
    <w:rsid w:val="001B0613"/>
    <w:rsid w:val="001B144B"/>
    <w:rsid w:val="001B2A07"/>
    <w:rsid w:val="001B302B"/>
    <w:rsid w:val="001B3321"/>
    <w:rsid w:val="001B35EE"/>
    <w:rsid w:val="001B4884"/>
    <w:rsid w:val="001B4BC4"/>
    <w:rsid w:val="001B7310"/>
    <w:rsid w:val="001B7769"/>
    <w:rsid w:val="001C170D"/>
    <w:rsid w:val="001C2A05"/>
    <w:rsid w:val="001C305B"/>
    <w:rsid w:val="001C380D"/>
    <w:rsid w:val="001C6A58"/>
    <w:rsid w:val="001C6FF4"/>
    <w:rsid w:val="001D2B11"/>
    <w:rsid w:val="001D2F7F"/>
    <w:rsid w:val="001D3BC7"/>
    <w:rsid w:val="001D5086"/>
    <w:rsid w:val="001D5453"/>
    <w:rsid w:val="001D55EB"/>
    <w:rsid w:val="001E0162"/>
    <w:rsid w:val="001E0430"/>
    <w:rsid w:val="001E1B9C"/>
    <w:rsid w:val="001E2AB5"/>
    <w:rsid w:val="001E2ACF"/>
    <w:rsid w:val="001E2F38"/>
    <w:rsid w:val="001E3A81"/>
    <w:rsid w:val="001E4402"/>
    <w:rsid w:val="001E5873"/>
    <w:rsid w:val="001E62A2"/>
    <w:rsid w:val="001E6307"/>
    <w:rsid w:val="001E69B8"/>
    <w:rsid w:val="001E7979"/>
    <w:rsid w:val="001E7D62"/>
    <w:rsid w:val="001F052C"/>
    <w:rsid w:val="001F1E5C"/>
    <w:rsid w:val="001F2B61"/>
    <w:rsid w:val="001F2CD2"/>
    <w:rsid w:val="001F5FFA"/>
    <w:rsid w:val="001F60BE"/>
    <w:rsid w:val="001F6EBD"/>
    <w:rsid w:val="00203AB2"/>
    <w:rsid w:val="00203EFF"/>
    <w:rsid w:val="00204EF7"/>
    <w:rsid w:val="002058CB"/>
    <w:rsid w:val="00205C87"/>
    <w:rsid w:val="00206026"/>
    <w:rsid w:val="00207522"/>
    <w:rsid w:val="00207D57"/>
    <w:rsid w:val="00207EA9"/>
    <w:rsid w:val="00210DF6"/>
    <w:rsid w:val="00211913"/>
    <w:rsid w:val="0021310D"/>
    <w:rsid w:val="002156B0"/>
    <w:rsid w:val="0021633E"/>
    <w:rsid w:val="002166BA"/>
    <w:rsid w:val="00216FDF"/>
    <w:rsid w:val="002177B5"/>
    <w:rsid w:val="002200CD"/>
    <w:rsid w:val="00220130"/>
    <w:rsid w:val="00220547"/>
    <w:rsid w:val="002215B9"/>
    <w:rsid w:val="002216D5"/>
    <w:rsid w:val="00222AA0"/>
    <w:rsid w:val="00225A0E"/>
    <w:rsid w:val="00227293"/>
    <w:rsid w:val="00227E41"/>
    <w:rsid w:val="002307E8"/>
    <w:rsid w:val="00231F75"/>
    <w:rsid w:val="0023279C"/>
    <w:rsid w:val="00232FA6"/>
    <w:rsid w:val="002349B0"/>
    <w:rsid w:val="00234C1D"/>
    <w:rsid w:val="00234C33"/>
    <w:rsid w:val="00234E88"/>
    <w:rsid w:val="00235EAB"/>
    <w:rsid w:val="00236247"/>
    <w:rsid w:val="00236FFE"/>
    <w:rsid w:val="00240D76"/>
    <w:rsid w:val="002421AD"/>
    <w:rsid w:val="00244D34"/>
    <w:rsid w:val="0024639D"/>
    <w:rsid w:val="00251384"/>
    <w:rsid w:val="002537E8"/>
    <w:rsid w:val="00253AAF"/>
    <w:rsid w:val="002559A5"/>
    <w:rsid w:val="00255B55"/>
    <w:rsid w:val="00256AA7"/>
    <w:rsid w:val="00256F0F"/>
    <w:rsid w:val="00257D7E"/>
    <w:rsid w:val="002603EF"/>
    <w:rsid w:val="00260552"/>
    <w:rsid w:val="002615E1"/>
    <w:rsid w:val="0026252A"/>
    <w:rsid w:val="00263340"/>
    <w:rsid w:val="00263482"/>
    <w:rsid w:val="00263A86"/>
    <w:rsid w:val="00263D27"/>
    <w:rsid w:val="00264641"/>
    <w:rsid w:val="00264694"/>
    <w:rsid w:val="00264984"/>
    <w:rsid w:val="00266A1B"/>
    <w:rsid w:val="00266A6D"/>
    <w:rsid w:val="00267CB3"/>
    <w:rsid w:val="00270A61"/>
    <w:rsid w:val="00271775"/>
    <w:rsid w:val="00272F0E"/>
    <w:rsid w:val="00273726"/>
    <w:rsid w:val="00273AF0"/>
    <w:rsid w:val="0027480E"/>
    <w:rsid w:val="00277376"/>
    <w:rsid w:val="00277FC4"/>
    <w:rsid w:val="00280471"/>
    <w:rsid w:val="00284EB8"/>
    <w:rsid w:val="00285B5C"/>
    <w:rsid w:val="00286615"/>
    <w:rsid w:val="00286C24"/>
    <w:rsid w:val="00286EBC"/>
    <w:rsid w:val="00287D44"/>
    <w:rsid w:val="0029009B"/>
    <w:rsid w:val="00290853"/>
    <w:rsid w:val="00291339"/>
    <w:rsid w:val="00293409"/>
    <w:rsid w:val="00296723"/>
    <w:rsid w:val="0029789F"/>
    <w:rsid w:val="002A093C"/>
    <w:rsid w:val="002A0964"/>
    <w:rsid w:val="002A153B"/>
    <w:rsid w:val="002A26DD"/>
    <w:rsid w:val="002A2A71"/>
    <w:rsid w:val="002A2BDC"/>
    <w:rsid w:val="002A340D"/>
    <w:rsid w:val="002A35D1"/>
    <w:rsid w:val="002A6036"/>
    <w:rsid w:val="002A78B1"/>
    <w:rsid w:val="002A7EF8"/>
    <w:rsid w:val="002B1E13"/>
    <w:rsid w:val="002B1E2C"/>
    <w:rsid w:val="002B2458"/>
    <w:rsid w:val="002B29CC"/>
    <w:rsid w:val="002C0502"/>
    <w:rsid w:val="002C38F3"/>
    <w:rsid w:val="002C3AFB"/>
    <w:rsid w:val="002C45A2"/>
    <w:rsid w:val="002C4C68"/>
    <w:rsid w:val="002C5164"/>
    <w:rsid w:val="002C7AE9"/>
    <w:rsid w:val="002D033A"/>
    <w:rsid w:val="002D0903"/>
    <w:rsid w:val="002D255A"/>
    <w:rsid w:val="002D56F0"/>
    <w:rsid w:val="002D68EB"/>
    <w:rsid w:val="002E1A1A"/>
    <w:rsid w:val="002E20FF"/>
    <w:rsid w:val="002E3009"/>
    <w:rsid w:val="002E3890"/>
    <w:rsid w:val="002E4E73"/>
    <w:rsid w:val="002E51D7"/>
    <w:rsid w:val="002E6534"/>
    <w:rsid w:val="002E791B"/>
    <w:rsid w:val="002E7A20"/>
    <w:rsid w:val="002E7FC9"/>
    <w:rsid w:val="002F05BF"/>
    <w:rsid w:val="002F20E2"/>
    <w:rsid w:val="002F2D52"/>
    <w:rsid w:val="002F2EB4"/>
    <w:rsid w:val="002F31F0"/>
    <w:rsid w:val="002F3310"/>
    <w:rsid w:val="002F3412"/>
    <w:rsid w:val="002F39D8"/>
    <w:rsid w:val="002F3B4F"/>
    <w:rsid w:val="002F40AF"/>
    <w:rsid w:val="002F615D"/>
    <w:rsid w:val="002F7462"/>
    <w:rsid w:val="00300423"/>
    <w:rsid w:val="003035A2"/>
    <w:rsid w:val="00303902"/>
    <w:rsid w:val="00303A70"/>
    <w:rsid w:val="0030464E"/>
    <w:rsid w:val="003053E1"/>
    <w:rsid w:val="00305CC2"/>
    <w:rsid w:val="00306E66"/>
    <w:rsid w:val="003070F4"/>
    <w:rsid w:val="00307BE6"/>
    <w:rsid w:val="00310252"/>
    <w:rsid w:val="003104D2"/>
    <w:rsid w:val="003106BB"/>
    <w:rsid w:val="00311870"/>
    <w:rsid w:val="00311EAD"/>
    <w:rsid w:val="00312508"/>
    <w:rsid w:val="00313311"/>
    <w:rsid w:val="003142B5"/>
    <w:rsid w:val="003147B5"/>
    <w:rsid w:val="00314B45"/>
    <w:rsid w:val="0031558E"/>
    <w:rsid w:val="00316992"/>
    <w:rsid w:val="003170B3"/>
    <w:rsid w:val="003173ED"/>
    <w:rsid w:val="00320441"/>
    <w:rsid w:val="003204E8"/>
    <w:rsid w:val="00320A44"/>
    <w:rsid w:val="003211B1"/>
    <w:rsid w:val="00321BFC"/>
    <w:rsid w:val="00322112"/>
    <w:rsid w:val="00322DE2"/>
    <w:rsid w:val="00322DFD"/>
    <w:rsid w:val="003248E8"/>
    <w:rsid w:val="00325D99"/>
    <w:rsid w:val="00325F46"/>
    <w:rsid w:val="00326141"/>
    <w:rsid w:val="00327C29"/>
    <w:rsid w:val="00327D46"/>
    <w:rsid w:val="00330D25"/>
    <w:rsid w:val="00330D44"/>
    <w:rsid w:val="00331A17"/>
    <w:rsid w:val="003323D4"/>
    <w:rsid w:val="00334065"/>
    <w:rsid w:val="0033461B"/>
    <w:rsid w:val="003347B6"/>
    <w:rsid w:val="00334B02"/>
    <w:rsid w:val="00335846"/>
    <w:rsid w:val="00335FB1"/>
    <w:rsid w:val="0033687C"/>
    <w:rsid w:val="00337FE1"/>
    <w:rsid w:val="00340277"/>
    <w:rsid w:val="00341267"/>
    <w:rsid w:val="00341CEB"/>
    <w:rsid w:val="003427FD"/>
    <w:rsid w:val="003432D8"/>
    <w:rsid w:val="003451E7"/>
    <w:rsid w:val="003456EA"/>
    <w:rsid w:val="00347DCD"/>
    <w:rsid w:val="00351FAA"/>
    <w:rsid w:val="003520C4"/>
    <w:rsid w:val="00352D75"/>
    <w:rsid w:val="0035318D"/>
    <w:rsid w:val="0035541B"/>
    <w:rsid w:val="0035586D"/>
    <w:rsid w:val="00355A1C"/>
    <w:rsid w:val="00356552"/>
    <w:rsid w:val="0035786C"/>
    <w:rsid w:val="00357E83"/>
    <w:rsid w:val="00357FE7"/>
    <w:rsid w:val="00360160"/>
    <w:rsid w:val="003606CA"/>
    <w:rsid w:val="00360895"/>
    <w:rsid w:val="003614F2"/>
    <w:rsid w:val="003622A1"/>
    <w:rsid w:val="003646D0"/>
    <w:rsid w:val="00364C2E"/>
    <w:rsid w:val="00364EBA"/>
    <w:rsid w:val="0036571C"/>
    <w:rsid w:val="00366104"/>
    <w:rsid w:val="00366B9C"/>
    <w:rsid w:val="00366D4E"/>
    <w:rsid w:val="00367071"/>
    <w:rsid w:val="00371D91"/>
    <w:rsid w:val="00371E38"/>
    <w:rsid w:val="00373D4F"/>
    <w:rsid w:val="00376317"/>
    <w:rsid w:val="00376A2F"/>
    <w:rsid w:val="00380230"/>
    <w:rsid w:val="0038042D"/>
    <w:rsid w:val="00382AD1"/>
    <w:rsid w:val="00382F65"/>
    <w:rsid w:val="00385134"/>
    <w:rsid w:val="003857E8"/>
    <w:rsid w:val="00386322"/>
    <w:rsid w:val="00386F7C"/>
    <w:rsid w:val="00387D37"/>
    <w:rsid w:val="0039027E"/>
    <w:rsid w:val="003907E4"/>
    <w:rsid w:val="00390C16"/>
    <w:rsid w:val="0039167A"/>
    <w:rsid w:val="003917B7"/>
    <w:rsid w:val="00393976"/>
    <w:rsid w:val="00393FE5"/>
    <w:rsid w:val="00394815"/>
    <w:rsid w:val="00396723"/>
    <w:rsid w:val="003A0242"/>
    <w:rsid w:val="003A05E1"/>
    <w:rsid w:val="003A0703"/>
    <w:rsid w:val="003A234A"/>
    <w:rsid w:val="003A2860"/>
    <w:rsid w:val="003A3C97"/>
    <w:rsid w:val="003A41A7"/>
    <w:rsid w:val="003A48FC"/>
    <w:rsid w:val="003A66C0"/>
    <w:rsid w:val="003A6ACB"/>
    <w:rsid w:val="003B01C9"/>
    <w:rsid w:val="003B0671"/>
    <w:rsid w:val="003B0CE9"/>
    <w:rsid w:val="003B15CC"/>
    <w:rsid w:val="003B16D0"/>
    <w:rsid w:val="003B1AAE"/>
    <w:rsid w:val="003B1C21"/>
    <w:rsid w:val="003B2460"/>
    <w:rsid w:val="003B32D1"/>
    <w:rsid w:val="003B3484"/>
    <w:rsid w:val="003B3822"/>
    <w:rsid w:val="003B3EE4"/>
    <w:rsid w:val="003B62DB"/>
    <w:rsid w:val="003B665E"/>
    <w:rsid w:val="003B78CC"/>
    <w:rsid w:val="003B7A62"/>
    <w:rsid w:val="003C0949"/>
    <w:rsid w:val="003C271A"/>
    <w:rsid w:val="003C4158"/>
    <w:rsid w:val="003C4868"/>
    <w:rsid w:val="003C5097"/>
    <w:rsid w:val="003C664D"/>
    <w:rsid w:val="003D2308"/>
    <w:rsid w:val="003D27FB"/>
    <w:rsid w:val="003D35B1"/>
    <w:rsid w:val="003D3989"/>
    <w:rsid w:val="003D3CC0"/>
    <w:rsid w:val="003D4D4B"/>
    <w:rsid w:val="003D5885"/>
    <w:rsid w:val="003D6851"/>
    <w:rsid w:val="003D7F62"/>
    <w:rsid w:val="003E1006"/>
    <w:rsid w:val="003E2832"/>
    <w:rsid w:val="003E4056"/>
    <w:rsid w:val="003E52E5"/>
    <w:rsid w:val="003E61CE"/>
    <w:rsid w:val="003E7161"/>
    <w:rsid w:val="003E7A38"/>
    <w:rsid w:val="003F00D8"/>
    <w:rsid w:val="003F01A1"/>
    <w:rsid w:val="003F068B"/>
    <w:rsid w:val="003F06AC"/>
    <w:rsid w:val="003F0C68"/>
    <w:rsid w:val="003F1095"/>
    <w:rsid w:val="003F29F0"/>
    <w:rsid w:val="003F2D89"/>
    <w:rsid w:val="003F4523"/>
    <w:rsid w:val="003F50F5"/>
    <w:rsid w:val="003F526A"/>
    <w:rsid w:val="003F56B3"/>
    <w:rsid w:val="003F6030"/>
    <w:rsid w:val="003F60AF"/>
    <w:rsid w:val="004006F0"/>
    <w:rsid w:val="00400932"/>
    <w:rsid w:val="00401B49"/>
    <w:rsid w:val="004045C2"/>
    <w:rsid w:val="00405201"/>
    <w:rsid w:val="004068B4"/>
    <w:rsid w:val="0040721D"/>
    <w:rsid w:val="004074EC"/>
    <w:rsid w:val="00407540"/>
    <w:rsid w:val="00410113"/>
    <w:rsid w:val="00410C91"/>
    <w:rsid w:val="00410E94"/>
    <w:rsid w:val="00411617"/>
    <w:rsid w:val="00411E15"/>
    <w:rsid w:val="00413468"/>
    <w:rsid w:val="004137DF"/>
    <w:rsid w:val="004143EA"/>
    <w:rsid w:val="00414D25"/>
    <w:rsid w:val="00415452"/>
    <w:rsid w:val="0041629F"/>
    <w:rsid w:val="004172F8"/>
    <w:rsid w:val="00417435"/>
    <w:rsid w:val="004176E4"/>
    <w:rsid w:val="00417C0E"/>
    <w:rsid w:val="00417E29"/>
    <w:rsid w:val="00424EC7"/>
    <w:rsid w:val="0043197D"/>
    <w:rsid w:val="004322C9"/>
    <w:rsid w:val="00432DDB"/>
    <w:rsid w:val="00434359"/>
    <w:rsid w:val="00434792"/>
    <w:rsid w:val="00434B9B"/>
    <w:rsid w:val="00435720"/>
    <w:rsid w:val="00436BB5"/>
    <w:rsid w:val="00441918"/>
    <w:rsid w:val="0044229A"/>
    <w:rsid w:val="00443604"/>
    <w:rsid w:val="004436A2"/>
    <w:rsid w:val="004436BA"/>
    <w:rsid w:val="004436E6"/>
    <w:rsid w:val="00443CF4"/>
    <w:rsid w:val="00444BBD"/>
    <w:rsid w:val="00444E9D"/>
    <w:rsid w:val="0044614A"/>
    <w:rsid w:val="00447312"/>
    <w:rsid w:val="00451546"/>
    <w:rsid w:val="00451616"/>
    <w:rsid w:val="00452188"/>
    <w:rsid w:val="0045340B"/>
    <w:rsid w:val="004535F1"/>
    <w:rsid w:val="00453661"/>
    <w:rsid w:val="004537C5"/>
    <w:rsid w:val="0045458D"/>
    <w:rsid w:val="00454A76"/>
    <w:rsid w:val="00454DE3"/>
    <w:rsid w:val="004552C4"/>
    <w:rsid w:val="0045624D"/>
    <w:rsid w:val="00457222"/>
    <w:rsid w:val="0046054A"/>
    <w:rsid w:val="00461557"/>
    <w:rsid w:val="00462625"/>
    <w:rsid w:val="00462B9C"/>
    <w:rsid w:val="00462F5A"/>
    <w:rsid w:val="00466A5B"/>
    <w:rsid w:val="00466BA8"/>
    <w:rsid w:val="00466F8A"/>
    <w:rsid w:val="00466FDD"/>
    <w:rsid w:val="00467849"/>
    <w:rsid w:val="004707FA"/>
    <w:rsid w:val="00471BCE"/>
    <w:rsid w:val="00471CE5"/>
    <w:rsid w:val="00473D0B"/>
    <w:rsid w:val="00473DCA"/>
    <w:rsid w:val="00473DEA"/>
    <w:rsid w:val="00475592"/>
    <w:rsid w:val="004770A1"/>
    <w:rsid w:val="00480487"/>
    <w:rsid w:val="0048153E"/>
    <w:rsid w:val="004820A7"/>
    <w:rsid w:val="0048242B"/>
    <w:rsid w:val="0048399F"/>
    <w:rsid w:val="0048436E"/>
    <w:rsid w:val="00484812"/>
    <w:rsid w:val="00490E85"/>
    <w:rsid w:val="0049227C"/>
    <w:rsid w:val="004926FC"/>
    <w:rsid w:val="00492CF9"/>
    <w:rsid w:val="00492D1E"/>
    <w:rsid w:val="00493D3E"/>
    <w:rsid w:val="00495155"/>
    <w:rsid w:val="004966E8"/>
    <w:rsid w:val="00497E2D"/>
    <w:rsid w:val="004A0C98"/>
    <w:rsid w:val="004A1447"/>
    <w:rsid w:val="004A297D"/>
    <w:rsid w:val="004A3D63"/>
    <w:rsid w:val="004A42BE"/>
    <w:rsid w:val="004A46CF"/>
    <w:rsid w:val="004A6383"/>
    <w:rsid w:val="004A77D1"/>
    <w:rsid w:val="004A79A1"/>
    <w:rsid w:val="004B15DE"/>
    <w:rsid w:val="004B251F"/>
    <w:rsid w:val="004B2639"/>
    <w:rsid w:val="004B3ECC"/>
    <w:rsid w:val="004B4AF9"/>
    <w:rsid w:val="004B5398"/>
    <w:rsid w:val="004B5495"/>
    <w:rsid w:val="004B714B"/>
    <w:rsid w:val="004B7478"/>
    <w:rsid w:val="004C0E42"/>
    <w:rsid w:val="004C3EFC"/>
    <w:rsid w:val="004C41AD"/>
    <w:rsid w:val="004C5AB4"/>
    <w:rsid w:val="004C5B54"/>
    <w:rsid w:val="004C6F13"/>
    <w:rsid w:val="004D0D5B"/>
    <w:rsid w:val="004D16F3"/>
    <w:rsid w:val="004D2811"/>
    <w:rsid w:val="004D3271"/>
    <w:rsid w:val="004D3736"/>
    <w:rsid w:val="004D3C0A"/>
    <w:rsid w:val="004D3D63"/>
    <w:rsid w:val="004D57E6"/>
    <w:rsid w:val="004D6EE5"/>
    <w:rsid w:val="004D7829"/>
    <w:rsid w:val="004E0C5D"/>
    <w:rsid w:val="004E2670"/>
    <w:rsid w:val="004E2679"/>
    <w:rsid w:val="004E4121"/>
    <w:rsid w:val="004E42DC"/>
    <w:rsid w:val="004E4540"/>
    <w:rsid w:val="004E7667"/>
    <w:rsid w:val="004F2BFA"/>
    <w:rsid w:val="004F33A5"/>
    <w:rsid w:val="004F5009"/>
    <w:rsid w:val="004F5BF6"/>
    <w:rsid w:val="004F5D6B"/>
    <w:rsid w:val="004F68F1"/>
    <w:rsid w:val="004F74C6"/>
    <w:rsid w:val="004F77EE"/>
    <w:rsid w:val="005016F2"/>
    <w:rsid w:val="00501F5E"/>
    <w:rsid w:val="00502786"/>
    <w:rsid w:val="005027F0"/>
    <w:rsid w:val="005029EA"/>
    <w:rsid w:val="00503222"/>
    <w:rsid w:val="0050327B"/>
    <w:rsid w:val="00503929"/>
    <w:rsid w:val="00503FDE"/>
    <w:rsid w:val="005041AC"/>
    <w:rsid w:val="005053B8"/>
    <w:rsid w:val="00505F56"/>
    <w:rsid w:val="00506750"/>
    <w:rsid w:val="005074B7"/>
    <w:rsid w:val="00507A50"/>
    <w:rsid w:val="00507FE8"/>
    <w:rsid w:val="00511E88"/>
    <w:rsid w:val="00512DB7"/>
    <w:rsid w:val="00514CF6"/>
    <w:rsid w:val="00515226"/>
    <w:rsid w:val="00515A59"/>
    <w:rsid w:val="00515EFE"/>
    <w:rsid w:val="00516797"/>
    <w:rsid w:val="005179CC"/>
    <w:rsid w:val="00520167"/>
    <w:rsid w:val="00521290"/>
    <w:rsid w:val="005212CC"/>
    <w:rsid w:val="005234BC"/>
    <w:rsid w:val="00523722"/>
    <w:rsid w:val="00524E17"/>
    <w:rsid w:val="00525018"/>
    <w:rsid w:val="0052534D"/>
    <w:rsid w:val="0052559F"/>
    <w:rsid w:val="00525ADE"/>
    <w:rsid w:val="0052772D"/>
    <w:rsid w:val="00530AFD"/>
    <w:rsid w:val="00531354"/>
    <w:rsid w:val="00531709"/>
    <w:rsid w:val="00531EEB"/>
    <w:rsid w:val="0053306F"/>
    <w:rsid w:val="00533967"/>
    <w:rsid w:val="00533EBF"/>
    <w:rsid w:val="005341B6"/>
    <w:rsid w:val="00534311"/>
    <w:rsid w:val="00536DE7"/>
    <w:rsid w:val="00537907"/>
    <w:rsid w:val="00540713"/>
    <w:rsid w:val="00541482"/>
    <w:rsid w:val="00541FEC"/>
    <w:rsid w:val="00542E2C"/>
    <w:rsid w:val="005434D1"/>
    <w:rsid w:val="0054525A"/>
    <w:rsid w:val="005452E3"/>
    <w:rsid w:val="005455CC"/>
    <w:rsid w:val="005459A4"/>
    <w:rsid w:val="00545A3B"/>
    <w:rsid w:val="005467A9"/>
    <w:rsid w:val="005504FD"/>
    <w:rsid w:val="00551B7E"/>
    <w:rsid w:val="00553587"/>
    <w:rsid w:val="00555ADE"/>
    <w:rsid w:val="005561BC"/>
    <w:rsid w:val="00556780"/>
    <w:rsid w:val="00556AE0"/>
    <w:rsid w:val="00556EBD"/>
    <w:rsid w:val="00557473"/>
    <w:rsid w:val="00557FD0"/>
    <w:rsid w:val="00562260"/>
    <w:rsid w:val="005627A6"/>
    <w:rsid w:val="00563498"/>
    <w:rsid w:val="005638A1"/>
    <w:rsid w:val="00564040"/>
    <w:rsid w:val="0056430F"/>
    <w:rsid w:val="00564BB8"/>
    <w:rsid w:val="00566045"/>
    <w:rsid w:val="005678F9"/>
    <w:rsid w:val="00572815"/>
    <w:rsid w:val="00574A0D"/>
    <w:rsid w:val="00575235"/>
    <w:rsid w:val="0057654C"/>
    <w:rsid w:val="00577871"/>
    <w:rsid w:val="00577A0B"/>
    <w:rsid w:val="00577AA7"/>
    <w:rsid w:val="00580415"/>
    <w:rsid w:val="00580A7C"/>
    <w:rsid w:val="00580EE9"/>
    <w:rsid w:val="005812CC"/>
    <w:rsid w:val="0058210F"/>
    <w:rsid w:val="00583EE5"/>
    <w:rsid w:val="00583F74"/>
    <w:rsid w:val="005845F9"/>
    <w:rsid w:val="005856E0"/>
    <w:rsid w:val="00585E26"/>
    <w:rsid w:val="00586E7F"/>
    <w:rsid w:val="00587122"/>
    <w:rsid w:val="005872F8"/>
    <w:rsid w:val="00590E9A"/>
    <w:rsid w:val="00590FA5"/>
    <w:rsid w:val="0059275F"/>
    <w:rsid w:val="005930AA"/>
    <w:rsid w:val="00593441"/>
    <w:rsid w:val="005934FC"/>
    <w:rsid w:val="00593C4E"/>
    <w:rsid w:val="005945CD"/>
    <w:rsid w:val="00594683"/>
    <w:rsid w:val="00596B28"/>
    <w:rsid w:val="00597B04"/>
    <w:rsid w:val="005A00FD"/>
    <w:rsid w:val="005A07E6"/>
    <w:rsid w:val="005A0A80"/>
    <w:rsid w:val="005A1583"/>
    <w:rsid w:val="005A1F03"/>
    <w:rsid w:val="005A2DBF"/>
    <w:rsid w:val="005A32D2"/>
    <w:rsid w:val="005A3759"/>
    <w:rsid w:val="005A4BAE"/>
    <w:rsid w:val="005A4F3F"/>
    <w:rsid w:val="005A6A00"/>
    <w:rsid w:val="005A7159"/>
    <w:rsid w:val="005B1964"/>
    <w:rsid w:val="005B1E7A"/>
    <w:rsid w:val="005B1FF2"/>
    <w:rsid w:val="005B2DC0"/>
    <w:rsid w:val="005B3B8D"/>
    <w:rsid w:val="005B3D4F"/>
    <w:rsid w:val="005B4158"/>
    <w:rsid w:val="005B6C11"/>
    <w:rsid w:val="005B7710"/>
    <w:rsid w:val="005B7832"/>
    <w:rsid w:val="005B7965"/>
    <w:rsid w:val="005C1690"/>
    <w:rsid w:val="005C1FFC"/>
    <w:rsid w:val="005C251E"/>
    <w:rsid w:val="005C253B"/>
    <w:rsid w:val="005C2C0E"/>
    <w:rsid w:val="005C2E62"/>
    <w:rsid w:val="005C3E89"/>
    <w:rsid w:val="005C4A29"/>
    <w:rsid w:val="005C4FC7"/>
    <w:rsid w:val="005C568E"/>
    <w:rsid w:val="005C5BFA"/>
    <w:rsid w:val="005C6772"/>
    <w:rsid w:val="005C698A"/>
    <w:rsid w:val="005C6A6E"/>
    <w:rsid w:val="005C6BA5"/>
    <w:rsid w:val="005C6E1F"/>
    <w:rsid w:val="005C7F6B"/>
    <w:rsid w:val="005D2613"/>
    <w:rsid w:val="005D4077"/>
    <w:rsid w:val="005D427F"/>
    <w:rsid w:val="005D4EE3"/>
    <w:rsid w:val="005D55B0"/>
    <w:rsid w:val="005D570A"/>
    <w:rsid w:val="005D648E"/>
    <w:rsid w:val="005D79FD"/>
    <w:rsid w:val="005E1820"/>
    <w:rsid w:val="005E2208"/>
    <w:rsid w:val="005E28CB"/>
    <w:rsid w:val="005E3993"/>
    <w:rsid w:val="005E3C3E"/>
    <w:rsid w:val="005E3DB2"/>
    <w:rsid w:val="005E417E"/>
    <w:rsid w:val="005E5461"/>
    <w:rsid w:val="005E5841"/>
    <w:rsid w:val="005E5F6D"/>
    <w:rsid w:val="005E5FB5"/>
    <w:rsid w:val="005E6342"/>
    <w:rsid w:val="005E6375"/>
    <w:rsid w:val="005E6F78"/>
    <w:rsid w:val="005F0D25"/>
    <w:rsid w:val="005F0E7B"/>
    <w:rsid w:val="005F0FB4"/>
    <w:rsid w:val="005F1949"/>
    <w:rsid w:val="005F47C3"/>
    <w:rsid w:val="005F5601"/>
    <w:rsid w:val="005F5FCF"/>
    <w:rsid w:val="005F62B8"/>
    <w:rsid w:val="005F6D4D"/>
    <w:rsid w:val="005F7ADC"/>
    <w:rsid w:val="005F7BD0"/>
    <w:rsid w:val="006005BA"/>
    <w:rsid w:val="00600A6B"/>
    <w:rsid w:val="00600BB9"/>
    <w:rsid w:val="006013A5"/>
    <w:rsid w:val="006014AF"/>
    <w:rsid w:val="006021DE"/>
    <w:rsid w:val="00602CE3"/>
    <w:rsid w:val="00602D38"/>
    <w:rsid w:val="00603940"/>
    <w:rsid w:val="0060416D"/>
    <w:rsid w:val="00604374"/>
    <w:rsid w:val="0060513E"/>
    <w:rsid w:val="00605859"/>
    <w:rsid w:val="00607175"/>
    <w:rsid w:val="00607477"/>
    <w:rsid w:val="006075A0"/>
    <w:rsid w:val="00607CF7"/>
    <w:rsid w:val="00607D1E"/>
    <w:rsid w:val="00616050"/>
    <w:rsid w:val="006168EA"/>
    <w:rsid w:val="006169AA"/>
    <w:rsid w:val="00620223"/>
    <w:rsid w:val="0062025A"/>
    <w:rsid w:val="00620BD0"/>
    <w:rsid w:val="006213CC"/>
    <w:rsid w:val="00621B37"/>
    <w:rsid w:val="00623D55"/>
    <w:rsid w:val="00624010"/>
    <w:rsid w:val="0062459E"/>
    <w:rsid w:val="00624CD7"/>
    <w:rsid w:val="00626084"/>
    <w:rsid w:val="00626858"/>
    <w:rsid w:val="00627DF1"/>
    <w:rsid w:val="006301F8"/>
    <w:rsid w:val="00630DFB"/>
    <w:rsid w:val="00631230"/>
    <w:rsid w:val="00632F9E"/>
    <w:rsid w:val="00633016"/>
    <w:rsid w:val="00633942"/>
    <w:rsid w:val="00633BCE"/>
    <w:rsid w:val="00634ED9"/>
    <w:rsid w:val="006357B5"/>
    <w:rsid w:val="006363F6"/>
    <w:rsid w:val="006377E5"/>
    <w:rsid w:val="006408E0"/>
    <w:rsid w:val="00640B16"/>
    <w:rsid w:val="006412BE"/>
    <w:rsid w:val="00641CC2"/>
    <w:rsid w:val="006429DC"/>
    <w:rsid w:val="006439C5"/>
    <w:rsid w:val="00643F74"/>
    <w:rsid w:val="00644FC4"/>
    <w:rsid w:val="00645A6F"/>
    <w:rsid w:val="00645CCE"/>
    <w:rsid w:val="00645FEE"/>
    <w:rsid w:val="00646C05"/>
    <w:rsid w:val="006477A8"/>
    <w:rsid w:val="00650626"/>
    <w:rsid w:val="0065095F"/>
    <w:rsid w:val="00650963"/>
    <w:rsid w:val="006510D2"/>
    <w:rsid w:val="006518C1"/>
    <w:rsid w:val="00651F37"/>
    <w:rsid w:val="00652567"/>
    <w:rsid w:val="00652EF5"/>
    <w:rsid w:val="006550FE"/>
    <w:rsid w:val="006555CA"/>
    <w:rsid w:val="0065736C"/>
    <w:rsid w:val="00657C87"/>
    <w:rsid w:val="0066084A"/>
    <w:rsid w:val="00661DD7"/>
    <w:rsid w:val="006620C9"/>
    <w:rsid w:val="006621C3"/>
    <w:rsid w:val="006631E7"/>
    <w:rsid w:val="00663EA0"/>
    <w:rsid w:val="00664559"/>
    <w:rsid w:val="00666FC2"/>
    <w:rsid w:val="006703E3"/>
    <w:rsid w:val="006713C1"/>
    <w:rsid w:val="0067174D"/>
    <w:rsid w:val="006718D7"/>
    <w:rsid w:val="00671F37"/>
    <w:rsid w:val="0067308F"/>
    <w:rsid w:val="00673457"/>
    <w:rsid w:val="006736F3"/>
    <w:rsid w:val="00674040"/>
    <w:rsid w:val="0067568C"/>
    <w:rsid w:val="006763BE"/>
    <w:rsid w:val="006766AA"/>
    <w:rsid w:val="00676A49"/>
    <w:rsid w:val="00682731"/>
    <w:rsid w:val="00683B69"/>
    <w:rsid w:val="006852AE"/>
    <w:rsid w:val="0068647F"/>
    <w:rsid w:val="00686649"/>
    <w:rsid w:val="00687174"/>
    <w:rsid w:val="00690CBF"/>
    <w:rsid w:val="00690E8A"/>
    <w:rsid w:val="0069110E"/>
    <w:rsid w:val="00692505"/>
    <w:rsid w:val="00693331"/>
    <w:rsid w:val="006933C4"/>
    <w:rsid w:val="0069472C"/>
    <w:rsid w:val="0069576E"/>
    <w:rsid w:val="006959B9"/>
    <w:rsid w:val="0069682C"/>
    <w:rsid w:val="006A08D7"/>
    <w:rsid w:val="006A0B85"/>
    <w:rsid w:val="006A0F39"/>
    <w:rsid w:val="006A1E43"/>
    <w:rsid w:val="006A306E"/>
    <w:rsid w:val="006A39BD"/>
    <w:rsid w:val="006A4174"/>
    <w:rsid w:val="006A4838"/>
    <w:rsid w:val="006A5ACB"/>
    <w:rsid w:val="006A7169"/>
    <w:rsid w:val="006A7350"/>
    <w:rsid w:val="006A7697"/>
    <w:rsid w:val="006A7AB0"/>
    <w:rsid w:val="006B169D"/>
    <w:rsid w:val="006B18E2"/>
    <w:rsid w:val="006B2C24"/>
    <w:rsid w:val="006B4CFA"/>
    <w:rsid w:val="006B6562"/>
    <w:rsid w:val="006B664D"/>
    <w:rsid w:val="006B6E11"/>
    <w:rsid w:val="006C0A9D"/>
    <w:rsid w:val="006C0C1A"/>
    <w:rsid w:val="006C23E4"/>
    <w:rsid w:val="006C2DC0"/>
    <w:rsid w:val="006C3D36"/>
    <w:rsid w:val="006C5071"/>
    <w:rsid w:val="006C524C"/>
    <w:rsid w:val="006C75C7"/>
    <w:rsid w:val="006D0FE0"/>
    <w:rsid w:val="006D10FC"/>
    <w:rsid w:val="006D18EF"/>
    <w:rsid w:val="006D226B"/>
    <w:rsid w:val="006D2A6F"/>
    <w:rsid w:val="006D2C94"/>
    <w:rsid w:val="006D3599"/>
    <w:rsid w:val="006D42EA"/>
    <w:rsid w:val="006D469A"/>
    <w:rsid w:val="006D4B4A"/>
    <w:rsid w:val="006D752C"/>
    <w:rsid w:val="006D7903"/>
    <w:rsid w:val="006D794B"/>
    <w:rsid w:val="006E066F"/>
    <w:rsid w:val="006E0921"/>
    <w:rsid w:val="006E1074"/>
    <w:rsid w:val="006E1399"/>
    <w:rsid w:val="006E13F9"/>
    <w:rsid w:val="006E17ED"/>
    <w:rsid w:val="006E1E1A"/>
    <w:rsid w:val="006E1F59"/>
    <w:rsid w:val="006E2575"/>
    <w:rsid w:val="006E276B"/>
    <w:rsid w:val="006E35CE"/>
    <w:rsid w:val="006E4165"/>
    <w:rsid w:val="006E4C59"/>
    <w:rsid w:val="006E5CD1"/>
    <w:rsid w:val="006E6D9F"/>
    <w:rsid w:val="006E7213"/>
    <w:rsid w:val="006E752A"/>
    <w:rsid w:val="006E7638"/>
    <w:rsid w:val="006F06E5"/>
    <w:rsid w:val="006F0A9E"/>
    <w:rsid w:val="006F0F29"/>
    <w:rsid w:val="006F0FC9"/>
    <w:rsid w:val="006F213F"/>
    <w:rsid w:val="006F33B0"/>
    <w:rsid w:val="006F37EC"/>
    <w:rsid w:val="006F3886"/>
    <w:rsid w:val="006F4DD2"/>
    <w:rsid w:val="006F521A"/>
    <w:rsid w:val="006F60A0"/>
    <w:rsid w:val="006F6EB1"/>
    <w:rsid w:val="00701789"/>
    <w:rsid w:val="00701DFC"/>
    <w:rsid w:val="0070346A"/>
    <w:rsid w:val="0070495C"/>
    <w:rsid w:val="00704B33"/>
    <w:rsid w:val="0070589C"/>
    <w:rsid w:val="007064A2"/>
    <w:rsid w:val="007072C9"/>
    <w:rsid w:val="00707F66"/>
    <w:rsid w:val="007103DF"/>
    <w:rsid w:val="00710B36"/>
    <w:rsid w:val="00711E0E"/>
    <w:rsid w:val="007120C1"/>
    <w:rsid w:val="00713429"/>
    <w:rsid w:val="00713507"/>
    <w:rsid w:val="0071489D"/>
    <w:rsid w:val="0071557F"/>
    <w:rsid w:val="00715C88"/>
    <w:rsid w:val="00715FDD"/>
    <w:rsid w:val="007163B3"/>
    <w:rsid w:val="00716D0E"/>
    <w:rsid w:val="00716EAD"/>
    <w:rsid w:val="0071784A"/>
    <w:rsid w:val="0072049E"/>
    <w:rsid w:val="00720B6B"/>
    <w:rsid w:val="007214F3"/>
    <w:rsid w:val="00721866"/>
    <w:rsid w:val="00721CC2"/>
    <w:rsid w:val="00722795"/>
    <w:rsid w:val="00723091"/>
    <w:rsid w:val="0072403F"/>
    <w:rsid w:val="00724723"/>
    <w:rsid w:val="00724FA9"/>
    <w:rsid w:val="0072755A"/>
    <w:rsid w:val="0073164A"/>
    <w:rsid w:val="0073185D"/>
    <w:rsid w:val="00731881"/>
    <w:rsid w:val="007327D4"/>
    <w:rsid w:val="00733A0C"/>
    <w:rsid w:val="00733B90"/>
    <w:rsid w:val="00734539"/>
    <w:rsid w:val="0073481B"/>
    <w:rsid w:val="0073511A"/>
    <w:rsid w:val="007376E6"/>
    <w:rsid w:val="00737C9C"/>
    <w:rsid w:val="00737F60"/>
    <w:rsid w:val="00740FAB"/>
    <w:rsid w:val="00741D51"/>
    <w:rsid w:val="00742857"/>
    <w:rsid w:val="00743552"/>
    <w:rsid w:val="007460D3"/>
    <w:rsid w:val="00751225"/>
    <w:rsid w:val="0075183C"/>
    <w:rsid w:val="00752405"/>
    <w:rsid w:val="00753D8C"/>
    <w:rsid w:val="00756D07"/>
    <w:rsid w:val="00756E48"/>
    <w:rsid w:val="007603B6"/>
    <w:rsid w:val="00760903"/>
    <w:rsid w:val="0076159E"/>
    <w:rsid w:val="00763978"/>
    <w:rsid w:val="00763A08"/>
    <w:rsid w:val="00763D7B"/>
    <w:rsid w:val="00765101"/>
    <w:rsid w:val="007664CB"/>
    <w:rsid w:val="00767169"/>
    <w:rsid w:val="00767DCD"/>
    <w:rsid w:val="0077037D"/>
    <w:rsid w:val="007710BB"/>
    <w:rsid w:val="007712C9"/>
    <w:rsid w:val="00771F49"/>
    <w:rsid w:val="0077442C"/>
    <w:rsid w:val="00776AF0"/>
    <w:rsid w:val="00776CC4"/>
    <w:rsid w:val="00780ADE"/>
    <w:rsid w:val="00780E0B"/>
    <w:rsid w:val="00780F70"/>
    <w:rsid w:val="0078104B"/>
    <w:rsid w:val="00781B3A"/>
    <w:rsid w:val="00783382"/>
    <w:rsid w:val="007839AD"/>
    <w:rsid w:val="007855A1"/>
    <w:rsid w:val="00786ACF"/>
    <w:rsid w:val="00786F04"/>
    <w:rsid w:val="00790BFB"/>
    <w:rsid w:val="00791BED"/>
    <w:rsid w:val="0079209D"/>
    <w:rsid w:val="00792C97"/>
    <w:rsid w:val="007944C7"/>
    <w:rsid w:val="00794A4C"/>
    <w:rsid w:val="00795614"/>
    <w:rsid w:val="007976CD"/>
    <w:rsid w:val="00797803"/>
    <w:rsid w:val="00797E8D"/>
    <w:rsid w:val="00797E8F"/>
    <w:rsid w:val="00797F7E"/>
    <w:rsid w:val="007A0AFE"/>
    <w:rsid w:val="007A145D"/>
    <w:rsid w:val="007A16D4"/>
    <w:rsid w:val="007A1A28"/>
    <w:rsid w:val="007A2623"/>
    <w:rsid w:val="007A3001"/>
    <w:rsid w:val="007A6040"/>
    <w:rsid w:val="007A66F9"/>
    <w:rsid w:val="007A6AFB"/>
    <w:rsid w:val="007A78B9"/>
    <w:rsid w:val="007A7E0C"/>
    <w:rsid w:val="007B0078"/>
    <w:rsid w:val="007B0B12"/>
    <w:rsid w:val="007B2DF1"/>
    <w:rsid w:val="007B2F38"/>
    <w:rsid w:val="007B3EFB"/>
    <w:rsid w:val="007B48E2"/>
    <w:rsid w:val="007B59F9"/>
    <w:rsid w:val="007B68ED"/>
    <w:rsid w:val="007B7E45"/>
    <w:rsid w:val="007B7F79"/>
    <w:rsid w:val="007C07BB"/>
    <w:rsid w:val="007C0F4B"/>
    <w:rsid w:val="007C14A5"/>
    <w:rsid w:val="007C1835"/>
    <w:rsid w:val="007C2E57"/>
    <w:rsid w:val="007C40AF"/>
    <w:rsid w:val="007C4232"/>
    <w:rsid w:val="007C4582"/>
    <w:rsid w:val="007C46F7"/>
    <w:rsid w:val="007C4FC8"/>
    <w:rsid w:val="007C58F0"/>
    <w:rsid w:val="007C6272"/>
    <w:rsid w:val="007C7558"/>
    <w:rsid w:val="007C76F9"/>
    <w:rsid w:val="007D073F"/>
    <w:rsid w:val="007D10B6"/>
    <w:rsid w:val="007D1AFC"/>
    <w:rsid w:val="007D1D7B"/>
    <w:rsid w:val="007D3850"/>
    <w:rsid w:val="007D49C7"/>
    <w:rsid w:val="007D4A16"/>
    <w:rsid w:val="007D57AF"/>
    <w:rsid w:val="007D5AC2"/>
    <w:rsid w:val="007D645D"/>
    <w:rsid w:val="007D64FF"/>
    <w:rsid w:val="007D734B"/>
    <w:rsid w:val="007D7C04"/>
    <w:rsid w:val="007E1C65"/>
    <w:rsid w:val="007E1F77"/>
    <w:rsid w:val="007E2470"/>
    <w:rsid w:val="007E3574"/>
    <w:rsid w:val="007E3C0E"/>
    <w:rsid w:val="007E4B38"/>
    <w:rsid w:val="007E55C3"/>
    <w:rsid w:val="007E5DCD"/>
    <w:rsid w:val="007E664A"/>
    <w:rsid w:val="007E7B45"/>
    <w:rsid w:val="007E7EBC"/>
    <w:rsid w:val="007F0D3E"/>
    <w:rsid w:val="007F16B9"/>
    <w:rsid w:val="007F1E58"/>
    <w:rsid w:val="007F1EBE"/>
    <w:rsid w:val="007F1F60"/>
    <w:rsid w:val="007F307B"/>
    <w:rsid w:val="007F3B50"/>
    <w:rsid w:val="007F4F9F"/>
    <w:rsid w:val="007F5F3F"/>
    <w:rsid w:val="007F60E5"/>
    <w:rsid w:val="007F6396"/>
    <w:rsid w:val="008005CC"/>
    <w:rsid w:val="00801205"/>
    <w:rsid w:val="008015D0"/>
    <w:rsid w:val="0080197A"/>
    <w:rsid w:val="00801AA9"/>
    <w:rsid w:val="00802274"/>
    <w:rsid w:val="00802D04"/>
    <w:rsid w:val="00803483"/>
    <w:rsid w:val="0080400B"/>
    <w:rsid w:val="0080480A"/>
    <w:rsid w:val="00804FB8"/>
    <w:rsid w:val="00805508"/>
    <w:rsid w:val="0080588E"/>
    <w:rsid w:val="00806888"/>
    <w:rsid w:val="008069CC"/>
    <w:rsid w:val="00806BA3"/>
    <w:rsid w:val="00807D4A"/>
    <w:rsid w:val="00810946"/>
    <w:rsid w:val="00810C5C"/>
    <w:rsid w:val="00810DF0"/>
    <w:rsid w:val="008115E8"/>
    <w:rsid w:val="00811B44"/>
    <w:rsid w:val="008124A5"/>
    <w:rsid w:val="008126F8"/>
    <w:rsid w:val="008135BE"/>
    <w:rsid w:val="008144A6"/>
    <w:rsid w:val="00814E36"/>
    <w:rsid w:val="00815713"/>
    <w:rsid w:val="0081586A"/>
    <w:rsid w:val="00815BAD"/>
    <w:rsid w:val="0081733C"/>
    <w:rsid w:val="00817407"/>
    <w:rsid w:val="0082037D"/>
    <w:rsid w:val="00820B3E"/>
    <w:rsid w:val="00820F6B"/>
    <w:rsid w:val="00821136"/>
    <w:rsid w:val="0082154A"/>
    <w:rsid w:val="00822163"/>
    <w:rsid w:val="00822402"/>
    <w:rsid w:val="008239CC"/>
    <w:rsid w:val="00826F9E"/>
    <w:rsid w:val="00827A89"/>
    <w:rsid w:val="00827E7E"/>
    <w:rsid w:val="00830444"/>
    <w:rsid w:val="00830A67"/>
    <w:rsid w:val="00831B55"/>
    <w:rsid w:val="0083217E"/>
    <w:rsid w:val="008322FD"/>
    <w:rsid w:val="00832FA4"/>
    <w:rsid w:val="00833B86"/>
    <w:rsid w:val="008342EB"/>
    <w:rsid w:val="008345D9"/>
    <w:rsid w:val="008374A4"/>
    <w:rsid w:val="00837CAC"/>
    <w:rsid w:val="00837E63"/>
    <w:rsid w:val="00840125"/>
    <w:rsid w:val="00840C94"/>
    <w:rsid w:val="008419A9"/>
    <w:rsid w:val="00841D30"/>
    <w:rsid w:val="00842299"/>
    <w:rsid w:val="00842893"/>
    <w:rsid w:val="00843C5C"/>
    <w:rsid w:val="00845109"/>
    <w:rsid w:val="008453AB"/>
    <w:rsid w:val="00846947"/>
    <w:rsid w:val="00850C34"/>
    <w:rsid w:val="00852C13"/>
    <w:rsid w:val="00853A94"/>
    <w:rsid w:val="00854009"/>
    <w:rsid w:val="0085491E"/>
    <w:rsid w:val="00854E18"/>
    <w:rsid w:val="00854FF2"/>
    <w:rsid w:val="0085548B"/>
    <w:rsid w:val="008568B5"/>
    <w:rsid w:val="00857795"/>
    <w:rsid w:val="008605F2"/>
    <w:rsid w:val="00860929"/>
    <w:rsid w:val="00861041"/>
    <w:rsid w:val="008610F3"/>
    <w:rsid w:val="008611F5"/>
    <w:rsid w:val="008615A0"/>
    <w:rsid w:val="008615DA"/>
    <w:rsid w:val="00862A39"/>
    <w:rsid w:val="00862C2E"/>
    <w:rsid w:val="00863B5B"/>
    <w:rsid w:val="00863D25"/>
    <w:rsid w:val="00864087"/>
    <w:rsid w:val="00865DD9"/>
    <w:rsid w:val="00865E92"/>
    <w:rsid w:val="00866350"/>
    <w:rsid w:val="00866BBD"/>
    <w:rsid w:val="008672CD"/>
    <w:rsid w:val="00867E22"/>
    <w:rsid w:val="00870B53"/>
    <w:rsid w:val="0087247F"/>
    <w:rsid w:val="00873F23"/>
    <w:rsid w:val="00874718"/>
    <w:rsid w:val="00874CD9"/>
    <w:rsid w:val="008750DA"/>
    <w:rsid w:val="0087621F"/>
    <w:rsid w:val="00876BC9"/>
    <w:rsid w:val="00877336"/>
    <w:rsid w:val="00877D97"/>
    <w:rsid w:val="0088136E"/>
    <w:rsid w:val="00881D19"/>
    <w:rsid w:val="0088297B"/>
    <w:rsid w:val="00883E23"/>
    <w:rsid w:val="00886485"/>
    <w:rsid w:val="008876D5"/>
    <w:rsid w:val="00887EB0"/>
    <w:rsid w:val="008913F4"/>
    <w:rsid w:val="00891C8C"/>
    <w:rsid w:val="00892957"/>
    <w:rsid w:val="0089366B"/>
    <w:rsid w:val="00893B9F"/>
    <w:rsid w:val="00894AF5"/>
    <w:rsid w:val="00894CB1"/>
    <w:rsid w:val="00895574"/>
    <w:rsid w:val="008960E8"/>
    <w:rsid w:val="00896255"/>
    <w:rsid w:val="008962F8"/>
    <w:rsid w:val="008A02FB"/>
    <w:rsid w:val="008A041D"/>
    <w:rsid w:val="008A087B"/>
    <w:rsid w:val="008A18A1"/>
    <w:rsid w:val="008A213D"/>
    <w:rsid w:val="008A47E3"/>
    <w:rsid w:val="008A47FE"/>
    <w:rsid w:val="008A4A4D"/>
    <w:rsid w:val="008A5EF1"/>
    <w:rsid w:val="008A6DE5"/>
    <w:rsid w:val="008A6DFD"/>
    <w:rsid w:val="008A74A9"/>
    <w:rsid w:val="008B049D"/>
    <w:rsid w:val="008B076A"/>
    <w:rsid w:val="008B0808"/>
    <w:rsid w:val="008B20C8"/>
    <w:rsid w:val="008B33FF"/>
    <w:rsid w:val="008B3729"/>
    <w:rsid w:val="008B4ABB"/>
    <w:rsid w:val="008B5CCB"/>
    <w:rsid w:val="008B6CBB"/>
    <w:rsid w:val="008B6E1E"/>
    <w:rsid w:val="008C0BF5"/>
    <w:rsid w:val="008C1A94"/>
    <w:rsid w:val="008C246D"/>
    <w:rsid w:val="008C28F7"/>
    <w:rsid w:val="008C3AE5"/>
    <w:rsid w:val="008C40D4"/>
    <w:rsid w:val="008C4124"/>
    <w:rsid w:val="008C5161"/>
    <w:rsid w:val="008C5A0A"/>
    <w:rsid w:val="008C6338"/>
    <w:rsid w:val="008C679B"/>
    <w:rsid w:val="008C7DC5"/>
    <w:rsid w:val="008D00C3"/>
    <w:rsid w:val="008D0A71"/>
    <w:rsid w:val="008D0EAD"/>
    <w:rsid w:val="008D1759"/>
    <w:rsid w:val="008D1810"/>
    <w:rsid w:val="008D18AB"/>
    <w:rsid w:val="008D2031"/>
    <w:rsid w:val="008D34AC"/>
    <w:rsid w:val="008D416D"/>
    <w:rsid w:val="008D5727"/>
    <w:rsid w:val="008D6903"/>
    <w:rsid w:val="008D7161"/>
    <w:rsid w:val="008D76D1"/>
    <w:rsid w:val="008E4605"/>
    <w:rsid w:val="008E5943"/>
    <w:rsid w:val="008E5A03"/>
    <w:rsid w:val="008E6500"/>
    <w:rsid w:val="008E7642"/>
    <w:rsid w:val="008F1075"/>
    <w:rsid w:val="008F1836"/>
    <w:rsid w:val="008F1EEE"/>
    <w:rsid w:val="008F2056"/>
    <w:rsid w:val="008F2B73"/>
    <w:rsid w:val="008F2F60"/>
    <w:rsid w:val="008F4AFF"/>
    <w:rsid w:val="008F4F57"/>
    <w:rsid w:val="008F5426"/>
    <w:rsid w:val="008F6159"/>
    <w:rsid w:val="00901FEC"/>
    <w:rsid w:val="00903D63"/>
    <w:rsid w:val="00904794"/>
    <w:rsid w:val="00906E2C"/>
    <w:rsid w:val="00910375"/>
    <w:rsid w:val="009121E4"/>
    <w:rsid w:val="009127BD"/>
    <w:rsid w:val="00914666"/>
    <w:rsid w:val="0091605A"/>
    <w:rsid w:val="00916937"/>
    <w:rsid w:val="00917764"/>
    <w:rsid w:val="00917A99"/>
    <w:rsid w:val="00917E4E"/>
    <w:rsid w:val="00917F12"/>
    <w:rsid w:val="009203AE"/>
    <w:rsid w:val="009205ED"/>
    <w:rsid w:val="009207BC"/>
    <w:rsid w:val="0092120F"/>
    <w:rsid w:val="009218F1"/>
    <w:rsid w:val="009233FA"/>
    <w:rsid w:val="00923A55"/>
    <w:rsid w:val="0092452D"/>
    <w:rsid w:val="0092474B"/>
    <w:rsid w:val="00924D9D"/>
    <w:rsid w:val="00926B3E"/>
    <w:rsid w:val="00926DC2"/>
    <w:rsid w:val="0092785E"/>
    <w:rsid w:val="00927DA2"/>
    <w:rsid w:val="009307D0"/>
    <w:rsid w:val="00933F5A"/>
    <w:rsid w:val="00934019"/>
    <w:rsid w:val="00935909"/>
    <w:rsid w:val="00935C9C"/>
    <w:rsid w:val="00936157"/>
    <w:rsid w:val="0093685B"/>
    <w:rsid w:val="00936CEE"/>
    <w:rsid w:val="00940BBF"/>
    <w:rsid w:val="00941065"/>
    <w:rsid w:val="009412AB"/>
    <w:rsid w:val="00941839"/>
    <w:rsid w:val="00942819"/>
    <w:rsid w:val="00942B85"/>
    <w:rsid w:val="00942BF0"/>
    <w:rsid w:val="00943046"/>
    <w:rsid w:val="009439B2"/>
    <w:rsid w:val="00943D7F"/>
    <w:rsid w:val="00944638"/>
    <w:rsid w:val="00946549"/>
    <w:rsid w:val="0094677A"/>
    <w:rsid w:val="00946EE4"/>
    <w:rsid w:val="0094790B"/>
    <w:rsid w:val="00950047"/>
    <w:rsid w:val="00950D5E"/>
    <w:rsid w:val="00951797"/>
    <w:rsid w:val="00952013"/>
    <w:rsid w:val="00952514"/>
    <w:rsid w:val="009538D2"/>
    <w:rsid w:val="00954135"/>
    <w:rsid w:val="00954839"/>
    <w:rsid w:val="00955224"/>
    <w:rsid w:val="00955845"/>
    <w:rsid w:val="00955F46"/>
    <w:rsid w:val="00956F99"/>
    <w:rsid w:val="00960B63"/>
    <w:rsid w:val="009613CF"/>
    <w:rsid w:val="00961C87"/>
    <w:rsid w:val="00962C03"/>
    <w:rsid w:val="00963477"/>
    <w:rsid w:val="00965AD3"/>
    <w:rsid w:val="00965EDD"/>
    <w:rsid w:val="00966CB9"/>
    <w:rsid w:val="00966DFD"/>
    <w:rsid w:val="009700D8"/>
    <w:rsid w:val="00972431"/>
    <w:rsid w:val="00974173"/>
    <w:rsid w:val="00974D62"/>
    <w:rsid w:val="009756C1"/>
    <w:rsid w:val="00976DAB"/>
    <w:rsid w:val="00977A0E"/>
    <w:rsid w:val="00981415"/>
    <w:rsid w:val="00981D1A"/>
    <w:rsid w:val="00981FA0"/>
    <w:rsid w:val="0098281D"/>
    <w:rsid w:val="00982FB5"/>
    <w:rsid w:val="0098338B"/>
    <w:rsid w:val="009836A3"/>
    <w:rsid w:val="00983B9E"/>
    <w:rsid w:val="00983DF5"/>
    <w:rsid w:val="00984CA8"/>
    <w:rsid w:val="00985131"/>
    <w:rsid w:val="00987064"/>
    <w:rsid w:val="009875C6"/>
    <w:rsid w:val="009900FD"/>
    <w:rsid w:val="0099243B"/>
    <w:rsid w:val="00992A40"/>
    <w:rsid w:val="00993B65"/>
    <w:rsid w:val="00993DAE"/>
    <w:rsid w:val="00994528"/>
    <w:rsid w:val="00995DDA"/>
    <w:rsid w:val="00996859"/>
    <w:rsid w:val="00996BBF"/>
    <w:rsid w:val="00997570"/>
    <w:rsid w:val="00997618"/>
    <w:rsid w:val="00997EB5"/>
    <w:rsid w:val="009A004D"/>
    <w:rsid w:val="009A1538"/>
    <w:rsid w:val="009A1693"/>
    <w:rsid w:val="009A45D9"/>
    <w:rsid w:val="009A694B"/>
    <w:rsid w:val="009A6AE5"/>
    <w:rsid w:val="009B11B5"/>
    <w:rsid w:val="009B1EA4"/>
    <w:rsid w:val="009B260E"/>
    <w:rsid w:val="009B37B5"/>
    <w:rsid w:val="009B5247"/>
    <w:rsid w:val="009B67CB"/>
    <w:rsid w:val="009B6C40"/>
    <w:rsid w:val="009B7DCD"/>
    <w:rsid w:val="009B7EDF"/>
    <w:rsid w:val="009C1281"/>
    <w:rsid w:val="009C28B5"/>
    <w:rsid w:val="009C2E74"/>
    <w:rsid w:val="009C3ECE"/>
    <w:rsid w:val="009C406E"/>
    <w:rsid w:val="009C40D2"/>
    <w:rsid w:val="009C7395"/>
    <w:rsid w:val="009C7D89"/>
    <w:rsid w:val="009D1AF2"/>
    <w:rsid w:val="009D1E88"/>
    <w:rsid w:val="009D2E29"/>
    <w:rsid w:val="009D2EE0"/>
    <w:rsid w:val="009D50C7"/>
    <w:rsid w:val="009D6F0D"/>
    <w:rsid w:val="009E0342"/>
    <w:rsid w:val="009E176D"/>
    <w:rsid w:val="009E183C"/>
    <w:rsid w:val="009E31E3"/>
    <w:rsid w:val="009E3C22"/>
    <w:rsid w:val="009E750F"/>
    <w:rsid w:val="009E7873"/>
    <w:rsid w:val="009E7D66"/>
    <w:rsid w:val="009F005F"/>
    <w:rsid w:val="009F08F6"/>
    <w:rsid w:val="009F2FBA"/>
    <w:rsid w:val="009F3169"/>
    <w:rsid w:val="009F38FB"/>
    <w:rsid w:val="009F497F"/>
    <w:rsid w:val="009F6F0E"/>
    <w:rsid w:val="009F744D"/>
    <w:rsid w:val="00A01B04"/>
    <w:rsid w:val="00A020B9"/>
    <w:rsid w:val="00A02E0E"/>
    <w:rsid w:val="00A034B0"/>
    <w:rsid w:val="00A03A2C"/>
    <w:rsid w:val="00A03E44"/>
    <w:rsid w:val="00A0405B"/>
    <w:rsid w:val="00A0456D"/>
    <w:rsid w:val="00A04BD3"/>
    <w:rsid w:val="00A051C3"/>
    <w:rsid w:val="00A0540C"/>
    <w:rsid w:val="00A05D6F"/>
    <w:rsid w:val="00A060AF"/>
    <w:rsid w:val="00A061F0"/>
    <w:rsid w:val="00A0763F"/>
    <w:rsid w:val="00A07806"/>
    <w:rsid w:val="00A10BA3"/>
    <w:rsid w:val="00A11535"/>
    <w:rsid w:val="00A12C6D"/>
    <w:rsid w:val="00A12CC4"/>
    <w:rsid w:val="00A132F0"/>
    <w:rsid w:val="00A139FB"/>
    <w:rsid w:val="00A15A4E"/>
    <w:rsid w:val="00A162A1"/>
    <w:rsid w:val="00A1739A"/>
    <w:rsid w:val="00A20263"/>
    <w:rsid w:val="00A21313"/>
    <w:rsid w:val="00A22C0C"/>
    <w:rsid w:val="00A23AA6"/>
    <w:rsid w:val="00A24A6F"/>
    <w:rsid w:val="00A2502F"/>
    <w:rsid w:val="00A2585A"/>
    <w:rsid w:val="00A258D2"/>
    <w:rsid w:val="00A26E29"/>
    <w:rsid w:val="00A27C58"/>
    <w:rsid w:val="00A27D68"/>
    <w:rsid w:val="00A3002F"/>
    <w:rsid w:val="00A3148A"/>
    <w:rsid w:val="00A31E60"/>
    <w:rsid w:val="00A31F42"/>
    <w:rsid w:val="00A33089"/>
    <w:rsid w:val="00A33231"/>
    <w:rsid w:val="00A33550"/>
    <w:rsid w:val="00A33784"/>
    <w:rsid w:val="00A33BA9"/>
    <w:rsid w:val="00A3522A"/>
    <w:rsid w:val="00A3539F"/>
    <w:rsid w:val="00A358E4"/>
    <w:rsid w:val="00A35E40"/>
    <w:rsid w:val="00A4040A"/>
    <w:rsid w:val="00A41D96"/>
    <w:rsid w:val="00A423A9"/>
    <w:rsid w:val="00A425E9"/>
    <w:rsid w:val="00A427C0"/>
    <w:rsid w:val="00A428B1"/>
    <w:rsid w:val="00A4389D"/>
    <w:rsid w:val="00A4452F"/>
    <w:rsid w:val="00A47969"/>
    <w:rsid w:val="00A504D6"/>
    <w:rsid w:val="00A50753"/>
    <w:rsid w:val="00A51693"/>
    <w:rsid w:val="00A51A41"/>
    <w:rsid w:val="00A528FE"/>
    <w:rsid w:val="00A530F3"/>
    <w:rsid w:val="00A5328A"/>
    <w:rsid w:val="00A532B2"/>
    <w:rsid w:val="00A5395E"/>
    <w:rsid w:val="00A53A2B"/>
    <w:rsid w:val="00A54B88"/>
    <w:rsid w:val="00A555C7"/>
    <w:rsid w:val="00A5584A"/>
    <w:rsid w:val="00A559A5"/>
    <w:rsid w:val="00A55F92"/>
    <w:rsid w:val="00A577BB"/>
    <w:rsid w:val="00A57AB7"/>
    <w:rsid w:val="00A57AEA"/>
    <w:rsid w:val="00A60B72"/>
    <w:rsid w:val="00A60EFE"/>
    <w:rsid w:val="00A613CC"/>
    <w:rsid w:val="00A626EF"/>
    <w:rsid w:val="00A62DB5"/>
    <w:rsid w:val="00A65F79"/>
    <w:rsid w:val="00A661C8"/>
    <w:rsid w:val="00A663B6"/>
    <w:rsid w:val="00A679A1"/>
    <w:rsid w:val="00A702F1"/>
    <w:rsid w:val="00A70B35"/>
    <w:rsid w:val="00A7255A"/>
    <w:rsid w:val="00A74CBC"/>
    <w:rsid w:val="00A7523A"/>
    <w:rsid w:val="00A755BB"/>
    <w:rsid w:val="00A75723"/>
    <w:rsid w:val="00A76665"/>
    <w:rsid w:val="00A76F0F"/>
    <w:rsid w:val="00A80652"/>
    <w:rsid w:val="00A806FD"/>
    <w:rsid w:val="00A80A09"/>
    <w:rsid w:val="00A82997"/>
    <w:rsid w:val="00A83C1E"/>
    <w:rsid w:val="00A83E20"/>
    <w:rsid w:val="00A84109"/>
    <w:rsid w:val="00A84F10"/>
    <w:rsid w:val="00A84F35"/>
    <w:rsid w:val="00A850C3"/>
    <w:rsid w:val="00A85784"/>
    <w:rsid w:val="00A85B1E"/>
    <w:rsid w:val="00A87D24"/>
    <w:rsid w:val="00A87D82"/>
    <w:rsid w:val="00A87F4F"/>
    <w:rsid w:val="00A9121D"/>
    <w:rsid w:val="00A919C7"/>
    <w:rsid w:val="00A91D74"/>
    <w:rsid w:val="00A92E4D"/>
    <w:rsid w:val="00A93424"/>
    <w:rsid w:val="00A93A6A"/>
    <w:rsid w:val="00A93C3F"/>
    <w:rsid w:val="00A94292"/>
    <w:rsid w:val="00A95214"/>
    <w:rsid w:val="00A95C57"/>
    <w:rsid w:val="00A95FCD"/>
    <w:rsid w:val="00A9617B"/>
    <w:rsid w:val="00A96C1E"/>
    <w:rsid w:val="00AA08A6"/>
    <w:rsid w:val="00AA20B4"/>
    <w:rsid w:val="00AA23C0"/>
    <w:rsid w:val="00AA2F32"/>
    <w:rsid w:val="00AA3508"/>
    <w:rsid w:val="00AA4525"/>
    <w:rsid w:val="00AA4634"/>
    <w:rsid w:val="00AA5371"/>
    <w:rsid w:val="00AA5568"/>
    <w:rsid w:val="00AA6092"/>
    <w:rsid w:val="00AA6D28"/>
    <w:rsid w:val="00AA715C"/>
    <w:rsid w:val="00AA7AF0"/>
    <w:rsid w:val="00AB1AEB"/>
    <w:rsid w:val="00AB37BE"/>
    <w:rsid w:val="00AB4BCB"/>
    <w:rsid w:val="00AB4C7C"/>
    <w:rsid w:val="00AB5D65"/>
    <w:rsid w:val="00AB671B"/>
    <w:rsid w:val="00AB6795"/>
    <w:rsid w:val="00AB67E7"/>
    <w:rsid w:val="00AB69C3"/>
    <w:rsid w:val="00AB73F2"/>
    <w:rsid w:val="00AC0764"/>
    <w:rsid w:val="00AC18F1"/>
    <w:rsid w:val="00AC2EC6"/>
    <w:rsid w:val="00AC3015"/>
    <w:rsid w:val="00AC3D7E"/>
    <w:rsid w:val="00AC579D"/>
    <w:rsid w:val="00AD0E03"/>
    <w:rsid w:val="00AD0F9A"/>
    <w:rsid w:val="00AD15AB"/>
    <w:rsid w:val="00AD1F22"/>
    <w:rsid w:val="00AD20F5"/>
    <w:rsid w:val="00AD2C79"/>
    <w:rsid w:val="00AD2E29"/>
    <w:rsid w:val="00AD2EF7"/>
    <w:rsid w:val="00AD38C7"/>
    <w:rsid w:val="00AD49D6"/>
    <w:rsid w:val="00AD4B5C"/>
    <w:rsid w:val="00AD4E75"/>
    <w:rsid w:val="00AD5E79"/>
    <w:rsid w:val="00AD66C1"/>
    <w:rsid w:val="00AD67BC"/>
    <w:rsid w:val="00AD74CA"/>
    <w:rsid w:val="00AD7637"/>
    <w:rsid w:val="00AD78D7"/>
    <w:rsid w:val="00AE1B77"/>
    <w:rsid w:val="00AE1E2E"/>
    <w:rsid w:val="00AE4D4E"/>
    <w:rsid w:val="00AE517E"/>
    <w:rsid w:val="00AE659E"/>
    <w:rsid w:val="00AE7354"/>
    <w:rsid w:val="00AF0879"/>
    <w:rsid w:val="00AF134F"/>
    <w:rsid w:val="00AF189F"/>
    <w:rsid w:val="00AF343E"/>
    <w:rsid w:val="00AF377C"/>
    <w:rsid w:val="00AF44FD"/>
    <w:rsid w:val="00AF4B5C"/>
    <w:rsid w:val="00AF56EE"/>
    <w:rsid w:val="00AF5CFB"/>
    <w:rsid w:val="00AF5D10"/>
    <w:rsid w:val="00AF5F40"/>
    <w:rsid w:val="00AF6ADA"/>
    <w:rsid w:val="00AF71B4"/>
    <w:rsid w:val="00AF7223"/>
    <w:rsid w:val="00B011D2"/>
    <w:rsid w:val="00B01442"/>
    <w:rsid w:val="00B01D6F"/>
    <w:rsid w:val="00B02C50"/>
    <w:rsid w:val="00B03F45"/>
    <w:rsid w:val="00B04C30"/>
    <w:rsid w:val="00B051CD"/>
    <w:rsid w:val="00B05371"/>
    <w:rsid w:val="00B05596"/>
    <w:rsid w:val="00B055C8"/>
    <w:rsid w:val="00B06EC6"/>
    <w:rsid w:val="00B0727A"/>
    <w:rsid w:val="00B07312"/>
    <w:rsid w:val="00B10090"/>
    <w:rsid w:val="00B1021A"/>
    <w:rsid w:val="00B10576"/>
    <w:rsid w:val="00B127BF"/>
    <w:rsid w:val="00B14276"/>
    <w:rsid w:val="00B16973"/>
    <w:rsid w:val="00B16CEC"/>
    <w:rsid w:val="00B1772B"/>
    <w:rsid w:val="00B1777E"/>
    <w:rsid w:val="00B21E4F"/>
    <w:rsid w:val="00B21F69"/>
    <w:rsid w:val="00B22DAC"/>
    <w:rsid w:val="00B23FE4"/>
    <w:rsid w:val="00B24074"/>
    <w:rsid w:val="00B24B68"/>
    <w:rsid w:val="00B25C97"/>
    <w:rsid w:val="00B30972"/>
    <w:rsid w:val="00B31790"/>
    <w:rsid w:val="00B31C4B"/>
    <w:rsid w:val="00B324B8"/>
    <w:rsid w:val="00B33090"/>
    <w:rsid w:val="00B3393D"/>
    <w:rsid w:val="00B34069"/>
    <w:rsid w:val="00B3565B"/>
    <w:rsid w:val="00B35746"/>
    <w:rsid w:val="00B35E1B"/>
    <w:rsid w:val="00B36318"/>
    <w:rsid w:val="00B36E36"/>
    <w:rsid w:val="00B37229"/>
    <w:rsid w:val="00B37CE1"/>
    <w:rsid w:val="00B40478"/>
    <w:rsid w:val="00B4048D"/>
    <w:rsid w:val="00B40B62"/>
    <w:rsid w:val="00B414DA"/>
    <w:rsid w:val="00B41FED"/>
    <w:rsid w:val="00B425B1"/>
    <w:rsid w:val="00B4284A"/>
    <w:rsid w:val="00B444EC"/>
    <w:rsid w:val="00B44F83"/>
    <w:rsid w:val="00B45FB9"/>
    <w:rsid w:val="00B4692A"/>
    <w:rsid w:val="00B47B66"/>
    <w:rsid w:val="00B5078B"/>
    <w:rsid w:val="00B5129B"/>
    <w:rsid w:val="00B51C4C"/>
    <w:rsid w:val="00B52449"/>
    <w:rsid w:val="00B535A1"/>
    <w:rsid w:val="00B545BD"/>
    <w:rsid w:val="00B55D2C"/>
    <w:rsid w:val="00B56182"/>
    <w:rsid w:val="00B57204"/>
    <w:rsid w:val="00B5737F"/>
    <w:rsid w:val="00B57C5E"/>
    <w:rsid w:val="00B57EF7"/>
    <w:rsid w:val="00B57FBF"/>
    <w:rsid w:val="00B605A2"/>
    <w:rsid w:val="00B610B5"/>
    <w:rsid w:val="00B61AEC"/>
    <w:rsid w:val="00B627AF"/>
    <w:rsid w:val="00B62E3B"/>
    <w:rsid w:val="00B64453"/>
    <w:rsid w:val="00B6470B"/>
    <w:rsid w:val="00B65348"/>
    <w:rsid w:val="00B65EC0"/>
    <w:rsid w:val="00B65FF7"/>
    <w:rsid w:val="00B664CC"/>
    <w:rsid w:val="00B666FA"/>
    <w:rsid w:val="00B70167"/>
    <w:rsid w:val="00B70815"/>
    <w:rsid w:val="00B70D48"/>
    <w:rsid w:val="00B70DD6"/>
    <w:rsid w:val="00B72983"/>
    <w:rsid w:val="00B72A77"/>
    <w:rsid w:val="00B72A86"/>
    <w:rsid w:val="00B73D64"/>
    <w:rsid w:val="00B74359"/>
    <w:rsid w:val="00B745E1"/>
    <w:rsid w:val="00B756FE"/>
    <w:rsid w:val="00B75D95"/>
    <w:rsid w:val="00B7755E"/>
    <w:rsid w:val="00B7794A"/>
    <w:rsid w:val="00B80A9F"/>
    <w:rsid w:val="00B81873"/>
    <w:rsid w:val="00B82608"/>
    <w:rsid w:val="00B829B6"/>
    <w:rsid w:val="00B83C78"/>
    <w:rsid w:val="00B84CB9"/>
    <w:rsid w:val="00B85700"/>
    <w:rsid w:val="00B86900"/>
    <w:rsid w:val="00B86A9B"/>
    <w:rsid w:val="00B86FB0"/>
    <w:rsid w:val="00B87020"/>
    <w:rsid w:val="00B901D8"/>
    <w:rsid w:val="00B903BD"/>
    <w:rsid w:val="00B90808"/>
    <w:rsid w:val="00B90BA5"/>
    <w:rsid w:val="00B90C9E"/>
    <w:rsid w:val="00B91198"/>
    <w:rsid w:val="00B963ED"/>
    <w:rsid w:val="00B97A26"/>
    <w:rsid w:val="00BA0534"/>
    <w:rsid w:val="00BA077F"/>
    <w:rsid w:val="00BA0BDC"/>
    <w:rsid w:val="00BA1A99"/>
    <w:rsid w:val="00BA4464"/>
    <w:rsid w:val="00BA64FE"/>
    <w:rsid w:val="00BA64FF"/>
    <w:rsid w:val="00BA6D48"/>
    <w:rsid w:val="00BA77BD"/>
    <w:rsid w:val="00BB122F"/>
    <w:rsid w:val="00BB13AC"/>
    <w:rsid w:val="00BB1DEB"/>
    <w:rsid w:val="00BB1F8E"/>
    <w:rsid w:val="00BB2321"/>
    <w:rsid w:val="00BB2523"/>
    <w:rsid w:val="00BB2D8F"/>
    <w:rsid w:val="00BB2EA5"/>
    <w:rsid w:val="00BB3081"/>
    <w:rsid w:val="00BB321F"/>
    <w:rsid w:val="00BB5134"/>
    <w:rsid w:val="00BB6C30"/>
    <w:rsid w:val="00BB6F24"/>
    <w:rsid w:val="00BB714A"/>
    <w:rsid w:val="00BC05E7"/>
    <w:rsid w:val="00BC268B"/>
    <w:rsid w:val="00BC3574"/>
    <w:rsid w:val="00BC4132"/>
    <w:rsid w:val="00BC5837"/>
    <w:rsid w:val="00BC6594"/>
    <w:rsid w:val="00BC6FAC"/>
    <w:rsid w:val="00BD03D7"/>
    <w:rsid w:val="00BD06F1"/>
    <w:rsid w:val="00BD0BC5"/>
    <w:rsid w:val="00BD1898"/>
    <w:rsid w:val="00BD3118"/>
    <w:rsid w:val="00BD3374"/>
    <w:rsid w:val="00BD3465"/>
    <w:rsid w:val="00BD3654"/>
    <w:rsid w:val="00BD3C1F"/>
    <w:rsid w:val="00BD3E63"/>
    <w:rsid w:val="00BD41CE"/>
    <w:rsid w:val="00BD50ED"/>
    <w:rsid w:val="00BD5CAF"/>
    <w:rsid w:val="00BD5E2A"/>
    <w:rsid w:val="00BD5F53"/>
    <w:rsid w:val="00BD63F5"/>
    <w:rsid w:val="00BD6535"/>
    <w:rsid w:val="00BD710E"/>
    <w:rsid w:val="00BD7233"/>
    <w:rsid w:val="00BE0FE2"/>
    <w:rsid w:val="00BE1A27"/>
    <w:rsid w:val="00BE2FE7"/>
    <w:rsid w:val="00BE72AE"/>
    <w:rsid w:val="00BE73D9"/>
    <w:rsid w:val="00BF009C"/>
    <w:rsid w:val="00BF1EF4"/>
    <w:rsid w:val="00BF2CD6"/>
    <w:rsid w:val="00BF48E9"/>
    <w:rsid w:val="00BF5166"/>
    <w:rsid w:val="00BF5794"/>
    <w:rsid w:val="00BF70A4"/>
    <w:rsid w:val="00C0071D"/>
    <w:rsid w:val="00C01FEF"/>
    <w:rsid w:val="00C0209B"/>
    <w:rsid w:val="00C020A3"/>
    <w:rsid w:val="00C02AFE"/>
    <w:rsid w:val="00C03E9D"/>
    <w:rsid w:val="00C05A69"/>
    <w:rsid w:val="00C07AEF"/>
    <w:rsid w:val="00C10B8B"/>
    <w:rsid w:val="00C11031"/>
    <w:rsid w:val="00C11274"/>
    <w:rsid w:val="00C116BD"/>
    <w:rsid w:val="00C116DE"/>
    <w:rsid w:val="00C11939"/>
    <w:rsid w:val="00C11F3D"/>
    <w:rsid w:val="00C144F0"/>
    <w:rsid w:val="00C15614"/>
    <w:rsid w:val="00C16FC7"/>
    <w:rsid w:val="00C175D8"/>
    <w:rsid w:val="00C178CD"/>
    <w:rsid w:val="00C17D23"/>
    <w:rsid w:val="00C20BC1"/>
    <w:rsid w:val="00C20DC8"/>
    <w:rsid w:val="00C214D9"/>
    <w:rsid w:val="00C21E4B"/>
    <w:rsid w:val="00C22100"/>
    <w:rsid w:val="00C22DF6"/>
    <w:rsid w:val="00C237D1"/>
    <w:rsid w:val="00C2388A"/>
    <w:rsid w:val="00C23F2A"/>
    <w:rsid w:val="00C241BE"/>
    <w:rsid w:val="00C24ABA"/>
    <w:rsid w:val="00C25592"/>
    <w:rsid w:val="00C25BF0"/>
    <w:rsid w:val="00C26866"/>
    <w:rsid w:val="00C301B7"/>
    <w:rsid w:val="00C30441"/>
    <w:rsid w:val="00C31DD1"/>
    <w:rsid w:val="00C31F6E"/>
    <w:rsid w:val="00C32265"/>
    <w:rsid w:val="00C326CC"/>
    <w:rsid w:val="00C32B43"/>
    <w:rsid w:val="00C33834"/>
    <w:rsid w:val="00C3435C"/>
    <w:rsid w:val="00C3466E"/>
    <w:rsid w:val="00C34CBA"/>
    <w:rsid w:val="00C354B8"/>
    <w:rsid w:val="00C358C4"/>
    <w:rsid w:val="00C40D24"/>
    <w:rsid w:val="00C44AE7"/>
    <w:rsid w:val="00C44F6A"/>
    <w:rsid w:val="00C45672"/>
    <w:rsid w:val="00C456D6"/>
    <w:rsid w:val="00C45A6C"/>
    <w:rsid w:val="00C45B89"/>
    <w:rsid w:val="00C4770D"/>
    <w:rsid w:val="00C50032"/>
    <w:rsid w:val="00C50943"/>
    <w:rsid w:val="00C50B95"/>
    <w:rsid w:val="00C50FB7"/>
    <w:rsid w:val="00C51B73"/>
    <w:rsid w:val="00C52FE5"/>
    <w:rsid w:val="00C532C1"/>
    <w:rsid w:val="00C54CA5"/>
    <w:rsid w:val="00C55F6B"/>
    <w:rsid w:val="00C5640B"/>
    <w:rsid w:val="00C569B5"/>
    <w:rsid w:val="00C60779"/>
    <w:rsid w:val="00C61B93"/>
    <w:rsid w:val="00C6419E"/>
    <w:rsid w:val="00C642E6"/>
    <w:rsid w:val="00C64A45"/>
    <w:rsid w:val="00C65878"/>
    <w:rsid w:val="00C65E47"/>
    <w:rsid w:val="00C66903"/>
    <w:rsid w:val="00C66B52"/>
    <w:rsid w:val="00C67699"/>
    <w:rsid w:val="00C67BE1"/>
    <w:rsid w:val="00C67E0E"/>
    <w:rsid w:val="00C71932"/>
    <w:rsid w:val="00C71D29"/>
    <w:rsid w:val="00C73D98"/>
    <w:rsid w:val="00C74149"/>
    <w:rsid w:val="00C75020"/>
    <w:rsid w:val="00C75A64"/>
    <w:rsid w:val="00C764A2"/>
    <w:rsid w:val="00C77DBB"/>
    <w:rsid w:val="00C80C31"/>
    <w:rsid w:val="00C81139"/>
    <w:rsid w:val="00C81833"/>
    <w:rsid w:val="00C8318F"/>
    <w:rsid w:val="00C85150"/>
    <w:rsid w:val="00C8529F"/>
    <w:rsid w:val="00C858F1"/>
    <w:rsid w:val="00C8727A"/>
    <w:rsid w:val="00C8739C"/>
    <w:rsid w:val="00C8757D"/>
    <w:rsid w:val="00C87ABA"/>
    <w:rsid w:val="00C901AD"/>
    <w:rsid w:val="00C906A7"/>
    <w:rsid w:val="00C912D1"/>
    <w:rsid w:val="00C9289F"/>
    <w:rsid w:val="00C95798"/>
    <w:rsid w:val="00C95CDC"/>
    <w:rsid w:val="00C95E38"/>
    <w:rsid w:val="00C975C6"/>
    <w:rsid w:val="00C97788"/>
    <w:rsid w:val="00C977A1"/>
    <w:rsid w:val="00C979E0"/>
    <w:rsid w:val="00CA059A"/>
    <w:rsid w:val="00CA05E2"/>
    <w:rsid w:val="00CA0ED5"/>
    <w:rsid w:val="00CA215C"/>
    <w:rsid w:val="00CA2D7C"/>
    <w:rsid w:val="00CA41E4"/>
    <w:rsid w:val="00CA4485"/>
    <w:rsid w:val="00CA5BC2"/>
    <w:rsid w:val="00CA73BC"/>
    <w:rsid w:val="00CB14FE"/>
    <w:rsid w:val="00CB2C33"/>
    <w:rsid w:val="00CB3F45"/>
    <w:rsid w:val="00CB4DF2"/>
    <w:rsid w:val="00CB5E3C"/>
    <w:rsid w:val="00CB763C"/>
    <w:rsid w:val="00CC01FD"/>
    <w:rsid w:val="00CC0CE4"/>
    <w:rsid w:val="00CC0E0A"/>
    <w:rsid w:val="00CC0FB2"/>
    <w:rsid w:val="00CC1634"/>
    <w:rsid w:val="00CC2BA4"/>
    <w:rsid w:val="00CC33B5"/>
    <w:rsid w:val="00CC3B9C"/>
    <w:rsid w:val="00CC3F78"/>
    <w:rsid w:val="00CC424D"/>
    <w:rsid w:val="00CC51B8"/>
    <w:rsid w:val="00CC53F5"/>
    <w:rsid w:val="00CC5AE1"/>
    <w:rsid w:val="00CC5D17"/>
    <w:rsid w:val="00CC7D11"/>
    <w:rsid w:val="00CD0968"/>
    <w:rsid w:val="00CD130E"/>
    <w:rsid w:val="00CD1545"/>
    <w:rsid w:val="00CD2D9C"/>
    <w:rsid w:val="00CD316A"/>
    <w:rsid w:val="00CD3E61"/>
    <w:rsid w:val="00CD3FE8"/>
    <w:rsid w:val="00CD4C85"/>
    <w:rsid w:val="00CD541B"/>
    <w:rsid w:val="00CD5CBB"/>
    <w:rsid w:val="00CD66D4"/>
    <w:rsid w:val="00CD6BF3"/>
    <w:rsid w:val="00CD6C19"/>
    <w:rsid w:val="00CD7155"/>
    <w:rsid w:val="00CE0CA2"/>
    <w:rsid w:val="00CE1517"/>
    <w:rsid w:val="00CE1651"/>
    <w:rsid w:val="00CE2A8A"/>
    <w:rsid w:val="00CE3571"/>
    <w:rsid w:val="00CE42C1"/>
    <w:rsid w:val="00CE5104"/>
    <w:rsid w:val="00CE513A"/>
    <w:rsid w:val="00CE69C8"/>
    <w:rsid w:val="00CE6C64"/>
    <w:rsid w:val="00CE7044"/>
    <w:rsid w:val="00CE7C26"/>
    <w:rsid w:val="00CF0232"/>
    <w:rsid w:val="00CF070F"/>
    <w:rsid w:val="00CF1221"/>
    <w:rsid w:val="00CF1EB7"/>
    <w:rsid w:val="00CF2C8E"/>
    <w:rsid w:val="00CF4994"/>
    <w:rsid w:val="00CF54E5"/>
    <w:rsid w:val="00CF6C60"/>
    <w:rsid w:val="00CF709A"/>
    <w:rsid w:val="00CF76E8"/>
    <w:rsid w:val="00CF79BF"/>
    <w:rsid w:val="00D013E9"/>
    <w:rsid w:val="00D0154D"/>
    <w:rsid w:val="00D01B11"/>
    <w:rsid w:val="00D049D3"/>
    <w:rsid w:val="00D04DC5"/>
    <w:rsid w:val="00D04EEA"/>
    <w:rsid w:val="00D071A6"/>
    <w:rsid w:val="00D074E9"/>
    <w:rsid w:val="00D07AF4"/>
    <w:rsid w:val="00D10704"/>
    <w:rsid w:val="00D122C6"/>
    <w:rsid w:val="00D125FA"/>
    <w:rsid w:val="00D13C07"/>
    <w:rsid w:val="00D1426F"/>
    <w:rsid w:val="00D14A99"/>
    <w:rsid w:val="00D14AEC"/>
    <w:rsid w:val="00D151BF"/>
    <w:rsid w:val="00D1649C"/>
    <w:rsid w:val="00D17500"/>
    <w:rsid w:val="00D21789"/>
    <w:rsid w:val="00D217AB"/>
    <w:rsid w:val="00D21968"/>
    <w:rsid w:val="00D21BD5"/>
    <w:rsid w:val="00D2246B"/>
    <w:rsid w:val="00D24600"/>
    <w:rsid w:val="00D247CD"/>
    <w:rsid w:val="00D24B5E"/>
    <w:rsid w:val="00D24DF0"/>
    <w:rsid w:val="00D25A64"/>
    <w:rsid w:val="00D262C9"/>
    <w:rsid w:val="00D266CB"/>
    <w:rsid w:val="00D26C0A"/>
    <w:rsid w:val="00D275F0"/>
    <w:rsid w:val="00D2767E"/>
    <w:rsid w:val="00D30206"/>
    <w:rsid w:val="00D308AC"/>
    <w:rsid w:val="00D30C31"/>
    <w:rsid w:val="00D30EB2"/>
    <w:rsid w:val="00D324DB"/>
    <w:rsid w:val="00D342E4"/>
    <w:rsid w:val="00D35385"/>
    <w:rsid w:val="00D3596B"/>
    <w:rsid w:val="00D3643E"/>
    <w:rsid w:val="00D36748"/>
    <w:rsid w:val="00D36DB3"/>
    <w:rsid w:val="00D373E1"/>
    <w:rsid w:val="00D37D2B"/>
    <w:rsid w:val="00D4108F"/>
    <w:rsid w:val="00D41CF7"/>
    <w:rsid w:val="00D4205A"/>
    <w:rsid w:val="00D43170"/>
    <w:rsid w:val="00D4326C"/>
    <w:rsid w:val="00D4373A"/>
    <w:rsid w:val="00D438B8"/>
    <w:rsid w:val="00D455B6"/>
    <w:rsid w:val="00D47AF1"/>
    <w:rsid w:val="00D47AF8"/>
    <w:rsid w:val="00D47CAE"/>
    <w:rsid w:val="00D51DAF"/>
    <w:rsid w:val="00D52141"/>
    <w:rsid w:val="00D5439C"/>
    <w:rsid w:val="00D55315"/>
    <w:rsid w:val="00D558CD"/>
    <w:rsid w:val="00D56B32"/>
    <w:rsid w:val="00D60CEE"/>
    <w:rsid w:val="00D60E38"/>
    <w:rsid w:val="00D61690"/>
    <w:rsid w:val="00D618E8"/>
    <w:rsid w:val="00D61DF0"/>
    <w:rsid w:val="00D62276"/>
    <w:rsid w:val="00D642D3"/>
    <w:rsid w:val="00D64A4A"/>
    <w:rsid w:val="00D6530F"/>
    <w:rsid w:val="00D6556B"/>
    <w:rsid w:val="00D659E2"/>
    <w:rsid w:val="00D65CDA"/>
    <w:rsid w:val="00D65D92"/>
    <w:rsid w:val="00D666D9"/>
    <w:rsid w:val="00D66B4A"/>
    <w:rsid w:val="00D66F77"/>
    <w:rsid w:val="00D67067"/>
    <w:rsid w:val="00D700BA"/>
    <w:rsid w:val="00D7189F"/>
    <w:rsid w:val="00D71AE1"/>
    <w:rsid w:val="00D71DB6"/>
    <w:rsid w:val="00D72DC2"/>
    <w:rsid w:val="00D73F1A"/>
    <w:rsid w:val="00D7628F"/>
    <w:rsid w:val="00D7637A"/>
    <w:rsid w:val="00D76731"/>
    <w:rsid w:val="00D769A1"/>
    <w:rsid w:val="00D76AAA"/>
    <w:rsid w:val="00D770F0"/>
    <w:rsid w:val="00D774CA"/>
    <w:rsid w:val="00D77B34"/>
    <w:rsid w:val="00D77CB5"/>
    <w:rsid w:val="00D77E20"/>
    <w:rsid w:val="00D800F6"/>
    <w:rsid w:val="00D803F2"/>
    <w:rsid w:val="00D80535"/>
    <w:rsid w:val="00D807E8"/>
    <w:rsid w:val="00D81274"/>
    <w:rsid w:val="00D8135D"/>
    <w:rsid w:val="00D81F9B"/>
    <w:rsid w:val="00D82592"/>
    <w:rsid w:val="00D83234"/>
    <w:rsid w:val="00D845B5"/>
    <w:rsid w:val="00D84CD4"/>
    <w:rsid w:val="00D84D12"/>
    <w:rsid w:val="00D85A48"/>
    <w:rsid w:val="00D85B07"/>
    <w:rsid w:val="00D85E18"/>
    <w:rsid w:val="00D9006C"/>
    <w:rsid w:val="00D9071C"/>
    <w:rsid w:val="00D90E80"/>
    <w:rsid w:val="00D926C7"/>
    <w:rsid w:val="00D92E64"/>
    <w:rsid w:val="00D92FA9"/>
    <w:rsid w:val="00D9431A"/>
    <w:rsid w:val="00D94412"/>
    <w:rsid w:val="00D95348"/>
    <w:rsid w:val="00D95477"/>
    <w:rsid w:val="00D96475"/>
    <w:rsid w:val="00D974AC"/>
    <w:rsid w:val="00D97CF9"/>
    <w:rsid w:val="00DA1136"/>
    <w:rsid w:val="00DA19CD"/>
    <w:rsid w:val="00DA1CBA"/>
    <w:rsid w:val="00DA2192"/>
    <w:rsid w:val="00DA23A6"/>
    <w:rsid w:val="00DA23EF"/>
    <w:rsid w:val="00DA2794"/>
    <w:rsid w:val="00DA45A4"/>
    <w:rsid w:val="00DA52C0"/>
    <w:rsid w:val="00DA5F6A"/>
    <w:rsid w:val="00DA6115"/>
    <w:rsid w:val="00DA6305"/>
    <w:rsid w:val="00DA671F"/>
    <w:rsid w:val="00DA72AE"/>
    <w:rsid w:val="00DA7357"/>
    <w:rsid w:val="00DB01FB"/>
    <w:rsid w:val="00DB081C"/>
    <w:rsid w:val="00DB0B09"/>
    <w:rsid w:val="00DB0DFC"/>
    <w:rsid w:val="00DB190E"/>
    <w:rsid w:val="00DB1CEC"/>
    <w:rsid w:val="00DB29EF"/>
    <w:rsid w:val="00DB2DA0"/>
    <w:rsid w:val="00DB5CEA"/>
    <w:rsid w:val="00DB6B78"/>
    <w:rsid w:val="00DC0E9E"/>
    <w:rsid w:val="00DC112B"/>
    <w:rsid w:val="00DC1605"/>
    <w:rsid w:val="00DC180F"/>
    <w:rsid w:val="00DC1FE7"/>
    <w:rsid w:val="00DC2EF5"/>
    <w:rsid w:val="00DC3691"/>
    <w:rsid w:val="00DC46F1"/>
    <w:rsid w:val="00DC54F6"/>
    <w:rsid w:val="00DC6457"/>
    <w:rsid w:val="00DC67E1"/>
    <w:rsid w:val="00DC6CE0"/>
    <w:rsid w:val="00DC6DC1"/>
    <w:rsid w:val="00DC77C6"/>
    <w:rsid w:val="00DD0790"/>
    <w:rsid w:val="00DD0ACF"/>
    <w:rsid w:val="00DD0CE6"/>
    <w:rsid w:val="00DD1245"/>
    <w:rsid w:val="00DD2BED"/>
    <w:rsid w:val="00DD46B1"/>
    <w:rsid w:val="00DD5CC2"/>
    <w:rsid w:val="00DD6344"/>
    <w:rsid w:val="00DD6909"/>
    <w:rsid w:val="00DD758F"/>
    <w:rsid w:val="00DD7E9A"/>
    <w:rsid w:val="00DE0143"/>
    <w:rsid w:val="00DE036B"/>
    <w:rsid w:val="00DE0426"/>
    <w:rsid w:val="00DE1947"/>
    <w:rsid w:val="00DE1E8B"/>
    <w:rsid w:val="00DE20EA"/>
    <w:rsid w:val="00DE2B40"/>
    <w:rsid w:val="00DE38BB"/>
    <w:rsid w:val="00DE3D36"/>
    <w:rsid w:val="00DE52F6"/>
    <w:rsid w:val="00DE5DE8"/>
    <w:rsid w:val="00DE5FFC"/>
    <w:rsid w:val="00DE6268"/>
    <w:rsid w:val="00DF1CC8"/>
    <w:rsid w:val="00DF1DA7"/>
    <w:rsid w:val="00DF30D8"/>
    <w:rsid w:val="00DF33D5"/>
    <w:rsid w:val="00DF42D0"/>
    <w:rsid w:val="00DF6146"/>
    <w:rsid w:val="00DF6406"/>
    <w:rsid w:val="00DF6D62"/>
    <w:rsid w:val="00DF6F71"/>
    <w:rsid w:val="00E03398"/>
    <w:rsid w:val="00E037E9"/>
    <w:rsid w:val="00E05142"/>
    <w:rsid w:val="00E05A34"/>
    <w:rsid w:val="00E05E4D"/>
    <w:rsid w:val="00E0602D"/>
    <w:rsid w:val="00E078E7"/>
    <w:rsid w:val="00E10E99"/>
    <w:rsid w:val="00E11078"/>
    <w:rsid w:val="00E11133"/>
    <w:rsid w:val="00E11554"/>
    <w:rsid w:val="00E1203B"/>
    <w:rsid w:val="00E12D79"/>
    <w:rsid w:val="00E13A44"/>
    <w:rsid w:val="00E14980"/>
    <w:rsid w:val="00E1634E"/>
    <w:rsid w:val="00E1736B"/>
    <w:rsid w:val="00E17CFB"/>
    <w:rsid w:val="00E2157A"/>
    <w:rsid w:val="00E2201D"/>
    <w:rsid w:val="00E22FF9"/>
    <w:rsid w:val="00E2313A"/>
    <w:rsid w:val="00E242C5"/>
    <w:rsid w:val="00E246D8"/>
    <w:rsid w:val="00E2522C"/>
    <w:rsid w:val="00E2537D"/>
    <w:rsid w:val="00E253DC"/>
    <w:rsid w:val="00E25AA4"/>
    <w:rsid w:val="00E2676E"/>
    <w:rsid w:val="00E26822"/>
    <w:rsid w:val="00E27376"/>
    <w:rsid w:val="00E27602"/>
    <w:rsid w:val="00E27953"/>
    <w:rsid w:val="00E30916"/>
    <w:rsid w:val="00E30EFB"/>
    <w:rsid w:val="00E33A9D"/>
    <w:rsid w:val="00E344CE"/>
    <w:rsid w:val="00E357F1"/>
    <w:rsid w:val="00E36754"/>
    <w:rsid w:val="00E370CC"/>
    <w:rsid w:val="00E3725A"/>
    <w:rsid w:val="00E37463"/>
    <w:rsid w:val="00E40736"/>
    <w:rsid w:val="00E416B8"/>
    <w:rsid w:val="00E41850"/>
    <w:rsid w:val="00E4286F"/>
    <w:rsid w:val="00E42C80"/>
    <w:rsid w:val="00E42F93"/>
    <w:rsid w:val="00E4517E"/>
    <w:rsid w:val="00E45493"/>
    <w:rsid w:val="00E45969"/>
    <w:rsid w:val="00E469E0"/>
    <w:rsid w:val="00E47BB6"/>
    <w:rsid w:val="00E50169"/>
    <w:rsid w:val="00E50715"/>
    <w:rsid w:val="00E52083"/>
    <w:rsid w:val="00E53FDE"/>
    <w:rsid w:val="00E54ED6"/>
    <w:rsid w:val="00E54F68"/>
    <w:rsid w:val="00E55248"/>
    <w:rsid w:val="00E55ACE"/>
    <w:rsid w:val="00E55F2C"/>
    <w:rsid w:val="00E560DE"/>
    <w:rsid w:val="00E56845"/>
    <w:rsid w:val="00E57C27"/>
    <w:rsid w:val="00E57CFC"/>
    <w:rsid w:val="00E6089E"/>
    <w:rsid w:val="00E61D65"/>
    <w:rsid w:val="00E65554"/>
    <w:rsid w:val="00E65A0F"/>
    <w:rsid w:val="00E6640B"/>
    <w:rsid w:val="00E664E9"/>
    <w:rsid w:val="00E67056"/>
    <w:rsid w:val="00E67399"/>
    <w:rsid w:val="00E67C3D"/>
    <w:rsid w:val="00E67F82"/>
    <w:rsid w:val="00E710E7"/>
    <w:rsid w:val="00E71A83"/>
    <w:rsid w:val="00E72F7C"/>
    <w:rsid w:val="00E76C7C"/>
    <w:rsid w:val="00E778CD"/>
    <w:rsid w:val="00E779D3"/>
    <w:rsid w:val="00E779DD"/>
    <w:rsid w:val="00E77E88"/>
    <w:rsid w:val="00E802D2"/>
    <w:rsid w:val="00E808FF"/>
    <w:rsid w:val="00E80AEF"/>
    <w:rsid w:val="00E81944"/>
    <w:rsid w:val="00E81BBC"/>
    <w:rsid w:val="00E82604"/>
    <w:rsid w:val="00E82625"/>
    <w:rsid w:val="00E83035"/>
    <w:rsid w:val="00E8516D"/>
    <w:rsid w:val="00E85680"/>
    <w:rsid w:val="00E8694F"/>
    <w:rsid w:val="00E86C78"/>
    <w:rsid w:val="00E906EF"/>
    <w:rsid w:val="00E9305D"/>
    <w:rsid w:val="00E93DD2"/>
    <w:rsid w:val="00E94886"/>
    <w:rsid w:val="00E95240"/>
    <w:rsid w:val="00E95CE9"/>
    <w:rsid w:val="00E96FFA"/>
    <w:rsid w:val="00EA0276"/>
    <w:rsid w:val="00EA0876"/>
    <w:rsid w:val="00EA25D7"/>
    <w:rsid w:val="00EA4CF5"/>
    <w:rsid w:val="00EA687E"/>
    <w:rsid w:val="00EA714C"/>
    <w:rsid w:val="00EA7D5A"/>
    <w:rsid w:val="00EB10EF"/>
    <w:rsid w:val="00EB20C8"/>
    <w:rsid w:val="00EB25BF"/>
    <w:rsid w:val="00EB2D34"/>
    <w:rsid w:val="00EB34CB"/>
    <w:rsid w:val="00EB4C46"/>
    <w:rsid w:val="00EB5B49"/>
    <w:rsid w:val="00EB5E13"/>
    <w:rsid w:val="00EB60D9"/>
    <w:rsid w:val="00EB6B0E"/>
    <w:rsid w:val="00EB7890"/>
    <w:rsid w:val="00EB7DB1"/>
    <w:rsid w:val="00EC037F"/>
    <w:rsid w:val="00EC0A94"/>
    <w:rsid w:val="00EC0AB8"/>
    <w:rsid w:val="00EC21DA"/>
    <w:rsid w:val="00EC2657"/>
    <w:rsid w:val="00EC27A1"/>
    <w:rsid w:val="00EC2C1E"/>
    <w:rsid w:val="00EC33F2"/>
    <w:rsid w:val="00EC676B"/>
    <w:rsid w:val="00EC6F22"/>
    <w:rsid w:val="00EC71C3"/>
    <w:rsid w:val="00EC73E0"/>
    <w:rsid w:val="00EC756E"/>
    <w:rsid w:val="00EC7612"/>
    <w:rsid w:val="00ED0C30"/>
    <w:rsid w:val="00ED10F1"/>
    <w:rsid w:val="00ED15ED"/>
    <w:rsid w:val="00ED215D"/>
    <w:rsid w:val="00ED2286"/>
    <w:rsid w:val="00ED2293"/>
    <w:rsid w:val="00ED45B3"/>
    <w:rsid w:val="00ED4F47"/>
    <w:rsid w:val="00ED6A21"/>
    <w:rsid w:val="00ED6F39"/>
    <w:rsid w:val="00ED7721"/>
    <w:rsid w:val="00ED7EEB"/>
    <w:rsid w:val="00EE3571"/>
    <w:rsid w:val="00EE3C91"/>
    <w:rsid w:val="00EE6ABA"/>
    <w:rsid w:val="00EE7B22"/>
    <w:rsid w:val="00EE7EE1"/>
    <w:rsid w:val="00EF0597"/>
    <w:rsid w:val="00EF06CB"/>
    <w:rsid w:val="00EF1301"/>
    <w:rsid w:val="00EF215D"/>
    <w:rsid w:val="00EF36AA"/>
    <w:rsid w:val="00EF3EBB"/>
    <w:rsid w:val="00EF4FAE"/>
    <w:rsid w:val="00EF577A"/>
    <w:rsid w:val="00EF6679"/>
    <w:rsid w:val="00EF6CE5"/>
    <w:rsid w:val="00EF73EE"/>
    <w:rsid w:val="00EF7C5C"/>
    <w:rsid w:val="00EF7F70"/>
    <w:rsid w:val="00F00187"/>
    <w:rsid w:val="00F00864"/>
    <w:rsid w:val="00F0103F"/>
    <w:rsid w:val="00F0264B"/>
    <w:rsid w:val="00F02B2B"/>
    <w:rsid w:val="00F02D50"/>
    <w:rsid w:val="00F040A4"/>
    <w:rsid w:val="00F0417D"/>
    <w:rsid w:val="00F04610"/>
    <w:rsid w:val="00F04F14"/>
    <w:rsid w:val="00F05F62"/>
    <w:rsid w:val="00F064A9"/>
    <w:rsid w:val="00F06926"/>
    <w:rsid w:val="00F074B2"/>
    <w:rsid w:val="00F07E4C"/>
    <w:rsid w:val="00F1028F"/>
    <w:rsid w:val="00F114D4"/>
    <w:rsid w:val="00F118A3"/>
    <w:rsid w:val="00F134F0"/>
    <w:rsid w:val="00F13B85"/>
    <w:rsid w:val="00F14453"/>
    <w:rsid w:val="00F16373"/>
    <w:rsid w:val="00F16B8C"/>
    <w:rsid w:val="00F16F24"/>
    <w:rsid w:val="00F174CC"/>
    <w:rsid w:val="00F17C36"/>
    <w:rsid w:val="00F238A7"/>
    <w:rsid w:val="00F242F6"/>
    <w:rsid w:val="00F24C68"/>
    <w:rsid w:val="00F24D96"/>
    <w:rsid w:val="00F24DDF"/>
    <w:rsid w:val="00F26357"/>
    <w:rsid w:val="00F2685E"/>
    <w:rsid w:val="00F26AD3"/>
    <w:rsid w:val="00F27597"/>
    <w:rsid w:val="00F276B9"/>
    <w:rsid w:val="00F27A80"/>
    <w:rsid w:val="00F30185"/>
    <w:rsid w:val="00F30C2D"/>
    <w:rsid w:val="00F30EF8"/>
    <w:rsid w:val="00F315DF"/>
    <w:rsid w:val="00F31CE4"/>
    <w:rsid w:val="00F326A3"/>
    <w:rsid w:val="00F32DE0"/>
    <w:rsid w:val="00F33364"/>
    <w:rsid w:val="00F36C2E"/>
    <w:rsid w:val="00F36E83"/>
    <w:rsid w:val="00F3718B"/>
    <w:rsid w:val="00F3729F"/>
    <w:rsid w:val="00F37B04"/>
    <w:rsid w:val="00F40D98"/>
    <w:rsid w:val="00F43288"/>
    <w:rsid w:val="00F45069"/>
    <w:rsid w:val="00F463F2"/>
    <w:rsid w:val="00F51DA1"/>
    <w:rsid w:val="00F52087"/>
    <w:rsid w:val="00F528C1"/>
    <w:rsid w:val="00F532BC"/>
    <w:rsid w:val="00F544CA"/>
    <w:rsid w:val="00F54FDD"/>
    <w:rsid w:val="00F55EA2"/>
    <w:rsid w:val="00F56D22"/>
    <w:rsid w:val="00F6017B"/>
    <w:rsid w:val="00F61E60"/>
    <w:rsid w:val="00F6213D"/>
    <w:rsid w:val="00F6488E"/>
    <w:rsid w:val="00F65E26"/>
    <w:rsid w:val="00F6608B"/>
    <w:rsid w:val="00F67A36"/>
    <w:rsid w:val="00F67D89"/>
    <w:rsid w:val="00F70D4A"/>
    <w:rsid w:val="00F71654"/>
    <w:rsid w:val="00F72154"/>
    <w:rsid w:val="00F72B7C"/>
    <w:rsid w:val="00F73EC4"/>
    <w:rsid w:val="00F7518E"/>
    <w:rsid w:val="00F76822"/>
    <w:rsid w:val="00F76DE2"/>
    <w:rsid w:val="00F8144C"/>
    <w:rsid w:val="00F81593"/>
    <w:rsid w:val="00F81F48"/>
    <w:rsid w:val="00F83320"/>
    <w:rsid w:val="00F839D5"/>
    <w:rsid w:val="00F83C34"/>
    <w:rsid w:val="00F83C72"/>
    <w:rsid w:val="00F85342"/>
    <w:rsid w:val="00F865D1"/>
    <w:rsid w:val="00F868EA"/>
    <w:rsid w:val="00F877B3"/>
    <w:rsid w:val="00F87A48"/>
    <w:rsid w:val="00F87E2D"/>
    <w:rsid w:val="00F9051D"/>
    <w:rsid w:val="00F92DB5"/>
    <w:rsid w:val="00F94332"/>
    <w:rsid w:val="00F94485"/>
    <w:rsid w:val="00F9466E"/>
    <w:rsid w:val="00F94FE0"/>
    <w:rsid w:val="00F966E9"/>
    <w:rsid w:val="00F968D4"/>
    <w:rsid w:val="00F96B6E"/>
    <w:rsid w:val="00F97114"/>
    <w:rsid w:val="00FA0199"/>
    <w:rsid w:val="00FA01B8"/>
    <w:rsid w:val="00FA1602"/>
    <w:rsid w:val="00FA3513"/>
    <w:rsid w:val="00FA3B6E"/>
    <w:rsid w:val="00FA3C0A"/>
    <w:rsid w:val="00FA3C49"/>
    <w:rsid w:val="00FA45B3"/>
    <w:rsid w:val="00FA4617"/>
    <w:rsid w:val="00FA4A3C"/>
    <w:rsid w:val="00FA588B"/>
    <w:rsid w:val="00FA5925"/>
    <w:rsid w:val="00FA5B99"/>
    <w:rsid w:val="00FA62E1"/>
    <w:rsid w:val="00FA721C"/>
    <w:rsid w:val="00FA7560"/>
    <w:rsid w:val="00FA798E"/>
    <w:rsid w:val="00FA7B7E"/>
    <w:rsid w:val="00FA7F74"/>
    <w:rsid w:val="00FB2D50"/>
    <w:rsid w:val="00FB35D2"/>
    <w:rsid w:val="00FB4EBA"/>
    <w:rsid w:val="00FB60B7"/>
    <w:rsid w:val="00FB6E22"/>
    <w:rsid w:val="00FB7F6A"/>
    <w:rsid w:val="00FC0D89"/>
    <w:rsid w:val="00FC0EA8"/>
    <w:rsid w:val="00FC12D3"/>
    <w:rsid w:val="00FC1559"/>
    <w:rsid w:val="00FC2D93"/>
    <w:rsid w:val="00FC43BC"/>
    <w:rsid w:val="00FC4AF3"/>
    <w:rsid w:val="00FC4BEC"/>
    <w:rsid w:val="00FC592E"/>
    <w:rsid w:val="00FC6D08"/>
    <w:rsid w:val="00FC7340"/>
    <w:rsid w:val="00FC7CA9"/>
    <w:rsid w:val="00FC7EA5"/>
    <w:rsid w:val="00FD01A6"/>
    <w:rsid w:val="00FD0F61"/>
    <w:rsid w:val="00FD13E6"/>
    <w:rsid w:val="00FD1F18"/>
    <w:rsid w:val="00FD1FB0"/>
    <w:rsid w:val="00FD22FF"/>
    <w:rsid w:val="00FD3039"/>
    <w:rsid w:val="00FD33F9"/>
    <w:rsid w:val="00FD627E"/>
    <w:rsid w:val="00FD6936"/>
    <w:rsid w:val="00FD6B75"/>
    <w:rsid w:val="00FD77F9"/>
    <w:rsid w:val="00FD7A30"/>
    <w:rsid w:val="00FD7D24"/>
    <w:rsid w:val="00FE1000"/>
    <w:rsid w:val="00FE11DC"/>
    <w:rsid w:val="00FE13DB"/>
    <w:rsid w:val="00FE1693"/>
    <w:rsid w:val="00FE1F79"/>
    <w:rsid w:val="00FE294C"/>
    <w:rsid w:val="00FE2DBE"/>
    <w:rsid w:val="00FE2F72"/>
    <w:rsid w:val="00FE3256"/>
    <w:rsid w:val="00FE4602"/>
    <w:rsid w:val="00FE4A70"/>
    <w:rsid w:val="00FE4E28"/>
    <w:rsid w:val="00FE54D3"/>
    <w:rsid w:val="00FE5A17"/>
    <w:rsid w:val="00FE6F17"/>
    <w:rsid w:val="00FE797E"/>
    <w:rsid w:val="00FF118B"/>
    <w:rsid w:val="00FF22D3"/>
    <w:rsid w:val="00FF3CF4"/>
    <w:rsid w:val="00FF41F0"/>
    <w:rsid w:val="00FF4C02"/>
    <w:rsid w:val="00FF4CE4"/>
    <w:rsid w:val="00FF7A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DC419D"/>
  <w14:defaultImageDpi w14:val="96"/>
  <w15:docId w15:val="{C389FDCA-1213-4F1D-84B3-C8A91937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lang w:eastAsia="en-GB"/>
    </w:rPr>
  </w:style>
  <w:style w:type="paragraph" w:styleId="Heading1">
    <w:name w:val="heading 1"/>
    <w:basedOn w:val="Normal"/>
    <w:next w:val="Normal"/>
    <w:link w:val="Heading1Char"/>
    <w:uiPriority w:val="9"/>
    <w:qFormat/>
    <w:rsid w:val="001834A8"/>
    <w:pPr>
      <w:keepNext/>
      <w:keepLines/>
      <w:widowControl/>
      <w:numPr>
        <w:numId w:val="1"/>
      </w:numPr>
      <w:overflowPunct/>
      <w:autoSpaceDE/>
      <w:autoSpaceDN/>
      <w:adjustRightInd/>
      <w:spacing w:before="240"/>
      <w:ind w:left="360"/>
      <w:outlineLvl w:val="0"/>
    </w:pPr>
    <w:rPr>
      <w:rFonts w:ascii="Arial" w:eastAsia="DengXian Light" w:hAnsi="Arial"/>
      <w:color w:val="FF9900"/>
      <w:kern w:val="0"/>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834A8"/>
    <w:rPr>
      <w:rFonts w:ascii="Arial" w:eastAsia="DengXian Light" w:hAnsi="Arial" w:cs="Times New Roman"/>
      <w:color w:val="FF9900"/>
      <w:sz w:val="22"/>
      <w:szCs w:val="32"/>
      <w:lang w:eastAsia="en-US"/>
    </w:rPr>
  </w:style>
  <w:style w:type="paragraph" w:styleId="Header">
    <w:name w:val="header"/>
    <w:basedOn w:val="Normal"/>
    <w:link w:val="HeaderChar"/>
    <w:uiPriority w:val="99"/>
    <w:unhideWhenUsed/>
    <w:rsid w:val="000049D3"/>
    <w:pPr>
      <w:tabs>
        <w:tab w:val="center" w:pos="4513"/>
        <w:tab w:val="right" w:pos="9026"/>
      </w:tabs>
    </w:pPr>
  </w:style>
  <w:style w:type="character" w:customStyle="1" w:styleId="HeaderChar">
    <w:name w:val="Header Char"/>
    <w:basedOn w:val="DefaultParagraphFont"/>
    <w:link w:val="Header"/>
    <w:uiPriority w:val="99"/>
    <w:locked/>
    <w:rsid w:val="000049D3"/>
    <w:rPr>
      <w:rFonts w:ascii="Times New Roman" w:hAnsi="Times New Roman" w:cs="Times New Roman"/>
      <w:kern w:val="28"/>
      <w:sz w:val="20"/>
    </w:rPr>
  </w:style>
  <w:style w:type="paragraph" w:styleId="Footer">
    <w:name w:val="footer"/>
    <w:basedOn w:val="Normal"/>
    <w:link w:val="FooterChar"/>
    <w:uiPriority w:val="99"/>
    <w:unhideWhenUsed/>
    <w:rsid w:val="000049D3"/>
    <w:pPr>
      <w:tabs>
        <w:tab w:val="center" w:pos="4513"/>
        <w:tab w:val="right" w:pos="9026"/>
      </w:tabs>
    </w:pPr>
  </w:style>
  <w:style w:type="character" w:customStyle="1" w:styleId="FooterChar">
    <w:name w:val="Footer Char"/>
    <w:basedOn w:val="DefaultParagraphFont"/>
    <w:link w:val="Footer"/>
    <w:uiPriority w:val="99"/>
    <w:locked/>
    <w:rsid w:val="000049D3"/>
    <w:rPr>
      <w:rFonts w:ascii="Times New Roman" w:hAnsi="Times New Roman" w:cs="Times New Roman"/>
      <w:kern w:val="28"/>
      <w:sz w:val="20"/>
    </w:rPr>
  </w:style>
  <w:style w:type="paragraph" w:customStyle="1" w:styleId="ApolPersListEntry">
    <w:name w:val="ApolPersListEntry"/>
    <w:basedOn w:val="Normal"/>
    <w:rsid w:val="002559A5"/>
    <w:pPr>
      <w:widowControl/>
      <w:suppressAutoHyphens/>
      <w:overflowPunct/>
      <w:autoSpaceDE/>
      <w:autoSpaceDN/>
      <w:adjustRightInd/>
      <w:spacing w:after="120" w:line="100" w:lineRule="atLeast"/>
      <w:jc w:val="both"/>
    </w:pPr>
    <w:rPr>
      <w:rFonts w:cs="Calibri"/>
      <w:color w:val="000000"/>
      <w:kern w:val="1"/>
      <w:sz w:val="24"/>
      <w:szCs w:val="24"/>
      <w:lang w:eastAsia="hi-IN" w:bidi="hi-IN"/>
    </w:rPr>
  </w:style>
  <w:style w:type="character" w:styleId="Hyperlink">
    <w:name w:val="Hyperlink"/>
    <w:basedOn w:val="DefaultParagraphFont"/>
    <w:uiPriority w:val="99"/>
    <w:rsid w:val="001E6307"/>
    <w:rPr>
      <w:rFonts w:cs="Times New Roman"/>
      <w:u w:val="single"/>
    </w:rPr>
  </w:style>
  <w:style w:type="paragraph" w:customStyle="1" w:styleId="Body">
    <w:name w:val="Body"/>
    <w:rsid w:val="001E6307"/>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cs="Arial Unicode MS"/>
      <w:color w:val="000000"/>
      <w:sz w:val="24"/>
      <w:szCs w:val="24"/>
      <w:u w:color="000000"/>
      <w:lang w:val="en-US" w:eastAsia="en-GB"/>
    </w:rPr>
  </w:style>
  <w:style w:type="paragraph" w:styleId="ListParagraph">
    <w:name w:val="List Paragraph"/>
    <w:basedOn w:val="Normal"/>
    <w:link w:val="ListParagraphChar"/>
    <w:uiPriority w:val="34"/>
    <w:qFormat/>
    <w:rsid w:val="001E6307"/>
    <w:pPr>
      <w:widowControl/>
      <w:pBdr>
        <w:top w:val="none" w:sz="96" w:space="31" w:color="FFFFFF" w:frame="1"/>
        <w:left w:val="none" w:sz="96" w:space="31" w:color="FFFFFF" w:frame="1"/>
        <w:bottom w:val="none" w:sz="96" w:space="31" w:color="FFFFFF" w:frame="1"/>
        <w:right w:val="none" w:sz="96" w:space="31" w:color="FFFFFF" w:frame="1"/>
      </w:pBdr>
      <w:overflowPunct/>
      <w:autoSpaceDE/>
      <w:autoSpaceDN/>
      <w:adjustRightInd/>
      <w:ind w:left="720"/>
    </w:pPr>
    <w:rPr>
      <w:rFonts w:cs="Arial Unicode MS"/>
      <w:color w:val="000000"/>
      <w:kern w:val="0"/>
      <w:sz w:val="24"/>
      <w:szCs w:val="24"/>
      <w:u w:color="000000"/>
      <w:lang w:val="en-US"/>
    </w:rPr>
  </w:style>
  <w:style w:type="paragraph" w:styleId="PlainText">
    <w:name w:val="Plain Text"/>
    <w:basedOn w:val="Normal"/>
    <w:link w:val="PlainTextChar"/>
    <w:uiPriority w:val="99"/>
    <w:unhideWhenUsed/>
    <w:rsid w:val="001E6307"/>
    <w:pPr>
      <w:widowControl/>
      <w:overflowPunct/>
      <w:autoSpaceDE/>
      <w:autoSpaceDN/>
      <w:adjustRightInd/>
    </w:pPr>
    <w:rPr>
      <w:rFonts w:ascii="Calibri" w:hAnsi="Calibri" w:cs="Consolas"/>
      <w:kern w:val="0"/>
      <w:sz w:val="22"/>
      <w:szCs w:val="21"/>
      <w:lang w:eastAsia="en-US"/>
    </w:rPr>
  </w:style>
  <w:style w:type="character" w:customStyle="1" w:styleId="PlainTextChar">
    <w:name w:val="Plain Text Char"/>
    <w:basedOn w:val="DefaultParagraphFont"/>
    <w:link w:val="PlainText"/>
    <w:uiPriority w:val="99"/>
    <w:locked/>
    <w:rsid w:val="001E6307"/>
    <w:rPr>
      <w:rFonts w:eastAsia="Times New Roman" w:cs="Consolas"/>
      <w:sz w:val="21"/>
      <w:szCs w:val="21"/>
      <w:lang w:val="x-none" w:eastAsia="en-US"/>
    </w:rPr>
  </w:style>
  <w:style w:type="character" w:customStyle="1" w:styleId="ListParagraphChar">
    <w:name w:val="List Paragraph Char"/>
    <w:link w:val="ListParagraph"/>
    <w:uiPriority w:val="34"/>
    <w:locked/>
    <w:rsid w:val="001E6307"/>
    <w:rPr>
      <w:rFonts w:ascii="Times New Roman" w:hAnsi="Times New Roman"/>
      <w:color w:val="000000"/>
      <w:sz w:val="24"/>
      <w:u w:color="000000"/>
      <w:lang w:val="en-US" w:eastAsia="x-none"/>
    </w:rPr>
  </w:style>
  <w:style w:type="character" w:customStyle="1" w:styleId="fb-summary">
    <w:name w:val="fb-summary"/>
    <w:rsid w:val="001E6307"/>
  </w:style>
  <w:style w:type="paragraph" w:styleId="NoSpacing">
    <w:name w:val="No Spacing"/>
    <w:uiPriority w:val="1"/>
    <w:qFormat/>
    <w:rsid w:val="003C271A"/>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cs="Arial Unicode MS"/>
      <w:color w:val="000000"/>
      <w:sz w:val="24"/>
      <w:szCs w:val="24"/>
      <w:u w:color="000000"/>
      <w:lang w:val="en-US" w:eastAsia="en-GB"/>
    </w:rPr>
  </w:style>
  <w:style w:type="paragraph" w:customStyle="1" w:styleId="SectText2">
    <w:name w:val="SectText2"/>
    <w:basedOn w:val="Normal"/>
    <w:link w:val="SectText2Char"/>
    <w:rsid w:val="00AC3D7E"/>
    <w:pPr>
      <w:widowControl/>
      <w:overflowPunct/>
      <w:autoSpaceDE/>
      <w:autoSpaceDN/>
      <w:adjustRightInd/>
      <w:spacing w:after="120"/>
      <w:ind w:left="567"/>
      <w:jc w:val="both"/>
    </w:pPr>
    <w:rPr>
      <w:kern w:val="0"/>
      <w:sz w:val="22"/>
      <w:lang w:eastAsia="en-US"/>
    </w:rPr>
  </w:style>
  <w:style w:type="character" w:customStyle="1" w:styleId="SectText2Char">
    <w:name w:val="SectText2 Char"/>
    <w:link w:val="SectText2"/>
    <w:locked/>
    <w:rsid w:val="00AC3D7E"/>
    <w:rPr>
      <w:rFonts w:ascii="Times New Roman" w:hAnsi="Times New Roman"/>
      <w:sz w:val="22"/>
      <w:lang w:val="x-none" w:eastAsia="en-US"/>
    </w:rPr>
  </w:style>
  <w:style w:type="paragraph" w:customStyle="1" w:styleId="Body1">
    <w:name w:val="Body 1"/>
    <w:rsid w:val="00507FE8"/>
    <w:pPr>
      <w:pBdr>
        <w:top w:val="none" w:sz="96" w:space="31" w:color="FFFFFF" w:frame="1"/>
        <w:left w:val="none" w:sz="96" w:space="31" w:color="FFFFFF" w:frame="1"/>
        <w:bottom w:val="none" w:sz="96" w:space="31" w:color="FFFFFF" w:frame="1"/>
        <w:right w:val="none" w:sz="96" w:space="31" w:color="FFFFFF" w:frame="1"/>
      </w:pBdr>
      <w:spacing w:after="200" w:line="276" w:lineRule="auto"/>
      <w:outlineLvl w:val="0"/>
    </w:pPr>
    <w:rPr>
      <w:rFonts w:ascii="Helvetica" w:hAnsi="Helvetica" w:cs="Arial Unicode MS"/>
      <w:color w:val="000000"/>
      <w:sz w:val="22"/>
      <w:szCs w:val="22"/>
      <w:u w:color="000000"/>
      <w:lang w:val="en-US" w:eastAsia="en-GB"/>
    </w:rPr>
  </w:style>
  <w:style w:type="paragraph" w:styleId="BalloonText">
    <w:name w:val="Balloon Text"/>
    <w:basedOn w:val="Normal"/>
    <w:link w:val="BalloonTextChar"/>
    <w:uiPriority w:val="99"/>
    <w:rsid w:val="003B3822"/>
    <w:rPr>
      <w:rFonts w:ascii="Segoe UI" w:hAnsi="Segoe UI" w:cs="Segoe UI"/>
      <w:sz w:val="18"/>
      <w:szCs w:val="18"/>
    </w:rPr>
  </w:style>
  <w:style w:type="character" w:customStyle="1" w:styleId="BalloonTextChar">
    <w:name w:val="Balloon Text Char"/>
    <w:basedOn w:val="DefaultParagraphFont"/>
    <w:link w:val="BalloonText"/>
    <w:uiPriority w:val="99"/>
    <w:locked/>
    <w:rsid w:val="003B3822"/>
    <w:rPr>
      <w:rFonts w:ascii="Segoe UI" w:hAnsi="Segoe UI" w:cs="Segoe UI"/>
      <w:kern w:val="28"/>
      <w:sz w:val="18"/>
      <w:szCs w:val="18"/>
      <w:lang w:val="x-none" w:eastAsia="en-GB"/>
    </w:rPr>
  </w:style>
  <w:style w:type="paragraph" w:styleId="BodyText">
    <w:name w:val="Body Text"/>
    <w:basedOn w:val="Normal"/>
    <w:link w:val="BodyTextChar"/>
    <w:rsid w:val="00E2313A"/>
    <w:pPr>
      <w:widowControl/>
      <w:tabs>
        <w:tab w:val="left" w:pos="567"/>
        <w:tab w:val="left" w:pos="851"/>
        <w:tab w:val="left" w:pos="1134"/>
        <w:tab w:val="left" w:pos="1418"/>
        <w:tab w:val="left" w:pos="1701"/>
        <w:tab w:val="left" w:pos="1985"/>
      </w:tabs>
      <w:suppressAutoHyphens/>
      <w:overflowPunct/>
      <w:autoSpaceDE/>
      <w:autoSpaceDN/>
      <w:adjustRightInd/>
      <w:spacing w:after="120" w:line="100" w:lineRule="atLeast"/>
      <w:ind w:left="567" w:hanging="567"/>
      <w:jc w:val="both"/>
    </w:pPr>
    <w:rPr>
      <w:bCs/>
      <w:color w:val="000000"/>
      <w:kern w:val="1"/>
      <w:sz w:val="24"/>
      <w:szCs w:val="24"/>
      <w:lang w:eastAsia="hi-IN" w:bidi="hi-IN"/>
    </w:rPr>
  </w:style>
  <w:style w:type="character" w:customStyle="1" w:styleId="BodyTextChar">
    <w:name w:val="Body Text Char"/>
    <w:basedOn w:val="DefaultParagraphFont"/>
    <w:link w:val="BodyText"/>
    <w:rsid w:val="00E2313A"/>
    <w:rPr>
      <w:rFonts w:ascii="Times New Roman" w:hAnsi="Times New Roman" w:cs="Times New Roman"/>
      <w:bCs/>
      <w:color w:val="000000"/>
      <w:kern w:val="1"/>
      <w:sz w:val="24"/>
      <w:szCs w:val="24"/>
      <w:lang w:eastAsia="hi-IN" w:bidi="hi-IN"/>
    </w:rPr>
  </w:style>
  <w:style w:type="paragraph" w:styleId="NormalWeb">
    <w:name w:val="Normal (Web)"/>
    <w:basedOn w:val="Normal"/>
    <w:uiPriority w:val="99"/>
    <w:rsid w:val="002A26DD"/>
    <w:pPr>
      <w:widowControl/>
      <w:suppressAutoHyphens/>
      <w:overflowPunct/>
      <w:autoSpaceDE/>
      <w:autoSpaceDN/>
      <w:adjustRightInd/>
      <w:spacing w:before="28" w:after="28"/>
    </w:pPr>
    <w:rPr>
      <w:rFonts w:ascii="Arial" w:hAnsi="Arial" w:cs="Arial Unicode MS"/>
      <w:color w:val="000000"/>
      <w:kern w:val="1"/>
      <w:sz w:val="34"/>
      <w:szCs w:val="34"/>
      <w:lang w:eastAsia="hi-IN" w:bidi="hi-IN"/>
    </w:rPr>
  </w:style>
  <w:style w:type="paragraph" w:customStyle="1" w:styleId="body0">
    <w:name w:val="body"/>
    <w:basedOn w:val="Normal"/>
    <w:rsid w:val="002A26DD"/>
    <w:pPr>
      <w:widowControl/>
      <w:overflowPunct/>
      <w:autoSpaceDE/>
      <w:autoSpaceDN/>
      <w:adjustRightInd/>
    </w:pPr>
    <w:rPr>
      <w:rFonts w:eastAsiaTheme="minorHAnsi"/>
      <w:color w:val="000000"/>
      <w:kern w:val="0"/>
      <w:sz w:val="24"/>
      <w:szCs w:val="24"/>
    </w:rPr>
  </w:style>
  <w:style w:type="character" w:styleId="CommentReference">
    <w:name w:val="annotation reference"/>
    <w:basedOn w:val="DefaultParagraphFont"/>
    <w:uiPriority w:val="99"/>
    <w:rsid w:val="001A74CF"/>
    <w:rPr>
      <w:sz w:val="16"/>
      <w:szCs w:val="16"/>
    </w:rPr>
  </w:style>
  <w:style w:type="paragraph" w:styleId="CommentText">
    <w:name w:val="annotation text"/>
    <w:basedOn w:val="Normal"/>
    <w:link w:val="CommentTextChar"/>
    <w:uiPriority w:val="99"/>
    <w:rsid w:val="001A74CF"/>
  </w:style>
  <w:style w:type="character" w:customStyle="1" w:styleId="CommentTextChar">
    <w:name w:val="Comment Text Char"/>
    <w:basedOn w:val="DefaultParagraphFont"/>
    <w:link w:val="CommentText"/>
    <w:uiPriority w:val="99"/>
    <w:rsid w:val="001A74CF"/>
    <w:rPr>
      <w:rFonts w:ascii="Times New Roman" w:hAnsi="Times New Roman" w:cs="Times New Roman"/>
      <w:kern w:val="28"/>
      <w:lang w:eastAsia="en-GB"/>
    </w:rPr>
  </w:style>
  <w:style w:type="paragraph" w:styleId="CommentSubject">
    <w:name w:val="annotation subject"/>
    <w:basedOn w:val="CommentText"/>
    <w:next w:val="CommentText"/>
    <w:link w:val="CommentSubjectChar"/>
    <w:uiPriority w:val="99"/>
    <w:rsid w:val="001A74CF"/>
    <w:rPr>
      <w:b/>
      <w:bCs/>
    </w:rPr>
  </w:style>
  <w:style w:type="character" w:customStyle="1" w:styleId="CommentSubjectChar">
    <w:name w:val="Comment Subject Char"/>
    <w:basedOn w:val="CommentTextChar"/>
    <w:link w:val="CommentSubject"/>
    <w:uiPriority w:val="99"/>
    <w:rsid w:val="001A74CF"/>
    <w:rPr>
      <w:rFonts w:ascii="Times New Roman" w:hAnsi="Times New Roman" w:cs="Times New Roman"/>
      <w:b/>
      <w:bCs/>
      <w:kern w:val="28"/>
      <w:lang w:eastAsia="en-GB"/>
    </w:rPr>
  </w:style>
  <w:style w:type="paragraph" w:styleId="Revision">
    <w:name w:val="Revision"/>
    <w:hidden/>
    <w:uiPriority w:val="99"/>
    <w:semiHidden/>
    <w:rsid w:val="001A74CF"/>
    <w:rPr>
      <w:rFonts w:ascii="Times New Roman" w:hAnsi="Times New Roman" w:cs="Times New Roman"/>
      <w:kern w:val="28"/>
      <w:lang w:eastAsia="en-GB"/>
    </w:rPr>
  </w:style>
  <w:style w:type="paragraph" w:styleId="FootnoteText">
    <w:name w:val="footnote text"/>
    <w:basedOn w:val="Normal"/>
    <w:link w:val="FootnoteTextChar"/>
    <w:uiPriority w:val="99"/>
    <w:unhideWhenUsed/>
    <w:rsid w:val="003F29F0"/>
    <w:pPr>
      <w:widowControl/>
      <w:overflowPunct/>
      <w:autoSpaceDE/>
      <w:autoSpaceDN/>
      <w:adjustRightInd/>
    </w:pPr>
    <w:rPr>
      <w:rFonts w:asciiTheme="minorHAnsi" w:eastAsiaTheme="minorEastAsia" w:hAnsiTheme="minorHAnsi" w:cstheme="minorBidi"/>
      <w:kern w:val="0"/>
      <w:lang w:eastAsia="zh-CN"/>
    </w:rPr>
  </w:style>
  <w:style w:type="character" w:customStyle="1" w:styleId="FootnoteTextChar">
    <w:name w:val="Footnote Text Char"/>
    <w:basedOn w:val="DefaultParagraphFont"/>
    <w:link w:val="FootnoteText"/>
    <w:uiPriority w:val="99"/>
    <w:rsid w:val="003F29F0"/>
    <w:rPr>
      <w:rFonts w:asciiTheme="minorHAnsi" w:eastAsiaTheme="minorEastAsia" w:hAnsiTheme="minorHAnsi" w:cstheme="minorBidi"/>
    </w:rPr>
  </w:style>
  <w:style w:type="character" w:styleId="FootnoteReference">
    <w:name w:val="footnote reference"/>
    <w:basedOn w:val="DefaultParagraphFont"/>
    <w:uiPriority w:val="99"/>
    <w:unhideWhenUsed/>
    <w:rsid w:val="003F29F0"/>
    <w:rPr>
      <w:vertAlign w:val="superscript"/>
    </w:rPr>
  </w:style>
  <w:style w:type="paragraph" w:customStyle="1" w:styleId="ItemText1">
    <w:name w:val="ItemText1"/>
    <w:basedOn w:val="Normal"/>
    <w:uiPriority w:val="99"/>
    <w:rsid w:val="00122B23"/>
    <w:pPr>
      <w:widowControl/>
      <w:suppressAutoHyphens/>
      <w:overflowPunct/>
      <w:autoSpaceDE/>
      <w:autoSpaceDN/>
      <w:adjustRightInd/>
      <w:spacing w:after="120" w:line="100" w:lineRule="atLeast"/>
      <w:ind w:left="567"/>
      <w:jc w:val="both"/>
    </w:pPr>
    <w:rPr>
      <w:color w:val="000000"/>
      <w:kern w:val="1"/>
      <w:sz w:val="24"/>
      <w:szCs w:val="24"/>
      <w:lang w:eastAsia="hi-IN" w:bidi="hi-IN"/>
    </w:rPr>
  </w:style>
  <w:style w:type="paragraph" w:customStyle="1" w:styleId="Default">
    <w:name w:val="Default"/>
    <w:rsid w:val="00B666FA"/>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858D3"/>
    <w:rPr>
      <w:color w:val="605E5C"/>
      <w:shd w:val="clear" w:color="auto" w:fill="E1DFDD"/>
    </w:rPr>
  </w:style>
  <w:style w:type="paragraph" w:customStyle="1" w:styleId="SectText1">
    <w:name w:val="SectText1"/>
    <w:basedOn w:val="Normal"/>
    <w:rsid w:val="005A1583"/>
    <w:pPr>
      <w:widowControl/>
      <w:overflowPunct/>
      <w:autoSpaceDE/>
      <w:autoSpaceDN/>
      <w:adjustRightInd/>
      <w:spacing w:after="120"/>
      <w:ind w:left="567"/>
      <w:jc w:val="both"/>
    </w:pPr>
    <w:rPr>
      <w:rFonts w:eastAsiaTheme="minorEastAsia"/>
      <w:kern w:val="0"/>
      <w:sz w:val="22"/>
      <w:szCs w:val="22"/>
      <w:lang w:eastAsia="en-US"/>
    </w:rPr>
  </w:style>
  <w:style w:type="paragraph" w:customStyle="1" w:styleId="BullList">
    <w:name w:val="BullList"/>
    <w:basedOn w:val="Normal"/>
    <w:rsid w:val="00083B72"/>
    <w:pPr>
      <w:widowControl/>
      <w:numPr>
        <w:numId w:val="2"/>
      </w:numPr>
      <w:tabs>
        <w:tab w:val="left" w:pos="924"/>
      </w:tabs>
      <w:overflowPunct/>
      <w:autoSpaceDE/>
      <w:autoSpaceDN/>
      <w:adjustRightInd/>
      <w:spacing w:after="120"/>
      <w:ind w:left="924" w:hanging="357"/>
      <w:jc w:val="both"/>
    </w:pPr>
    <w:rPr>
      <w:kern w:val="0"/>
      <w:sz w:val="22"/>
      <w:lang w:eastAsia="en-US"/>
    </w:rPr>
  </w:style>
  <w:style w:type="paragraph" w:customStyle="1" w:styleId="xmsonormal">
    <w:name w:val="xmsonormal"/>
    <w:basedOn w:val="Normal"/>
    <w:rsid w:val="00C11939"/>
    <w:pPr>
      <w:widowControl/>
      <w:overflowPunct/>
      <w:autoSpaceDE/>
      <w:autoSpaceDN/>
      <w:adjustRightInd/>
    </w:pPr>
    <w:rPr>
      <w:rFonts w:ascii="Calibri" w:eastAsiaTheme="minorEastAsia" w:hAnsi="Calibri" w:cs="Calibri"/>
      <w:kern w:val="0"/>
      <w:sz w:val="22"/>
      <w:szCs w:val="22"/>
      <w:lang w:eastAsia="zh-CN"/>
    </w:rPr>
  </w:style>
  <w:style w:type="paragraph" w:customStyle="1" w:styleId="MetaPublishDate">
    <w:name w:val="MetaPublishDate"/>
    <w:basedOn w:val="Normal"/>
    <w:next w:val="Normal"/>
    <w:uiPriority w:val="99"/>
    <w:rsid w:val="00715C88"/>
    <w:pPr>
      <w:keepNext/>
      <w:widowControl/>
      <w:overflowPunct/>
      <w:autoSpaceDE/>
      <w:autoSpaceDN/>
      <w:adjustRightInd/>
      <w:spacing w:after="240"/>
      <w:jc w:val="center"/>
    </w:pPr>
    <w:rPr>
      <w:b/>
      <w:kern w:val="0"/>
      <w:sz w:val="22"/>
      <w:lang w:eastAsia="en-US"/>
    </w:rPr>
  </w:style>
  <w:style w:type="character" w:customStyle="1" w:styleId="normaltextrun">
    <w:name w:val="normaltextrun"/>
    <w:basedOn w:val="DefaultParagraphFont"/>
    <w:rsid w:val="00704B33"/>
  </w:style>
  <w:style w:type="paragraph" w:customStyle="1" w:styleId="paragraph">
    <w:name w:val="paragraph"/>
    <w:rsid w:val="00011FAC"/>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en-US"/>
    </w:rPr>
  </w:style>
  <w:style w:type="numbering" w:customStyle="1" w:styleId="ImportedStyle1">
    <w:name w:val="Imported Style 1"/>
    <w:rsid w:val="00011FAC"/>
    <w:pPr>
      <w:numPr>
        <w:numId w:val="3"/>
      </w:numPr>
    </w:pPr>
  </w:style>
  <w:style w:type="character" w:customStyle="1" w:styleId="cf01">
    <w:name w:val="cf01"/>
    <w:basedOn w:val="DefaultParagraphFont"/>
    <w:rsid w:val="003147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928">
      <w:bodyDiv w:val="1"/>
      <w:marLeft w:val="0"/>
      <w:marRight w:val="0"/>
      <w:marTop w:val="0"/>
      <w:marBottom w:val="0"/>
      <w:divBdr>
        <w:top w:val="none" w:sz="0" w:space="0" w:color="auto"/>
        <w:left w:val="none" w:sz="0" w:space="0" w:color="auto"/>
        <w:bottom w:val="none" w:sz="0" w:space="0" w:color="auto"/>
        <w:right w:val="none" w:sz="0" w:space="0" w:color="auto"/>
      </w:divBdr>
      <w:divsChild>
        <w:div w:id="81149109">
          <w:marLeft w:val="1699"/>
          <w:marRight w:val="0"/>
          <w:marTop w:val="77"/>
          <w:marBottom w:val="0"/>
          <w:divBdr>
            <w:top w:val="none" w:sz="0" w:space="0" w:color="auto"/>
            <w:left w:val="none" w:sz="0" w:space="0" w:color="auto"/>
            <w:bottom w:val="none" w:sz="0" w:space="0" w:color="auto"/>
            <w:right w:val="none" w:sz="0" w:space="0" w:color="auto"/>
          </w:divBdr>
        </w:div>
        <w:div w:id="390353285">
          <w:marLeft w:val="547"/>
          <w:marRight w:val="0"/>
          <w:marTop w:val="77"/>
          <w:marBottom w:val="0"/>
          <w:divBdr>
            <w:top w:val="none" w:sz="0" w:space="0" w:color="auto"/>
            <w:left w:val="none" w:sz="0" w:space="0" w:color="auto"/>
            <w:bottom w:val="none" w:sz="0" w:space="0" w:color="auto"/>
            <w:right w:val="none" w:sz="0" w:space="0" w:color="auto"/>
          </w:divBdr>
        </w:div>
        <w:div w:id="761098997">
          <w:marLeft w:val="1699"/>
          <w:marRight w:val="0"/>
          <w:marTop w:val="77"/>
          <w:marBottom w:val="0"/>
          <w:divBdr>
            <w:top w:val="none" w:sz="0" w:space="0" w:color="auto"/>
            <w:left w:val="none" w:sz="0" w:space="0" w:color="auto"/>
            <w:bottom w:val="none" w:sz="0" w:space="0" w:color="auto"/>
            <w:right w:val="none" w:sz="0" w:space="0" w:color="auto"/>
          </w:divBdr>
        </w:div>
        <w:div w:id="961155347">
          <w:marLeft w:val="547"/>
          <w:marRight w:val="0"/>
          <w:marTop w:val="77"/>
          <w:marBottom w:val="0"/>
          <w:divBdr>
            <w:top w:val="none" w:sz="0" w:space="0" w:color="auto"/>
            <w:left w:val="none" w:sz="0" w:space="0" w:color="auto"/>
            <w:bottom w:val="none" w:sz="0" w:space="0" w:color="auto"/>
            <w:right w:val="none" w:sz="0" w:space="0" w:color="auto"/>
          </w:divBdr>
        </w:div>
        <w:div w:id="1440098459">
          <w:marLeft w:val="1699"/>
          <w:marRight w:val="0"/>
          <w:marTop w:val="77"/>
          <w:marBottom w:val="0"/>
          <w:divBdr>
            <w:top w:val="none" w:sz="0" w:space="0" w:color="auto"/>
            <w:left w:val="none" w:sz="0" w:space="0" w:color="auto"/>
            <w:bottom w:val="none" w:sz="0" w:space="0" w:color="auto"/>
            <w:right w:val="none" w:sz="0" w:space="0" w:color="auto"/>
          </w:divBdr>
        </w:div>
        <w:div w:id="2031714216">
          <w:marLeft w:val="547"/>
          <w:marRight w:val="0"/>
          <w:marTop w:val="77"/>
          <w:marBottom w:val="0"/>
          <w:divBdr>
            <w:top w:val="none" w:sz="0" w:space="0" w:color="auto"/>
            <w:left w:val="none" w:sz="0" w:space="0" w:color="auto"/>
            <w:bottom w:val="none" w:sz="0" w:space="0" w:color="auto"/>
            <w:right w:val="none" w:sz="0" w:space="0" w:color="auto"/>
          </w:divBdr>
        </w:div>
      </w:divsChild>
    </w:div>
    <w:div w:id="138697834">
      <w:bodyDiv w:val="1"/>
      <w:marLeft w:val="0"/>
      <w:marRight w:val="0"/>
      <w:marTop w:val="0"/>
      <w:marBottom w:val="0"/>
      <w:divBdr>
        <w:top w:val="none" w:sz="0" w:space="0" w:color="auto"/>
        <w:left w:val="none" w:sz="0" w:space="0" w:color="auto"/>
        <w:bottom w:val="none" w:sz="0" w:space="0" w:color="auto"/>
        <w:right w:val="none" w:sz="0" w:space="0" w:color="auto"/>
      </w:divBdr>
    </w:div>
    <w:div w:id="364142053">
      <w:bodyDiv w:val="1"/>
      <w:marLeft w:val="0"/>
      <w:marRight w:val="0"/>
      <w:marTop w:val="0"/>
      <w:marBottom w:val="0"/>
      <w:divBdr>
        <w:top w:val="none" w:sz="0" w:space="0" w:color="auto"/>
        <w:left w:val="none" w:sz="0" w:space="0" w:color="auto"/>
        <w:bottom w:val="none" w:sz="0" w:space="0" w:color="auto"/>
        <w:right w:val="none" w:sz="0" w:space="0" w:color="auto"/>
      </w:divBdr>
    </w:div>
    <w:div w:id="386338022">
      <w:bodyDiv w:val="1"/>
      <w:marLeft w:val="0"/>
      <w:marRight w:val="0"/>
      <w:marTop w:val="0"/>
      <w:marBottom w:val="0"/>
      <w:divBdr>
        <w:top w:val="none" w:sz="0" w:space="0" w:color="auto"/>
        <w:left w:val="none" w:sz="0" w:space="0" w:color="auto"/>
        <w:bottom w:val="none" w:sz="0" w:space="0" w:color="auto"/>
        <w:right w:val="none" w:sz="0" w:space="0" w:color="auto"/>
      </w:divBdr>
    </w:div>
    <w:div w:id="398095928">
      <w:bodyDiv w:val="1"/>
      <w:marLeft w:val="0"/>
      <w:marRight w:val="0"/>
      <w:marTop w:val="0"/>
      <w:marBottom w:val="0"/>
      <w:divBdr>
        <w:top w:val="none" w:sz="0" w:space="0" w:color="auto"/>
        <w:left w:val="none" w:sz="0" w:space="0" w:color="auto"/>
        <w:bottom w:val="none" w:sz="0" w:space="0" w:color="auto"/>
        <w:right w:val="none" w:sz="0" w:space="0" w:color="auto"/>
      </w:divBdr>
    </w:div>
    <w:div w:id="447824152">
      <w:bodyDiv w:val="1"/>
      <w:marLeft w:val="0"/>
      <w:marRight w:val="0"/>
      <w:marTop w:val="0"/>
      <w:marBottom w:val="0"/>
      <w:divBdr>
        <w:top w:val="none" w:sz="0" w:space="0" w:color="auto"/>
        <w:left w:val="none" w:sz="0" w:space="0" w:color="auto"/>
        <w:bottom w:val="none" w:sz="0" w:space="0" w:color="auto"/>
        <w:right w:val="none" w:sz="0" w:space="0" w:color="auto"/>
      </w:divBdr>
    </w:div>
    <w:div w:id="522404464">
      <w:bodyDiv w:val="1"/>
      <w:marLeft w:val="0"/>
      <w:marRight w:val="0"/>
      <w:marTop w:val="0"/>
      <w:marBottom w:val="0"/>
      <w:divBdr>
        <w:top w:val="none" w:sz="0" w:space="0" w:color="auto"/>
        <w:left w:val="none" w:sz="0" w:space="0" w:color="auto"/>
        <w:bottom w:val="none" w:sz="0" w:space="0" w:color="auto"/>
        <w:right w:val="none" w:sz="0" w:space="0" w:color="auto"/>
      </w:divBdr>
    </w:div>
    <w:div w:id="615331934">
      <w:bodyDiv w:val="1"/>
      <w:marLeft w:val="0"/>
      <w:marRight w:val="0"/>
      <w:marTop w:val="0"/>
      <w:marBottom w:val="0"/>
      <w:divBdr>
        <w:top w:val="none" w:sz="0" w:space="0" w:color="auto"/>
        <w:left w:val="none" w:sz="0" w:space="0" w:color="auto"/>
        <w:bottom w:val="none" w:sz="0" w:space="0" w:color="auto"/>
        <w:right w:val="none" w:sz="0" w:space="0" w:color="auto"/>
      </w:divBdr>
    </w:div>
    <w:div w:id="736394237">
      <w:bodyDiv w:val="1"/>
      <w:marLeft w:val="0"/>
      <w:marRight w:val="0"/>
      <w:marTop w:val="0"/>
      <w:marBottom w:val="0"/>
      <w:divBdr>
        <w:top w:val="none" w:sz="0" w:space="0" w:color="auto"/>
        <w:left w:val="none" w:sz="0" w:space="0" w:color="auto"/>
        <w:bottom w:val="none" w:sz="0" w:space="0" w:color="auto"/>
        <w:right w:val="none" w:sz="0" w:space="0" w:color="auto"/>
      </w:divBdr>
    </w:div>
    <w:div w:id="799416903">
      <w:bodyDiv w:val="1"/>
      <w:marLeft w:val="0"/>
      <w:marRight w:val="0"/>
      <w:marTop w:val="0"/>
      <w:marBottom w:val="0"/>
      <w:divBdr>
        <w:top w:val="none" w:sz="0" w:space="0" w:color="auto"/>
        <w:left w:val="none" w:sz="0" w:space="0" w:color="auto"/>
        <w:bottom w:val="none" w:sz="0" w:space="0" w:color="auto"/>
        <w:right w:val="none" w:sz="0" w:space="0" w:color="auto"/>
      </w:divBdr>
    </w:div>
    <w:div w:id="918758170">
      <w:bodyDiv w:val="1"/>
      <w:marLeft w:val="0"/>
      <w:marRight w:val="0"/>
      <w:marTop w:val="0"/>
      <w:marBottom w:val="0"/>
      <w:divBdr>
        <w:top w:val="none" w:sz="0" w:space="0" w:color="auto"/>
        <w:left w:val="none" w:sz="0" w:space="0" w:color="auto"/>
        <w:bottom w:val="none" w:sz="0" w:space="0" w:color="auto"/>
        <w:right w:val="none" w:sz="0" w:space="0" w:color="auto"/>
      </w:divBdr>
      <w:divsChild>
        <w:div w:id="137385229">
          <w:marLeft w:val="547"/>
          <w:marRight w:val="0"/>
          <w:marTop w:val="77"/>
          <w:marBottom w:val="0"/>
          <w:divBdr>
            <w:top w:val="none" w:sz="0" w:space="0" w:color="auto"/>
            <w:left w:val="none" w:sz="0" w:space="0" w:color="auto"/>
            <w:bottom w:val="none" w:sz="0" w:space="0" w:color="auto"/>
            <w:right w:val="none" w:sz="0" w:space="0" w:color="auto"/>
          </w:divBdr>
        </w:div>
        <w:div w:id="284119834">
          <w:marLeft w:val="547"/>
          <w:marRight w:val="0"/>
          <w:marTop w:val="77"/>
          <w:marBottom w:val="0"/>
          <w:divBdr>
            <w:top w:val="none" w:sz="0" w:space="0" w:color="auto"/>
            <w:left w:val="none" w:sz="0" w:space="0" w:color="auto"/>
            <w:bottom w:val="none" w:sz="0" w:space="0" w:color="auto"/>
            <w:right w:val="none" w:sz="0" w:space="0" w:color="auto"/>
          </w:divBdr>
        </w:div>
        <w:div w:id="1346781612">
          <w:marLeft w:val="547"/>
          <w:marRight w:val="0"/>
          <w:marTop w:val="77"/>
          <w:marBottom w:val="0"/>
          <w:divBdr>
            <w:top w:val="none" w:sz="0" w:space="0" w:color="auto"/>
            <w:left w:val="none" w:sz="0" w:space="0" w:color="auto"/>
            <w:bottom w:val="none" w:sz="0" w:space="0" w:color="auto"/>
            <w:right w:val="none" w:sz="0" w:space="0" w:color="auto"/>
          </w:divBdr>
        </w:div>
        <w:div w:id="1566456529">
          <w:marLeft w:val="547"/>
          <w:marRight w:val="0"/>
          <w:marTop w:val="77"/>
          <w:marBottom w:val="0"/>
          <w:divBdr>
            <w:top w:val="none" w:sz="0" w:space="0" w:color="auto"/>
            <w:left w:val="none" w:sz="0" w:space="0" w:color="auto"/>
            <w:bottom w:val="none" w:sz="0" w:space="0" w:color="auto"/>
            <w:right w:val="none" w:sz="0" w:space="0" w:color="auto"/>
          </w:divBdr>
        </w:div>
        <w:div w:id="2143116519">
          <w:marLeft w:val="547"/>
          <w:marRight w:val="0"/>
          <w:marTop w:val="77"/>
          <w:marBottom w:val="0"/>
          <w:divBdr>
            <w:top w:val="none" w:sz="0" w:space="0" w:color="auto"/>
            <w:left w:val="none" w:sz="0" w:space="0" w:color="auto"/>
            <w:bottom w:val="none" w:sz="0" w:space="0" w:color="auto"/>
            <w:right w:val="none" w:sz="0" w:space="0" w:color="auto"/>
          </w:divBdr>
        </w:div>
      </w:divsChild>
    </w:div>
    <w:div w:id="1034162084">
      <w:bodyDiv w:val="1"/>
      <w:marLeft w:val="0"/>
      <w:marRight w:val="0"/>
      <w:marTop w:val="0"/>
      <w:marBottom w:val="0"/>
      <w:divBdr>
        <w:top w:val="none" w:sz="0" w:space="0" w:color="auto"/>
        <w:left w:val="none" w:sz="0" w:space="0" w:color="auto"/>
        <w:bottom w:val="none" w:sz="0" w:space="0" w:color="auto"/>
        <w:right w:val="none" w:sz="0" w:space="0" w:color="auto"/>
      </w:divBdr>
    </w:div>
    <w:div w:id="1152595636">
      <w:bodyDiv w:val="1"/>
      <w:marLeft w:val="0"/>
      <w:marRight w:val="0"/>
      <w:marTop w:val="0"/>
      <w:marBottom w:val="0"/>
      <w:divBdr>
        <w:top w:val="none" w:sz="0" w:space="0" w:color="auto"/>
        <w:left w:val="none" w:sz="0" w:space="0" w:color="auto"/>
        <w:bottom w:val="none" w:sz="0" w:space="0" w:color="auto"/>
        <w:right w:val="none" w:sz="0" w:space="0" w:color="auto"/>
      </w:divBdr>
    </w:div>
    <w:div w:id="1235120383">
      <w:bodyDiv w:val="1"/>
      <w:marLeft w:val="0"/>
      <w:marRight w:val="0"/>
      <w:marTop w:val="0"/>
      <w:marBottom w:val="0"/>
      <w:divBdr>
        <w:top w:val="none" w:sz="0" w:space="0" w:color="auto"/>
        <w:left w:val="none" w:sz="0" w:space="0" w:color="auto"/>
        <w:bottom w:val="none" w:sz="0" w:space="0" w:color="auto"/>
        <w:right w:val="none" w:sz="0" w:space="0" w:color="auto"/>
      </w:divBdr>
    </w:div>
    <w:div w:id="1267927028">
      <w:bodyDiv w:val="1"/>
      <w:marLeft w:val="0"/>
      <w:marRight w:val="0"/>
      <w:marTop w:val="0"/>
      <w:marBottom w:val="0"/>
      <w:divBdr>
        <w:top w:val="none" w:sz="0" w:space="0" w:color="auto"/>
        <w:left w:val="none" w:sz="0" w:space="0" w:color="auto"/>
        <w:bottom w:val="none" w:sz="0" w:space="0" w:color="auto"/>
        <w:right w:val="none" w:sz="0" w:space="0" w:color="auto"/>
      </w:divBdr>
    </w:div>
    <w:div w:id="1310668305">
      <w:bodyDiv w:val="1"/>
      <w:marLeft w:val="0"/>
      <w:marRight w:val="0"/>
      <w:marTop w:val="0"/>
      <w:marBottom w:val="0"/>
      <w:divBdr>
        <w:top w:val="none" w:sz="0" w:space="0" w:color="auto"/>
        <w:left w:val="none" w:sz="0" w:space="0" w:color="auto"/>
        <w:bottom w:val="none" w:sz="0" w:space="0" w:color="auto"/>
        <w:right w:val="none" w:sz="0" w:space="0" w:color="auto"/>
      </w:divBdr>
    </w:div>
    <w:div w:id="1367632940">
      <w:bodyDiv w:val="1"/>
      <w:marLeft w:val="0"/>
      <w:marRight w:val="0"/>
      <w:marTop w:val="0"/>
      <w:marBottom w:val="0"/>
      <w:divBdr>
        <w:top w:val="none" w:sz="0" w:space="0" w:color="auto"/>
        <w:left w:val="none" w:sz="0" w:space="0" w:color="auto"/>
        <w:bottom w:val="none" w:sz="0" w:space="0" w:color="auto"/>
        <w:right w:val="none" w:sz="0" w:space="0" w:color="auto"/>
      </w:divBdr>
    </w:div>
    <w:div w:id="1393889388">
      <w:bodyDiv w:val="1"/>
      <w:marLeft w:val="0"/>
      <w:marRight w:val="0"/>
      <w:marTop w:val="0"/>
      <w:marBottom w:val="0"/>
      <w:divBdr>
        <w:top w:val="none" w:sz="0" w:space="0" w:color="auto"/>
        <w:left w:val="none" w:sz="0" w:space="0" w:color="auto"/>
        <w:bottom w:val="none" w:sz="0" w:space="0" w:color="auto"/>
        <w:right w:val="none" w:sz="0" w:space="0" w:color="auto"/>
      </w:divBdr>
    </w:div>
    <w:div w:id="1603217843">
      <w:bodyDiv w:val="1"/>
      <w:marLeft w:val="0"/>
      <w:marRight w:val="0"/>
      <w:marTop w:val="0"/>
      <w:marBottom w:val="0"/>
      <w:divBdr>
        <w:top w:val="none" w:sz="0" w:space="0" w:color="auto"/>
        <w:left w:val="none" w:sz="0" w:space="0" w:color="auto"/>
        <w:bottom w:val="none" w:sz="0" w:space="0" w:color="auto"/>
        <w:right w:val="none" w:sz="0" w:space="0" w:color="auto"/>
      </w:divBdr>
    </w:div>
    <w:div w:id="1658263358">
      <w:bodyDiv w:val="1"/>
      <w:marLeft w:val="0"/>
      <w:marRight w:val="0"/>
      <w:marTop w:val="0"/>
      <w:marBottom w:val="0"/>
      <w:divBdr>
        <w:top w:val="none" w:sz="0" w:space="0" w:color="auto"/>
        <w:left w:val="none" w:sz="0" w:space="0" w:color="auto"/>
        <w:bottom w:val="none" w:sz="0" w:space="0" w:color="auto"/>
        <w:right w:val="none" w:sz="0" w:space="0" w:color="auto"/>
      </w:divBdr>
    </w:div>
    <w:div w:id="1759868431">
      <w:bodyDiv w:val="1"/>
      <w:marLeft w:val="0"/>
      <w:marRight w:val="0"/>
      <w:marTop w:val="0"/>
      <w:marBottom w:val="0"/>
      <w:divBdr>
        <w:top w:val="none" w:sz="0" w:space="0" w:color="auto"/>
        <w:left w:val="none" w:sz="0" w:space="0" w:color="auto"/>
        <w:bottom w:val="none" w:sz="0" w:space="0" w:color="auto"/>
        <w:right w:val="none" w:sz="0" w:space="0" w:color="auto"/>
      </w:divBdr>
      <w:divsChild>
        <w:div w:id="61682629">
          <w:marLeft w:val="547"/>
          <w:marRight w:val="0"/>
          <w:marTop w:val="0"/>
          <w:marBottom w:val="0"/>
          <w:divBdr>
            <w:top w:val="none" w:sz="0" w:space="0" w:color="auto"/>
            <w:left w:val="none" w:sz="0" w:space="0" w:color="auto"/>
            <w:bottom w:val="none" w:sz="0" w:space="0" w:color="auto"/>
            <w:right w:val="none" w:sz="0" w:space="0" w:color="auto"/>
          </w:divBdr>
        </w:div>
        <w:div w:id="1192449560">
          <w:marLeft w:val="547"/>
          <w:marRight w:val="0"/>
          <w:marTop w:val="0"/>
          <w:marBottom w:val="0"/>
          <w:divBdr>
            <w:top w:val="none" w:sz="0" w:space="0" w:color="auto"/>
            <w:left w:val="none" w:sz="0" w:space="0" w:color="auto"/>
            <w:bottom w:val="none" w:sz="0" w:space="0" w:color="auto"/>
            <w:right w:val="none" w:sz="0" w:space="0" w:color="auto"/>
          </w:divBdr>
        </w:div>
        <w:div w:id="1472671405">
          <w:marLeft w:val="547"/>
          <w:marRight w:val="0"/>
          <w:marTop w:val="0"/>
          <w:marBottom w:val="0"/>
          <w:divBdr>
            <w:top w:val="none" w:sz="0" w:space="0" w:color="auto"/>
            <w:left w:val="none" w:sz="0" w:space="0" w:color="auto"/>
            <w:bottom w:val="none" w:sz="0" w:space="0" w:color="auto"/>
            <w:right w:val="none" w:sz="0" w:space="0" w:color="auto"/>
          </w:divBdr>
        </w:div>
      </w:divsChild>
    </w:div>
    <w:div w:id="1846938984">
      <w:bodyDiv w:val="1"/>
      <w:marLeft w:val="0"/>
      <w:marRight w:val="0"/>
      <w:marTop w:val="0"/>
      <w:marBottom w:val="0"/>
      <w:divBdr>
        <w:top w:val="none" w:sz="0" w:space="0" w:color="auto"/>
        <w:left w:val="none" w:sz="0" w:space="0" w:color="auto"/>
        <w:bottom w:val="none" w:sz="0" w:space="0" w:color="auto"/>
        <w:right w:val="none" w:sz="0" w:space="0" w:color="auto"/>
      </w:divBdr>
    </w:div>
    <w:div w:id="1932930115">
      <w:bodyDiv w:val="1"/>
      <w:marLeft w:val="0"/>
      <w:marRight w:val="0"/>
      <w:marTop w:val="0"/>
      <w:marBottom w:val="0"/>
      <w:divBdr>
        <w:top w:val="none" w:sz="0" w:space="0" w:color="auto"/>
        <w:left w:val="none" w:sz="0" w:space="0" w:color="auto"/>
        <w:bottom w:val="none" w:sz="0" w:space="0" w:color="auto"/>
        <w:right w:val="none" w:sz="0" w:space="0" w:color="auto"/>
      </w:divBdr>
    </w:div>
    <w:div w:id="2005743639">
      <w:bodyDiv w:val="1"/>
      <w:marLeft w:val="0"/>
      <w:marRight w:val="0"/>
      <w:marTop w:val="0"/>
      <w:marBottom w:val="0"/>
      <w:divBdr>
        <w:top w:val="none" w:sz="0" w:space="0" w:color="auto"/>
        <w:left w:val="none" w:sz="0" w:space="0" w:color="auto"/>
        <w:bottom w:val="none" w:sz="0" w:space="0" w:color="auto"/>
        <w:right w:val="none" w:sz="0" w:space="0" w:color="auto"/>
      </w:divBdr>
    </w:div>
    <w:div w:id="2132042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4677</Words>
  <Characters>26893</Characters>
  <Application>Microsoft Office Word</Application>
  <DocSecurity>0</DocSecurity>
  <Lines>448</Lines>
  <Paragraphs>148</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dhm1b</dc:creator>
  <cp:keywords/>
  <dc:description/>
  <cp:lastModifiedBy>Amber Higgins</cp:lastModifiedBy>
  <cp:revision>5</cp:revision>
  <cp:lastPrinted>2026-01-05T14:16:00Z</cp:lastPrinted>
  <dcterms:created xsi:type="dcterms:W3CDTF">2026-02-13T10:21:00Z</dcterms:created>
  <dcterms:modified xsi:type="dcterms:W3CDTF">2026-02-13T10:39:00Z</dcterms:modified>
</cp:coreProperties>
</file>