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7B9F" w:rsidP="00CC5FA7" w:rsidRDefault="00577169" w14:paraId="0B99AFEA" w14:textId="0BB4CB0D">
      <w:pPr>
        <w:jc w:val="both"/>
        <w:rPr>
          <w:b/>
          <w:bCs/>
        </w:rPr>
      </w:pPr>
      <w:commentRangeStart w:id="0"/>
      <w:r w:rsidRPr="210B31F4" w:rsidR="00577169">
        <w:rPr>
          <w:b w:val="1"/>
          <w:bCs w:val="1"/>
        </w:rPr>
        <w:t xml:space="preserve">PhD Supervision </w:t>
      </w:r>
      <w:r w:rsidRPr="210B31F4" w:rsidR="00FE3B9F">
        <w:rPr>
          <w:b w:val="1"/>
          <w:bCs w:val="1"/>
        </w:rPr>
        <w:t>Polic</w:t>
      </w:r>
      <w:r w:rsidRPr="210B31F4" w:rsidR="00CC5FA7">
        <w:rPr>
          <w:b w:val="1"/>
          <w:bCs w:val="1"/>
        </w:rPr>
        <w:t>ies</w:t>
      </w:r>
      <w:r w:rsidRPr="210B31F4" w:rsidR="00FE3B9F">
        <w:rPr>
          <w:b w:val="1"/>
          <w:bCs w:val="1"/>
        </w:rPr>
        <w:t xml:space="preserve"> and Guidelines</w:t>
      </w:r>
      <w:r w:rsidRPr="210B31F4" w:rsidR="00A82F54">
        <w:rPr>
          <w:b w:val="1"/>
          <w:bCs w:val="1"/>
        </w:rPr>
        <w:t xml:space="preserve"> in the School of Computing Science</w:t>
      </w:r>
      <w:commentRangeEnd w:id="0"/>
      <w:r>
        <w:rPr>
          <w:rStyle w:val="CommentReference"/>
        </w:rPr>
        <w:commentReference w:id="0"/>
      </w:r>
    </w:p>
    <w:p w:rsidRPr="00FE3B9F" w:rsidR="00FE3B9F" w:rsidP="00307619" w:rsidRDefault="00FE3B9F" w14:paraId="21E1DDEB" w14:textId="04395D0E">
      <w:pPr>
        <w:pStyle w:val="ListParagraph"/>
        <w:numPr>
          <w:ilvl w:val="0"/>
          <w:numId w:val="1"/>
        </w:numPr>
        <w:jc w:val="both"/>
        <w:rPr>
          <w:b/>
          <w:bCs/>
        </w:rPr>
      </w:pPr>
      <w:r w:rsidRPr="00FE3B9F">
        <w:rPr>
          <w:b/>
          <w:bCs/>
        </w:rPr>
        <w:t>Introduction</w:t>
      </w:r>
    </w:p>
    <w:p w:rsidR="00FE3B9F" w:rsidP="00307619" w:rsidRDefault="00FE3B9F" w14:paraId="2DF69893" w14:textId="63556FD3">
      <w:pPr>
        <w:jc w:val="both"/>
      </w:pPr>
      <w:r w:rsidRPr="00FE3B9F">
        <w:t xml:space="preserve">This policy outlines the supervision structure and responsibilities for PGR students within the School of Computing Science. It is intended to clarify the roles of the first (primary) and second (secondary) supervisors, ensuring that both students and supervisors are aware of their responsibilities. This policy complements the University of Glasgow </w:t>
      </w:r>
      <w:r w:rsidRPr="00FE3B9F">
        <w:rPr>
          <w:b/>
          <w:bCs/>
        </w:rPr>
        <w:t>PGR Code of Practice</w:t>
      </w:r>
      <w:r w:rsidRPr="00FE3B9F">
        <w:t xml:space="preserve"> </w:t>
      </w:r>
      <w:r>
        <w:t xml:space="preserve">which can be found here: </w:t>
      </w:r>
      <w:hyperlink w:history="1" r:id="rId11">
        <w:r w:rsidRPr="001C4669">
          <w:rPr>
            <w:rStyle w:val="Hyperlink"/>
          </w:rPr>
          <w:t>https://www.gla.ac.uk/research/ourresearchenvironment/prs/pgrcodeofpractice/</w:t>
        </w:r>
      </w:hyperlink>
      <w:r w:rsidRPr="00FE3B9F">
        <w:t>.</w:t>
      </w:r>
      <w:r>
        <w:t xml:space="preserve"> </w:t>
      </w:r>
    </w:p>
    <w:p w:rsidRPr="00FE3B9F" w:rsidR="00FE3B9F" w:rsidP="00307619" w:rsidRDefault="00FE3B9F" w14:paraId="4C019D50" w14:textId="21EB8FA6">
      <w:pPr>
        <w:pStyle w:val="ListParagraph"/>
        <w:numPr>
          <w:ilvl w:val="0"/>
          <w:numId w:val="1"/>
        </w:numPr>
        <w:jc w:val="both"/>
        <w:rPr>
          <w:b/>
          <w:bCs/>
        </w:rPr>
      </w:pPr>
      <w:r w:rsidRPr="00FE3B9F">
        <w:rPr>
          <w:b/>
          <w:bCs/>
        </w:rPr>
        <w:t xml:space="preserve">Supervision </w:t>
      </w:r>
      <w:r>
        <w:rPr>
          <w:b/>
          <w:bCs/>
        </w:rPr>
        <w:t>split</w:t>
      </w:r>
    </w:p>
    <w:p w:rsidR="00FE3B9F" w:rsidP="00307619" w:rsidRDefault="00FE3B9F" w14:paraId="26358E4D" w14:textId="2F2B2AA6">
      <w:pPr>
        <w:jc w:val="both"/>
      </w:pPr>
      <w:r w:rsidRPr="00FE3B9F">
        <w:t>The allocation of supervisory responsibilities is structured to ensure that every student has access to adequate academic guidance and support.</w:t>
      </w:r>
      <w:r w:rsidR="00C644D2">
        <w:t xml:space="preserve"> </w:t>
      </w:r>
      <w:r w:rsidRPr="00307619" w:rsidR="00307619">
        <w:t>For PGR students admitted after the release of this policy, the following supervision split guidelines apply</w:t>
      </w:r>
      <w:r w:rsidR="00307619">
        <w:t>:</w:t>
      </w:r>
    </w:p>
    <w:p w:rsidR="00FE3B9F" w:rsidP="00307619" w:rsidRDefault="00FE3B9F" w14:paraId="582DE187" w14:textId="6A39BE8C">
      <w:pPr>
        <w:pStyle w:val="ListParagraph"/>
        <w:numPr>
          <w:ilvl w:val="0"/>
          <w:numId w:val="2"/>
        </w:numPr>
        <w:jc w:val="both"/>
        <w:rPr/>
      </w:pPr>
      <w:commentRangeStart w:id="1"/>
      <w:r w:rsidRPr="210B31F4" w:rsidR="00FE3B9F">
        <w:rPr>
          <w:b w:val="1"/>
          <w:bCs w:val="1"/>
        </w:rPr>
        <w:t>80:20 or 50:50 split</w:t>
      </w:r>
      <w:r w:rsidR="00FE3B9F">
        <w:rPr/>
        <w:t xml:space="preserve">: By default, supervisory arrangements will follow an 80:20 (primary to secondary supervisor) or 50:50 ratio. The specific ratio will be determined by the supervisory team in consultation with the student, based on the nature and requirements of the research project. </w:t>
      </w:r>
      <w:commentRangeEnd w:id="1"/>
      <w:r>
        <w:rPr>
          <w:rStyle w:val="CommentReference"/>
        </w:rPr>
        <w:commentReference w:id="1"/>
      </w:r>
    </w:p>
    <w:p w:rsidR="00FE3B9F" w:rsidP="00307619" w:rsidRDefault="00FE3B9F" w14:paraId="75F2CE2C" w14:textId="58FCEA0F">
      <w:pPr>
        <w:pStyle w:val="ListParagraph"/>
        <w:numPr>
          <w:ilvl w:val="0"/>
          <w:numId w:val="2"/>
        </w:numPr>
        <w:jc w:val="both"/>
        <w:rPr/>
      </w:pPr>
      <w:r w:rsidRPr="210B31F4" w:rsidR="00FE3B9F">
        <w:rPr>
          <w:b w:val="1"/>
          <w:bCs w:val="1"/>
        </w:rPr>
        <w:t>Approval for Deviations</w:t>
      </w:r>
      <w:r w:rsidR="00FE3B9F">
        <w:rPr/>
        <w:t>: Any deviations from these standard ratios must be approved by the Research Students Committee (RSC)</w:t>
      </w:r>
      <w:r w:rsidR="75AE875B">
        <w:rPr/>
        <w:t xml:space="preserve"> by the PGR director or their delegate</w:t>
      </w:r>
      <w:r w:rsidR="00FE3B9F">
        <w:rPr/>
        <w:t>.</w:t>
      </w:r>
      <w:r w:rsidR="65178E5B">
        <w:rPr/>
        <w:t xml:space="preserve"> </w:t>
      </w:r>
      <w:r w:rsidR="65178E5B">
        <w:rPr/>
        <w:t xml:space="preserve">Examples of this include having three supervisors, or </w:t>
      </w:r>
      <w:r w:rsidR="699E5965">
        <w:rPr/>
        <w:t>additional</w:t>
      </w:r>
      <w:r w:rsidR="699E5965">
        <w:rPr/>
        <w:t xml:space="preserve"> </w:t>
      </w:r>
      <w:r w:rsidR="65178E5B">
        <w:rPr/>
        <w:t xml:space="preserve">supervisors from </w:t>
      </w:r>
      <w:r w:rsidR="61FD2C1C">
        <w:rPr/>
        <w:t>other</w:t>
      </w:r>
      <w:r w:rsidR="65178E5B">
        <w:rPr/>
        <w:t xml:space="preserve"> schools who would have a lower percentage. </w:t>
      </w:r>
    </w:p>
    <w:p w:rsidR="00FE3B9F" w:rsidP="00307619" w:rsidRDefault="00FE3B9F" w14:paraId="07AD9F10" w14:textId="77777777">
      <w:pPr>
        <w:pStyle w:val="ListParagraph"/>
        <w:jc w:val="both"/>
      </w:pPr>
    </w:p>
    <w:p w:rsidRPr="00FE3B9F" w:rsidR="00FE3B9F" w:rsidP="00307619" w:rsidRDefault="00FE3B9F" w14:paraId="69FC9F82" w14:textId="6869B2E3">
      <w:pPr>
        <w:pStyle w:val="ListParagraph"/>
        <w:numPr>
          <w:ilvl w:val="0"/>
          <w:numId w:val="1"/>
        </w:numPr>
        <w:jc w:val="both"/>
        <w:rPr>
          <w:b/>
          <w:bCs/>
        </w:rPr>
      </w:pPr>
      <w:r w:rsidRPr="00FE3B9F">
        <w:rPr>
          <w:b/>
          <w:bCs/>
        </w:rPr>
        <w:t>Supervision load</w:t>
      </w:r>
    </w:p>
    <w:p w:rsidR="00FE3B9F" w:rsidP="00307619" w:rsidRDefault="00FE3B9F" w14:paraId="46EEEB28" w14:textId="591A71BF">
      <w:pPr>
        <w:jc w:val="both"/>
      </w:pPr>
      <w:r w:rsidRPr="00FE3B9F">
        <w:t>To ensure high-quality supervision and avoid overburdening supervisors, the following limits apply:</w:t>
      </w:r>
    </w:p>
    <w:p w:rsidR="00FE3B9F" w:rsidP="00307619" w:rsidRDefault="00FE3B9F" w14:paraId="26516D37" w14:textId="532CAD88">
      <w:pPr>
        <w:pStyle w:val="ListParagraph"/>
        <w:numPr>
          <w:ilvl w:val="0"/>
          <w:numId w:val="2"/>
        </w:numPr>
        <w:jc w:val="both"/>
      </w:pPr>
      <w:r w:rsidRPr="007B60A1">
        <w:rPr>
          <w:b/>
          <w:bCs/>
        </w:rPr>
        <w:t>Early Career Researcher (ECR) supervisors</w:t>
      </w:r>
      <w:r>
        <w:t xml:space="preserve">: The maximum supervision load for ECRs is 4.0 Full-Time Equivalent (FTE) students. Hypothetical examples of ECR supervisors at the limit include an ECR supervisor with 8 PhD students at 0.5 FTE each, or an ECR supervisor with 5 PhD students at 0.8 each. </w:t>
      </w:r>
    </w:p>
    <w:p w:rsidR="00FE3B9F" w:rsidP="00307619" w:rsidRDefault="00FE3B9F" w14:paraId="4213826C" w14:textId="3F0767A4">
      <w:pPr>
        <w:pStyle w:val="ListParagraph"/>
        <w:numPr>
          <w:ilvl w:val="0"/>
          <w:numId w:val="2"/>
        </w:numPr>
        <w:jc w:val="both"/>
        <w:rPr/>
      </w:pPr>
      <w:r w:rsidRPr="210B31F4" w:rsidR="00FE3B9F">
        <w:rPr>
          <w:b w:val="1"/>
          <w:bCs w:val="1"/>
        </w:rPr>
        <w:t>Non-ECR supervisors</w:t>
      </w:r>
      <w:r w:rsidR="00FE3B9F">
        <w:rPr/>
        <w:t>: T</w:t>
      </w:r>
      <w:r w:rsidR="00FE3B9F">
        <w:rPr/>
        <w:t>he supervision load limit is 8.0 FTE.</w:t>
      </w:r>
      <w:r w:rsidR="00FE3B9F">
        <w:rPr/>
        <w:t xml:space="preserve"> Hypothetical examples of </w:t>
      </w:r>
      <w:r w:rsidR="6083CAC2">
        <w:rPr/>
        <w:t>non-</w:t>
      </w:r>
      <w:r w:rsidR="00FE3B9F">
        <w:rPr/>
        <w:t xml:space="preserve">ECR supervisors at the limit include a supervisor with 16 PhD students at 0.5 FTE each, or 10 PhD students at 0.8 FTE each. </w:t>
      </w:r>
    </w:p>
    <w:p w:rsidR="00FE3B9F" w:rsidP="00307619" w:rsidRDefault="00FE3B9F" w14:paraId="6AA66F8E" w14:textId="79EB276D">
      <w:pPr>
        <w:jc w:val="both"/>
      </w:pPr>
      <w:r>
        <w:t xml:space="preserve">If a supervisor proposes admitting a new PhD student that exceeds their supervision limit, the RSC will discuss alternative arrangements, such as appointing a different primary supervisor while the original supervisor takes on a secondary role. Exceptions may be made </w:t>
      </w:r>
      <w:r w:rsidR="42348905">
        <w:t xml:space="preserve">subject to the RSC’s approval, for example </w:t>
      </w:r>
      <w:r>
        <w:t xml:space="preserve">for </w:t>
      </w:r>
      <w:r w:rsidR="742ED125">
        <w:t xml:space="preserve">supervisors with </w:t>
      </w:r>
      <w:r>
        <w:t>near-completion students. Supervisors should carefully consider their workload to ensure the quality of supervision is maintained.</w:t>
      </w:r>
    </w:p>
    <w:p w:rsidRPr="00FE3B9F" w:rsidR="00FE3B9F" w:rsidP="00307619" w:rsidRDefault="00FE3B9F" w14:paraId="245DCBE4" w14:textId="55E38F58">
      <w:pPr>
        <w:jc w:val="both"/>
        <w:rPr>
          <w:b/>
          <w:bCs/>
        </w:rPr>
      </w:pPr>
      <w:r w:rsidRPr="00FE3B9F">
        <w:rPr>
          <w:b/>
          <w:bCs/>
        </w:rPr>
        <w:t xml:space="preserve">4. Role of the Primary </w:t>
      </w:r>
      <w:r w:rsidR="00C858A4">
        <w:rPr>
          <w:b/>
          <w:bCs/>
        </w:rPr>
        <w:t xml:space="preserve">and Secondary </w:t>
      </w:r>
      <w:r w:rsidRPr="00FE3B9F">
        <w:rPr>
          <w:b/>
          <w:bCs/>
        </w:rPr>
        <w:t>Supervisor</w:t>
      </w:r>
      <w:r w:rsidR="00C858A4">
        <w:rPr>
          <w:b/>
          <w:bCs/>
        </w:rPr>
        <w:t>s</w:t>
      </w:r>
    </w:p>
    <w:p w:rsidR="00307619" w:rsidP="00307619" w:rsidRDefault="00307619" w14:paraId="088D2C90" w14:textId="74B39AE7">
      <w:pPr>
        <w:jc w:val="both"/>
      </w:pPr>
      <w:r>
        <w:t>As quoted from the PGR code of practice “</w:t>
      </w:r>
      <w:r w:rsidRPr="00307619">
        <w:rPr>
          <w:i/>
          <w:iCs/>
        </w:rPr>
        <w:t xml:space="preserve">The </w:t>
      </w:r>
      <w:r w:rsidRPr="00307619">
        <w:rPr>
          <w:b/>
          <w:bCs/>
          <w:i/>
          <w:iCs/>
        </w:rPr>
        <w:t>primary supervisor</w:t>
      </w:r>
      <w:r w:rsidRPr="00307619">
        <w:rPr>
          <w:i/>
          <w:iCs/>
        </w:rPr>
        <w:t xml:space="preserve"> will have primary responsibility for supervision of the student. Even in cases where supervision is shared equally, one supervisor should be designated as the primary supervisor, and this should be made clear to the student. [..]. The </w:t>
      </w:r>
      <w:r w:rsidRPr="00307619">
        <w:rPr>
          <w:b/>
          <w:bCs/>
          <w:i/>
          <w:iCs/>
        </w:rPr>
        <w:t>secondary supervisor</w:t>
      </w:r>
      <w:r w:rsidRPr="00307619">
        <w:rPr>
          <w:i/>
          <w:iCs/>
        </w:rPr>
        <w:t xml:space="preserve"> may provide independent advice and support, bring subject expertise to the team, provide support if the primary supervisor is absent for a period and may in some cases provide pastoral support. Secondary supervisors may also be referred to as joint supervisors or co-supervisors. Postdoctoral researchers may also be added as additional secondary supervisors.</w:t>
      </w:r>
      <w:r>
        <w:t>”</w:t>
      </w:r>
    </w:p>
    <w:p w:rsidR="00307619" w:rsidP="00307619" w:rsidRDefault="00307619" w14:paraId="4FD30132" w14:textId="77777777">
      <w:pPr>
        <w:jc w:val="both"/>
      </w:pPr>
    </w:p>
    <w:p w:rsidR="00C858A4" w:rsidP="00307619" w:rsidRDefault="00C858A4" w14:paraId="42C3B579" w14:textId="2AF338B3">
      <w:pPr>
        <w:jc w:val="both"/>
      </w:pPr>
      <w:r>
        <w:t xml:space="preserve">In addition to point </w:t>
      </w:r>
      <w:r w:rsidRPr="00C858A4">
        <w:rPr>
          <w:b/>
          <w:bCs/>
        </w:rPr>
        <w:t>5.6 “Responsibilities of the supervisory team”</w:t>
      </w:r>
      <w:r>
        <w:t xml:space="preserve"> of the PGR code of practice, the RSC provides the following as guidance </w:t>
      </w:r>
      <w:r w:rsidR="006873D0">
        <w:t>for PhD supervisors and to make PhD students aware of the expectations towards their supervisors:</w:t>
      </w:r>
    </w:p>
    <w:p w:rsidRPr="0081401D" w:rsidR="0081401D" w:rsidP="00680A2C" w:rsidRDefault="60CEF6F9" w14:paraId="048479F6" w14:textId="3F78357C">
      <w:pPr>
        <w:pStyle w:val="ListParagraph"/>
        <w:numPr>
          <w:ilvl w:val="0"/>
          <w:numId w:val="4"/>
        </w:numPr>
        <w:jc w:val="both"/>
        <w:rPr/>
      </w:pPr>
      <w:r w:rsidRPr="210B31F4" w:rsidR="60CEF6F9">
        <w:rPr>
          <w:b w:val="1"/>
          <w:bCs w:val="1"/>
        </w:rPr>
        <w:t>Assignment of the Secondary Supervisor</w:t>
      </w:r>
      <w:r w:rsidR="31703757">
        <w:rPr/>
        <w:t>: The primary supervisor nominates a secondary supervisor to the RSC after obtaining their consent.</w:t>
      </w:r>
      <w:r w:rsidR="4BAAF8D4">
        <w:rPr/>
        <w:t xml:space="preserve"> We encourage supervision teams that combine diverse </w:t>
      </w:r>
      <w:r w:rsidR="4BAAF8D4">
        <w:rPr/>
        <w:t>expertise</w:t>
      </w:r>
      <w:r w:rsidR="4BAAF8D4">
        <w:rPr/>
        <w:t xml:space="preserve">, both in supervisory experience and subject areas (e.g., across different research sections). </w:t>
      </w:r>
      <w:r w:rsidR="31703757">
        <w:rPr/>
        <w:t>Postdocs</w:t>
      </w:r>
      <w:r w:rsidR="58C38608">
        <w:rPr/>
        <w:t xml:space="preserve"> and </w:t>
      </w:r>
      <w:commentRangeStart w:id="5"/>
      <w:r w:rsidR="58C38608">
        <w:rPr/>
        <w:t xml:space="preserve">external </w:t>
      </w:r>
      <w:commentRangeEnd w:id="5"/>
      <w:r>
        <w:rPr>
          <w:rStyle w:val="CommentReference"/>
        </w:rPr>
        <w:commentReference w:id="5"/>
      </w:r>
      <w:r w:rsidR="58C38608">
        <w:rPr/>
        <w:t xml:space="preserve">secondary supervisors </w:t>
      </w:r>
      <w:r w:rsidR="59F11ACB">
        <w:rPr/>
        <w:t xml:space="preserve">(i.e., from outside the University of Glasgow) </w:t>
      </w:r>
      <w:r w:rsidR="58C38608">
        <w:rPr/>
        <w:t xml:space="preserve">are allowed </w:t>
      </w:r>
      <w:r w:rsidR="31703757">
        <w:rPr/>
        <w:t xml:space="preserve">as </w:t>
      </w:r>
      <w:r w:rsidR="31703757">
        <w:rPr/>
        <w:t>additional</w:t>
      </w:r>
      <w:r w:rsidR="31703757">
        <w:rPr/>
        <w:t xml:space="preserve"> secondary supervisors alongside two </w:t>
      </w:r>
      <w:r w:rsidR="31703757">
        <w:rPr/>
        <w:t>academic supervisors</w:t>
      </w:r>
      <w:r w:rsidR="1085306D">
        <w:rPr/>
        <w:t xml:space="preserve"> from within the University of Glasgow (at least one of them from the School of Computing Science)</w:t>
      </w:r>
      <w:r w:rsidR="31703757">
        <w:rPr/>
        <w:t xml:space="preserve">. </w:t>
      </w:r>
      <w:r w:rsidR="73A2522D">
        <w:rPr/>
        <w:t xml:space="preserve">We encourage primary supervisors to involve PhD students in selecting the secondary supervisor and </w:t>
      </w:r>
      <w:r w:rsidR="59716B31">
        <w:rPr/>
        <w:t xml:space="preserve">transparently </w:t>
      </w:r>
      <w:r w:rsidR="73A2522D">
        <w:rPr/>
        <w:t>discuss the specific expertise and value the secondary supervisor will contribute to the team.</w:t>
      </w:r>
    </w:p>
    <w:p w:rsidR="003F7481" w:rsidP="00307619" w:rsidRDefault="003F7481" w14:paraId="1C541577" w14:textId="6F680493">
      <w:pPr>
        <w:pStyle w:val="ListParagraph"/>
        <w:numPr>
          <w:ilvl w:val="0"/>
          <w:numId w:val="4"/>
        </w:numPr>
        <w:jc w:val="both"/>
      </w:pPr>
      <w:r w:rsidRPr="003F7481">
        <w:rPr>
          <w:b/>
          <w:bCs/>
        </w:rPr>
        <w:t>Ensuring Cohesive Guidance and Collaboration</w:t>
      </w:r>
      <w:r>
        <w:t>: Both supervisors are e</w:t>
      </w:r>
      <w:r w:rsidRPr="003F7481">
        <w:t>xpected to work collaboratively and ensure the student is not left with conflicting guidance, with the primary supervisor taking a lead in resolving discrepancies.</w:t>
      </w:r>
    </w:p>
    <w:p w:rsidRPr="003F7481" w:rsidR="000A540E" w:rsidP="000A540E" w:rsidRDefault="000A540E" w14:paraId="4B6FADBB" w14:textId="52CC34DD">
      <w:pPr>
        <w:pStyle w:val="ListParagraph"/>
        <w:numPr>
          <w:ilvl w:val="0"/>
          <w:numId w:val="4"/>
        </w:numPr>
        <w:jc w:val="both"/>
      </w:pPr>
      <w:r>
        <w:rPr>
          <w:rStyle w:val="Strong"/>
          <w:rFonts w:eastAsiaTheme="majorEastAsia"/>
        </w:rPr>
        <w:t>Organisation of Meetings</w:t>
      </w:r>
      <w:r w:rsidRPr="003F7481">
        <w:t>:</w:t>
      </w:r>
      <w:r>
        <w:t xml:space="preserve"> </w:t>
      </w:r>
      <w:r w:rsidRPr="003F7481">
        <w:t xml:space="preserve">While it is the PhD student’s responsibility to arrange regular meetings, it is the primary supervisor’s duty to ensure that meetings involving the secondary supervisor are also scheduled when appropriate. </w:t>
      </w:r>
      <w:r w:rsidR="002A5ED6">
        <w:t xml:space="preserve">See point 5 on frequency of meetings. </w:t>
      </w:r>
    </w:p>
    <w:p w:rsidR="00C644D2" w:rsidP="00307619" w:rsidRDefault="00C644D2" w14:paraId="2C823DCB" w14:textId="36C29854">
      <w:pPr>
        <w:pStyle w:val="ListParagraph"/>
        <w:numPr>
          <w:ilvl w:val="0"/>
          <w:numId w:val="4"/>
        </w:numPr>
        <w:jc w:val="both"/>
        <w:rPr/>
      </w:pPr>
      <w:r w:rsidRPr="210B31F4" w:rsidR="00C644D2">
        <w:rPr>
          <w:b w:val="1"/>
          <w:bCs w:val="1"/>
        </w:rPr>
        <w:t>Time Allocation for PhD Supervision</w:t>
      </w:r>
      <w:r w:rsidR="00C644D2">
        <w:rPr/>
        <w:t>: In the School of Computing Science (</w:t>
      </w:r>
      <w:r w:rsidR="00C644D2">
        <w:rPr/>
        <w:t>SoCS</w:t>
      </w:r>
      <w:r w:rsidR="00C644D2">
        <w:rPr/>
        <w:t>) Workload Allocation Model (</w:t>
      </w:r>
      <w:hyperlink r:id="R68c9fd788a584bdd">
        <w:r w:rsidRPr="210B31F4" w:rsidR="00C644D2">
          <w:rPr>
            <w:rStyle w:val="Hyperlink"/>
          </w:rPr>
          <w:t>link</w:t>
        </w:r>
      </w:hyperlink>
      <w:r w:rsidR="00C644D2">
        <w:rPr/>
        <w:t xml:space="preserve">), PhD supervision is </w:t>
      </w:r>
      <w:r w:rsidR="00C644D2">
        <w:rPr/>
        <w:t>allocated</w:t>
      </w:r>
      <w:r w:rsidR="00C644D2">
        <w:rPr/>
        <w:t xml:space="preserve"> 120xFTE hours per student. These hours are shared between the primary and secondary supervisors according to their supervision ratio, collectively amounting to two hours per week. This total is split between the supervisors based on their assigned ratio for each student.</w:t>
      </w:r>
      <w:r w:rsidR="5E790910">
        <w:rPr/>
        <w:t xml:space="preserve"> For example, in 50:50 supervision arrangements, each supervisor is expected to spend an hour on PhD supervision activities</w:t>
      </w:r>
      <w:r w:rsidR="3183B6EB">
        <w:rPr/>
        <w:t xml:space="preserve"> e.g., meeting the student, reviewing their progress reports, paper drafts, </w:t>
      </w:r>
      <w:r w:rsidR="3183B6EB">
        <w:rPr/>
        <w:t>etc.</w:t>
      </w:r>
    </w:p>
    <w:p w:rsidR="00B6768B" w:rsidP="003F7481" w:rsidRDefault="6A20BFB4" w14:paraId="3DFE1B0B" w14:textId="6B6A479B">
      <w:pPr>
        <w:pStyle w:val="ListParagraph"/>
        <w:numPr>
          <w:ilvl w:val="0"/>
          <w:numId w:val="4"/>
        </w:numPr>
        <w:jc w:val="both"/>
        <w:rPr/>
      </w:pPr>
      <w:r w:rsidRPr="210B31F4" w:rsidR="6A20BFB4">
        <w:rPr>
          <w:rStyle w:val="Strong"/>
          <w:rFonts w:eastAsia="等线 Light" w:eastAsiaTheme="majorEastAsia"/>
        </w:rPr>
        <w:t>Frequency of Meetings</w:t>
      </w:r>
      <w:r w:rsidR="6A20BFB4">
        <w:rPr/>
        <w:t xml:space="preserve">: </w:t>
      </w:r>
      <w:r w:rsidR="63DC3333">
        <w:rPr/>
        <w:t xml:space="preserve">The primary supervisor is expected to meet their PhD students once a week. </w:t>
      </w:r>
      <w:r w:rsidR="6A20BFB4">
        <w:rPr/>
        <w:t xml:space="preserve">In 50:50 supervision arrangements, both supervisors should meet with the student weekly. In 80:20 splits, the primary supervisor meets weekly, and the secondary supervisor meets at least once a month. </w:t>
      </w:r>
      <w:r w:rsidR="63611DDC">
        <w:rPr/>
        <w:t xml:space="preserve">Supervisors should coordinate their advice to ensure consistent guidance and </w:t>
      </w:r>
      <w:commentRangeStart w:id="7"/>
      <w:commentRangeStart w:id="8"/>
      <w:commentRangeStart w:id="9"/>
      <w:r w:rsidR="6A20BFB4">
        <w:rPr/>
        <w:t>avoid leaving the student uncertain</w:t>
      </w:r>
      <w:r w:rsidR="65CE0902">
        <w:rPr/>
        <w:t xml:space="preserve"> or with conflicting guidance</w:t>
      </w:r>
      <w:r w:rsidR="6A20BFB4">
        <w:rPr/>
        <w:t>.</w:t>
      </w:r>
      <w:r w:rsidR="65CE0902">
        <w:rPr/>
        <w:t xml:space="preserve"> </w:t>
      </w:r>
      <w:r w:rsidR="6A20BFB4">
        <w:rPr/>
        <w:t xml:space="preserve"> </w:t>
      </w:r>
      <w:commentRangeEnd w:id="7"/>
      <w:r>
        <w:rPr>
          <w:rStyle w:val="CommentReference"/>
        </w:rPr>
        <w:commentReference w:id="7"/>
      </w:r>
      <w:commentRangeEnd w:id="8"/>
      <w:r>
        <w:rPr>
          <w:rStyle w:val="CommentReference"/>
        </w:rPr>
        <w:commentReference w:id="8"/>
      </w:r>
      <w:commentRangeEnd w:id="9"/>
      <w:r>
        <w:rPr>
          <w:rStyle w:val="CommentReference"/>
        </w:rPr>
        <w:commentReference w:id="9"/>
      </w:r>
    </w:p>
    <w:p w:rsidRPr="00B6768B" w:rsidR="00B6768B" w:rsidP="00B6768B" w:rsidRDefault="00307619" w14:paraId="717ED777" w14:textId="4A18ED38">
      <w:pPr>
        <w:pStyle w:val="ListParagraph"/>
        <w:numPr>
          <w:ilvl w:val="0"/>
          <w:numId w:val="4"/>
        </w:numPr>
        <w:jc w:val="both"/>
        <w:rPr/>
      </w:pPr>
      <w:r w:rsidRPr="210B31F4" w:rsidR="00307619">
        <w:rPr>
          <w:rStyle w:val="Strong"/>
          <w:rFonts w:eastAsia="等线 Light" w:eastAsiaTheme="majorEastAsia"/>
        </w:rPr>
        <w:t>Nomination of assessors for the Annual Progression Review (APR) meeting</w:t>
      </w:r>
      <w:r w:rsidR="00307619">
        <w:rPr/>
        <w:t xml:space="preserve">: </w:t>
      </w:r>
      <w:r w:rsidR="2C01CDF9">
        <w:rPr/>
        <w:t>T</w:t>
      </w:r>
      <w:r w:rsidR="00B6768B">
        <w:rPr/>
        <w:t>he primary supervisor will be asked by the RSC to nominate two assessors who will evaluate the student during the first, second, and third APRs</w:t>
      </w:r>
      <w:r w:rsidR="00B6768B">
        <w:rPr/>
        <w:t>. In cases where a secondary supervisor is minimally involved (i.e., meeting the student less than once a month</w:t>
      </w:r>
      <w:r w:rsidR="008F39B7">
        <w:rPr/>
        <w:t xml:space="preserve"> or having a supervision ratio that is less than </w:t>
      </w:r>
      <w:r w:rsidR="00687B9F">
        <w:rPr/>
        <w:t>1</w:t>
      </w:r>
      <w:r w:rsidR="008F39B7">
        <w:rPr/>
        <w:t>0%</w:t>
      </w:r>
      <w:r w:rsidR="00B6768B">
        <w:rPr/>
        <w:t>), they may be named as an assessor. The RSC will appoint the convenor for the APR.</w:t>
      </w:r>
    </w:p>
    <w:p w:rsidRPr="00B6768B" w:rsidR="0081401D" w:rsidP="0081401D" w:rsidRDefault="270D2194" w14:paraId="54FAAA82" w14:textId="3FE046F6">
      <w:pPr>
        <w:pStyle w:val="ListParagraph"/>
        <w:numPr>
          <w:ilvl w:val="0"/>
          <w:numId w:val="4"/>
        </w:numPr>
        <w:jc w:val="both"/>
        <w:rPr/>
      </w:pPr>
      <w:r w:rsidRPr="210B31F4" w:rsidR="270D2194">
        <w:rPr>
          <w:b w:val="1"/>
          <w:bCs w:val="1"/>
        </w:rPr>
        <w:t xml:space="preserve">Preparation for Thesis Submission and Viva Panel Nomination: </w:t>
      </w:r>
      <w:r w:rsidR="424D8EB0">
        <w:rPr/>
        <w:t xml:space="preserve">Three months before the end of the research period, as the "Thesis Pending" stage begins, the student will be contacted by the RSC to complete the "Intention to Submit" form. At this point, the supervisory team should start planning viva panel nominations, following </w:t>
      </w:r>
      <w:r w:rsidR="47951B81">
        <w:rPr/>
        <w:t xml:space="preserve">the relevant guidance in the most recent </w:t>
      </w:r>
      <w:r w:rsidR="424D8EB0">
        <w:rPr/>
        <w:t xml:space="preserve">PGR Code of Practice. </w:t>
      </w:r>
      <w:r w:rsidR="646F0C05">
        <w:rPr/>
        <w:t xml:space="preserve">Please note </w:t>
      </w:r>
      <w:r w:rsidR="424D8EB0">
        <w:rPr/>
        <w:t xml:space="preserve">that the Graduate School </w:t>
      </w:r>
      <w:commentRangeStart w:id="12"/>
      <w:commentRangeStart w:id="13"/>
      <w:r w:rsidR="424D8EB0">
        <w:rPr/>
        <w:t>generally rejects</w:t>
      </w:r>
      <w:r w:rsidR="424D8EB0">
        <w:rPr/>
        <w:t xml:space="preserve"> nominations where </w:t>
      </w:r>
      <w:r w:rsidR="424D8EB0">
        <w:rPr/>
        <w:t>prior collaborations</w:t>
      </w:r>
      <w:r w:rsidR="424D8EB0">
        <w:rPr/>
        <w:t xml:space="preserve"> exist between the external examiner(s) and either the supervisors or the student</w:t>
      </w:r>
      <w:r w:rsidR="424D8EB0">
        <w:rPr/>
        <w:t xml:space="preserve">. </w:t>
      </w:r>
      <w:r w:rsidR="45C795E1">
        <w:rPr/>
        <w:t xml:space="preserve"> More information here: </w:t>
      </w:r>
      <w:commentRangeEnd w:id="12"/>
      <w:r>
        <w:rPr>
          <w:rStyle w:val="CommentReference"/>
        </w:rPr>
        <w:commentReference w:id="12"/>
      </w:r>
      <w:commentRangeEnd w:id="13"/>
      <w:r>
        <w:rPr>
          <w:rStyle w:val="CommentReference"/>
        </w:rPr>
        <w:commentReference w:id="13"/>
      </w:r>
      <w:hyperlink r:id="R19c85c0473594d57">
        <w:r w:rsidRPr="210B31F4" w:rsidR="45C795E1">
          <w:rPr>
            <w:rStyle w:val="Hyperlink"/>
          </w:rPr>
          <w:t>https://www.gla.ac.uk/research/ourresearchenvironment/prs/pgrcodeofpractice/examinationguidanceandforms/</w:t>
        </w:r>
      </w:hyperlink>
      <w:r w:rsidR="45C795E1">
        <w:rPr/>
        <w:t xml:space="preserve"> </w:t>
      </w:r>
    </w:p>
    <w:p w:rsidRPr="00FE3B9F" w:rsidR="00307619" w:rsidP="00B6768B" w:rsidRDefault="00307619" w14:paraId="034792CF" w14:textId="5FEAEB55">
      <w:pPr>
        <w:pStyle w:val="ListParagraph"/>
        <w:jc w:val="both"/>
      </w:pPr>
    </w:p>
    <w:p w:rsidRPr="00FE3B9F" w:rsidR="00FE3B9F" w:rsidP="2FD6C3C2" w:rsidRDefault="45580243" w14:paraId="2A67834F" w14:textId="7D0B997C">
      <w:pPr>
        <w:pStyle w:val="Heading3"/>
        <w:spacing w:before="281" w:after="281"/>
        <w:jc w:val="both"/>
      </w:pPr>
      <w:r w:rsidRPr="2FD6C3C2">
        <w:rPr>
          <w:rFonts w:ascii="Calibri" w:hAnsi="Calibri" w:eastAsia="Calibri" w:cs="Calibri"/>
          <w:b/>
          <w:bCs/>
        </w:rPr>
        <w:t>Document History</w:t>
      </w:r>
    </w:p>
    <w:tbl>
      <w:tblPr>
        <w:tblStyle w:val="GridTable4-Accent1"/>
        <w:tblW w:w="0" w:type="auto"/>
        <w:tblLayout w:type="fixed"/>
        <w:tblLook w:val="06A0" w:firstRow="1" w:lastRow="0" w:firstColumn="1" w:lastColumn="0" w:noHBand="1" w:noVBand="1"/>
      </w:tblPr>
      <w:tblGrid>
        <w:gridCol w:w="1087"/>
        <w:gridCol w:w="1420"/>
        <w:gridCol w:w="3793"/>
        <w:gridCol w:w="2440"/>
      </w:tblGrid>
      <w:tr w:rsidR="2FD6C3C2" w:rsidTr="210B31F4" w14:paraId="1CAD5FF7"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7" w:type="dxa"/>
            <w:tcMar/>
          </w:tcPr>
          <w:p w:rsidR="2FD6C3C2" w:rsidP="2FD6C3C2" w:rsidRDefault="2FD6C3C2" w14:paraId="56E1714B" w14:textId="1AFD7E14">
            <w:pPr>
              <w:jc w:val="center"/>
            </w:pPr>
            <w:r w:rsidRPr="2FD6C3C2">
              <w:t>Version</w:t>
            </w:r>
          </w:p>
        </w:tc>
        <w:tc>
          <w:tcPr>
            <w:cnfStyle w:val="000000000000" w:firstRow="0" w:lastRow="0" w:firstColumn="0" w:lastColumn="0" w:oddVBand="0" w:evenVBand="0" w:oddHBand="0" w:evenHBand="0" w:firstRowFirstColumn="0" w:firstRowLastColumn="0" w:lastRowFirstColumn="0" w:lastRowLastColumn="0"/>
            <w:tcW w:w="1420" w:type="dxa"/>
            <w:tcMar/>
          </w:tcPr>
          <w:p w:rsidR="2FD6C3C2" w:rsidP="2FD6C3C2" w:rsidRDefault="2FD6C3C2" w14:paraId="4B14528D" w14:textId="5BECD7F6">
            <w:pPr>
              <w:jc w:val="center"/>
              <w:cnfStyle w:val="100000000000" w:firstRow="1" w:lastRow="0" w:firstColumn="0" w:lastColumn="0" w:oddVBand="0" w:evenVBand="0" w:oddHBand="0" w:evenHBand="0" w:firstRowFirstColumn="0" w:firstRowLastColumn="0" w:lastRowFirstColumn="0" w:lastRowLastColumn="0"/>
            </w:pPr>
            <w:r w:rsidRPr="2FD6C3C2">
              <w:rPr>
                <w:b w:val="0"/>
                <w:bCs w:val="0"/>
              </w:rPr>
              <w:t>Date</w:t>
            </w:r>
          </w:p>
        </w:tc>
        <w:tc>
          <w:tcPr>
            <w:cnfStyle w:val="000000000000" w:firstRow="0" w:lastRow="0" w:firstColumn="0" w:lastColumn="0" w:oddVBand="0" w:evenVBand="0" w:oddHBand="0" w:evenHBand="0" w:firstRowFirstColumn="0" w:firstRowLastColumn="0" w:lastRowFirstColumn="0" w:lastRowLastColumn="0"/>
            <w:tcW w:w="3793" w:type="dxa"/>
            <w:tcMar/>
          </w:tcPr>
          <w:p w:rsidR="2FD6C3C2" w:rsidP="2FD6C3C2" w:rsidRDefault="2FD6C3C2" w14:paraId="0C0F39DF" w14:textId="4397BD98">
            <w:pPr>
              <w:jc w:val="center"/>
              <w:cnfStyle w:val="100000000000" w:firstRow="1" w:lastRow="0" w:firstColumn="0" w:lastColumn="0" w:oddVBand="0" w:evenVBand="0" w:oddHBand="0" w:evenHBand="0" w:firstRowFirstColumn="0" w:firstRowLastColumn="0" w:lastRowFirstColumn="0" w:lastRowLastColumn="0"/>
            </w:pPr>
            <w:r w:rsidRPr="2FD6C3C2">
              <w:rPr>
                <w:b w:val="0"/>
                <w:bCs w:val="0"/>
              </w:rPr>
              <w:t>Description</w:t>
            </w:r>
          </w:p>
        </w:tc>
        <w:tc>
          <w:tcPr>
            <w:cnfStyle w:val="000000000000" w:firstRow="0" w:lastRow="0" w:firstColumn="0" w:lastColumn="0" w:oddVBand="0" w:evenVBand="0" w:oddHBand="0" w:evenHBand="0" w:firstRowFirstColumn="0" w:firstRowLastColumn="0" w:lastRowFirstColumn="0" w:lastRowLastColumn="0"/>
            <w:tcW w:w="2440" w:type="dxa"/>
            <w:tcMar/>
          </w:tcPr>
          <w:p w:rsidR="2FD6C3C2" w:rsidP="2FD6C3C2" w:rsidRDefault="2FD6C3C2" w14:paraId="021C0DC2" w14:textId="77FE8B58">
            <w:pPr>
              <w:jc w:val="center"/>
              <w:cnfStyle w:val="100000000000" w:firstRow="1" w:lastRow="0" w:firstColumn="0" w:lastColumn="0" w:oddVBand="0" w:evenVBand="0" w:oddHBand="0" w:evenHBand="0" w:firstRowFirstColumn="0" w:firstRowLastColumn="0" w:lastRowFirstColumn="0" w:lastRowLastColumn="0"/>
            </w:pPr>
            <w:r w:rsidRPr="2FD6C3C2">
              <w:rPr>
                <w:b w:val="0"/>
                <w:bCs w:val="0"/>
              </w:rPr>
              <w:t>Contributors</w:t>
            </w:r>
          </w:p>
        </w:tc>
      </w:tr>
      <w:tr w:rsidR="2FD6C3C2" w:rsidTr="210B31F4" w14:paraId="10304AE4" w14:textId="77777777">
        <w:trPr>
          <w:trHeight w:val="300"/>
        </w:trPr>
        <w:tc>
          <w:tcPr>
            <w:cnfStyle w:val="001000000000" w:firstRow="0" w:lastRow="0" w:firstColumn="1" w:lastColumn="0" w:oddVBand="0" w:evenVBand="0" w:oddHBand="0" w:evenHBand="0" w:firstRowFirstColumn="0" w:firstRowLastColumn="0" w:lastRowFirstColumn="0" w:lastRowLastColumn="0"/>
            <w:tcW w:w="1087" w:type="dxa"/>
            <w:tcMar/>
          </w:tcPr>
          <w:p w:rsidR="2FD6C3C2" w:rsidP="2FD6C3C2" w:rsidRDefault="2FD6C3C2" w14:paraId="5750ECED" w14:textId="6458F404">
            <w:r>
              <w:t>1.0</w:t>
            </w:r>
          </w:p>
        </w:tc>
        <w:tc>
          <w:tcPr>
            <w:cnfStyle w:val="000000000000" w:firstRow="0" w:lastRow="0" w:firstColumn="0" w:lastColumn="0" w:oddVBand="0" w:evenVBand="0" w:oddHBand="0" w:evenHBand="0" w:firstRowFirstColumn="0" w:firstRowLastColumn="0" w:lastRowFirstColumn="0" w:lastRowLastColumn="0"/>
            <w:tcW w:w="1420" w:type="dxa"/>
            <w:tcMar/>
          </w:tcPr>
          <w:p w:rsidR="2FD6C3C2" w:rsidP="2FD6C3C2" w:rsidRDefault="2FD6C3C2" w14:paraId="6ABB846D" w14:textId="1DDB27F3">
            <w:pPr>
              <w:cnfStyle w:val="000000000000" w:firstRow="0" w:lastRow="0" w:firstColumn="0" w:lastColumn="0" w:oddVBand="0" w:evenVBand="0" w:oddHBand="0" w:evenHBand="0" w:firstRowFirstColumn="0" w:firstRowLastColumn="0" w:lastRowFirstColumn="0" w:lastRowLastColumn="0"/>
            </w:pPr>
            <w:r>
              <w:t>2024-10-0</w:t>
            </w:r>
            <w:r w:rsidR="25FB3DE1">
              <w:t>1</w:t>
            </w:r>
          </w:p>
        </w:tc>
        <w:tc>
          <w:tcPr>
            <w:cnfStyle w:val="000000000000" w:firstRow="0" w:lastRow="0" w:firstColumn="0" w:lastColumn="0" w:oddVBand="0" w:evenVBand="0" w:oddHBand="0" w:evenHBand="0" w:firstRowFirstColumn="0" w:firstRowLastColumn="0" w:lastRowFirstColumn="0" w:lastRowLastColumn="0"/>
            <w:tcW w:w="3793" w:type="dxa"/>
            <w:tcMar/>
          </w:tcPr>
          <w:p w:rsidR="2FD6C3C2" w:rsidP="2FD6C3C2" w:rsidRDefault="2FD6C3C2" w14:paraId="3590F926" w14:textId="0DCB0035">
            <w:pPr>
              <w:cnfStyle w:val="000000000000" w:firstRow="0" w:lastRow="0" w:firstColumn="0" w:lastColumn="0" w:oddVBand="0" w:evenVBand="0" w:oddHBand="0" w:evenHBand="0" w:firstRowFirstColumn="0" w:firstRowLastColumn="0" w:lastRowFirstColumn="0" w:lastRowLastColumn="0"/>
            </w:pPr>
            <w:r>
              <w:t>Initial Draft</w:t>
            </w:r>
          </w:p>
        </w:tc>
        <w:tc>
          <w:tcPr>
            <w:cnfStyle w:val="000000000000" w:firstRow="0" w:lastRow="0" w:firstColumn="0" w:lastColumn="0" w:oddVBand="0" w:evenVBand="0" w:oddHBand="0" w:evenHBand="0" w:firstRowFirstColumn="0" w:firstRowLastColumn="0" w:lastRowFirstColumn="0" w:lastRowLastColumn="0"/>
            <w:tcW w:w="2440" w:type="dxa"/>
            <w:tcMar/>
          </w:tcPr>
          <w:p w:rsidR="2FD6C3C2" w:rsidP="2FD6C3C2" w:rsidRDefault="2FD6C3C2" w14:paraId="001CC4CD" w14:textId="7CCB6B88">
            <w:pPr>
              <w:cnfStyle w:val="000000000000" w:firstRow="0" w:lastRow="0" w:firstColumn="0" w:lastColumn="0" w:oddVBand="0" w:evenVBand="0" w:oddHBand="0" w:evenHBand="0" w:firstRowFirstColumn="0" w:firstRowLastColumn="0" w:lastRowFirstColumn="0" w:lastRowLastColumn="0"/>
            </w:pPr>
            <w:r>
              <w:t>Dr</w:t>
            </w:r>
            <w:r w:rsidR="0616CB68">
              <w:t xml:space="preserve"> </w:t>
            </w:r>
            <w:r>
              <w:t>Mohamed Khamis</w:t>
            </w:r>
          </w:p>
        </w:tc>
      </w:tr>
      <w:tr w:rsidR="2FD6C3C2" w:rsidTr="210B31F4" w14:paraId="6E1FDFC5" w14:textId="77777777">
        <w:trPr>
          <w:trHeight w:val="300"/>
        </w:trPr>
        <w:tc>
          <w:tcPr>
            <w:cnfStyle w:val="001000000000" w:firstRow="0" w:lastRow="0" w:firstColumn="1" w:lastColumn="0" w:oddVBand="0" w:evenVBand="0" w:oddHBand="0" w:evenHBand="0" w:firstRowFirstColumn="0" w:firstRowLastColumn="0" w:lastRowFirstColumn="0" w:lastRowLastColumn="0"/>
            <w:tcW w:w="1087" w:type="dxa"/>
            <w:tcMar/>
          </w:tcPr>
          <w:p w:rsidR="2FD6C3C2" w:rsidP="2FD6C3C2" w:rsidRDefault="2FD6C3C2" w14:paraId="27514846" w14:textId="388661FD">
            <w:r>
              <w:t>1.1</w:t>
            </w:r>
          </w:p>
        </w:tc>
        <w:tc>
          <w:tcPr>
            <w:cnfStyle w:val="000000000000" w:firstRow="0" w:lastRow="0" w:firstColumn="0" w:lastColumn="0" w:oddVBand="0" w:evenVBand="0" w:oddHBand="0" w:evenHBand="0" w:firstRowFirstColumn="0" w:firstRowLastColumn="0" w:lastRowFirstColumn="0" w:lastRowLastColumn="0"/>
            <w:tcW w:w="1420" w:type="dxa"/>
            <w:tcMar/>
          </w:tcPr>
          <w:p w:rsidR="2FD6C3C2" w:rsidP="2FD6C3C2" w:rsidRDefault="2FD6C3C2" w14:paraId="260D0F4F" w14:textId="275CC4F7">
            <w:pPr>
              <w:cnfStyle w:val="000000000000" w:firstRow="0" w:lastRow="0" w:firstColumn="0" w:lastColumn="0" w:oddVBand="0" w:evenVBand="0" w:oddHBand="0" w:evenHBand="0" w:firstRowFirstColumn="0" w:firstRowLastColumn="0" w:lastRowFirstColumn="0" w:lastRowLastColumn="0"/>
            </w:pPr>
            <w:r>
              <w:t>2024-10-07</w:t>
            </w:r>
          </w:p>
        </w:tc>
        <w:tc>
          <w:tcPr>
            <w:cnfStyle w:val="000000000000" w:firstRow="0" w:lastRow="0" w:firstColumn="0" w:lastColumn="0" w:oddVBand="0" w:evenVBand="0" w:oddHBand="0" w:evenHBand="0" w:firstRowFirstColumn="0" w:firstRowLastColumn="0" w:lastRowFirstColumn="0" w:lastRowLastColumn="0"/>
            <w:tcW w:w="3793" w:type="dxa"/>
            <w:tcMar/>
          </w:tcPr>
          <w:p w:rsidR="2FD6C3C2" w:rsidP="2FD6C3C2" w:rsidRDefault="2FD6C3C2" w14:paraId="173B5558" w14:textId="4D0E64F1">
            <w:pPr>
              <w:cnfStyle w:val="000000000000" w:firstRow="0" w:lastRow="0" w:firstColumn="0" w:lastColumn="0" w:oddVBand="0" w:evenVBand="0" w:oddHBand="0" w:evenHBand="0" w:firstRowFirstColumn="0" w:firstRowLastColumn="0" w:lastRowFirstColumn="0" w:lastRowLastColumn="0"/>
            </w:pPr>
            <w:r>
              <w:t>Feedback from RSC (RSC Meeting)</w:t>
            </w:r>
          </w:p>
        </w:tc>
        <w:tc>
          <w:tcPr>
            <w:cnfStyle w:val="000000000000" w:firstRow="0" w:lastRow="0" w:firstColumn="0" w:lastColumn="0" w:oddVBand="0" w:evenVBand="0" w:oddHBand="0" w:evenHBand="0" w:firstRowFirstColumn="0" w:firstRowLastColumn="0" w:lastRowFirstColumn="0" w:lastRowLastColumn="0"/>
            <w:tcW w:w="2440" w:type="dxa"/>
            <w:tcMar/>
          </w:tcPr>
          <w:p w:rsidR="2FD6C3C2" w:rsidP="2FD6C3C2" w:rsidRDefault="2FD6C3C2" w14:paraId="54BFF85F" w14:textId="748D5F54">
            <w:pPr>
              <w:cnfStyle w:val="000000000000" w:firstRow="0" w:lastRow="0" w:firstColumn="0" w:lastColumn="0" w:oddVBand="0" w:evenVBand="0" w:oddHBand="0" w:evenHBand="0" w:firstRowFirstColumn="0" w:firstRowLastColumn="0" w:lastRowFirstColumn="0" w:lastRowLastColumn="0"/>
            </w:pPr>
            <w:r>
              <w:t>RSC Members</w:t>
            </w:r>
          </w:p>
        </w:tc>
      </w:tr>
      <w:tr w:rsidR="2FD6C3C2" w:rsidTr="210B31F4" w14:paraId="0969C753" w14:textId="77777777">
        <w:trPr>
          <w:trHeight w:val="300"/>
        </w:trPr>
        <w:tc>
          <w:tcPr>
            <w:cnfStyle w:val="001000000000" w:firstRow="0" w:lastRow="0" w:firstColumn="1" w:lastColumn="0" w:oddVBand="0" w:evenVBand="0" w:oddHBand="0" w:evenHBand="0" w:firstRowFirstColumn="0" w:firstRowLastColumn="0" w:lastRowFirstColumn="0" w:lastRowLastColumn="0"/>
            <w:tcW w:w="1087" w:type="dxa"/>
            <w:tcMar/>
          </w:tcPr>
          <w:p w:rsidR="7030A2AB" w:rsidP="2FD6C3C2" w:rsidRDefault="7030A2AB" w14:paraId="3EA9D8BA" w14:textId="1B2C8164">
            <w:r>
              <w:t>1.2</w:t>
            </w:r>
          </w:p>
        </w:tc>
        <w:tc>
          <w:tcPr>
            <w:cnfStyle w:val="000000000000" w:firstRow="0" w:lastRow="0" w:firstColumn="0" w:lastColumn="0" w:oddVBand="0" w:evenVBand="0" w:oddHBand="0" w:evenHBand="0" w:firstRowFirstColumn="0" w:firstRowLastColumn="0" w:lastRowFirstColumn="0" w:lastRowLastColumn="0"/>
            <w:tcW w:w="1420" w:type="dxa"/>
            <w:tcMar/>
          </w:tcPr>
          <w:p w:rsidR="7030A2AB" w:rsidP="2FD6C3C2" w:rsidRDefault="7030A2AB" w14:paraId="6D72BB6F" w14:textId="48AFEAAD">
            <w:pPr>
              <w:cnfStyle w:val="000000000000" w:firstRow="0" w:lastRow="0" w:firstColumn="0" w:lastColumn="0" w:oddVBand="0" w:evenVBand="0" w:oddHBand="0" w:evenHBand="0" w:firstRowFirstColumn="0" w:firstRowLastColumn="0" w:lastRowFirstColumn="0" w:lastRowLastColumn="0"/>
            </w:pPr>
            <w:r>
              <w:t>2024-10-07</w:t>
            </w:r>
          </w:p>
        </w:tc>
        <w:tc>
          <w:tcPr>
            <w:cnfStyle w:val="000000000000" w:firstRow="0" w:lastRow="0" w:firstColumn="0" w:lastColumn="0" w:oddVBand="0" w:evenVBand="0" w:oddHBand="0" w:evenHBand="0" w:firstRowFirstColumn="0" w:firstRowLastColumn="0" w:lastRowFirstColumn="0" w:lastRowLastColumn="0"/>
            <w:tcW w:w="3793" w:type="dxa"/>
            <w:tcMar/>
          </w:tcPr>
          <w:p w:rsidR="014581C9" w:rsidP="2FD6C3C2" w:rsidRDefault="014581C9" w14:paraId="1A9B739D" w14:textId="5F33D666">
            <w:pPr>
              <w:cnfStyle w:val="000000000000" w:firstRow="0" w:lastRow="0" w:firstColumn="0" w:lastColumn="0" w:oddVBand="0" w:evenVBand="0" w:oddHBand="0" w:evenHBand="0" w:firstRowFirstColumn="0" w:firstRowLastColumn="0" w:lastRowFirstColumn="0" w:lastRowLastColumn="0"/>
            </w:pPr>
            <w:r>
              <w:t>Feedback from the Full Exec on point 3</w:t>
            </w:r>
          </w:p>
        </w:tc>
        <w:tc>
          <w:tcPr>
            <w:cnfStyle w:val="000000000000" w:firstRow="0" w:lastRow="0" w:firstColumn="0" w:lastColumn="0" w:oddVBand="0" w:evenVBand="0" w:oddHBand="0" w:evenHBand="0" w:firstRowFirstColumn="0" w:firstRowLastColumn="0" w:lastRowFirstColumn="0" w:lastRowLastColumn="0"/>
            <w:tcW w:w="2440" w:type="dxa"/>
            <w:tcMar/>
          </w:tcPr>
          <w:p w:rsidR="014581C9" w:rsidP="2FD6C3C2" w:rsidRDefault="014581C9" w14:paraId="15CCA62A" w14:textId="18A64C0B">
            <w:pPr>
              <w:cnfStyle w:val="000000000000" w:firstRow="0" w:lastRow="0" w:firstColumn="0" w:lastColumn="0" w:oddVBand="0" w:evenVBand="0" w:oddHBand="0" w:evenHBand="0" w:firstRowFirstColumn="0" w:firstRowLastColumn="0" w:lastRowFirstColumn="0" w:lastRowLastColumn="0"/>
            </w:pPr>
            <w:r>
              <w:t>Full Exec</w:t>
            </w:r>
          </w:p>
        </w:tc>
      </w:tr>
      <w:tr w:rsidR="2FD6C3C2" w:rsidTr="210B31F4" w14:paraId="4B83EB6B" w14:textId="77777777">
        <w:trPr>
          <w:trHeight w:val="300"/>
        </w:trPr>
        <w:tc>
          <w:tcPr>
            <w:cnfStyle w:val="001000000000" w:firstRow="0" w:lastRow="0" w:firstColumn="1" w:lastColumn="0" w:oddVBand="0" w:evenVBand="0" w:oddHBand="0" w:evenHBand="0" w:firstRowFirstColumn="0" w:firstRowLastColumn="0" w:lastRowFirstColumn="0" w:lastRowLastColumn="0"/>
            <w:tcW w:w="1087" w:type="dxa"/>
            <w:tcMar/>
          </w:tcPr>
          <w:p w:rsidR="2FD6C3C2" w:rsidP="2FD6C3C2" w:rsidRDefault="2FD6C3C2" w14:paraId="55B1E25F" w14:textId="11490C04">
            <w:r>
              <w:t>1.</w:t>
            </w:r>
            <w:r w:rsidR="7030A2AB">
              <w:t>3</w:t>
            </w:r>
          </w:p>
        </w:tc>
        <w:tc>
          <w:tcPr>
            <w:cnfStyle w:val="000000000000" w:firstRow="0" w:lastRow="0" w:firstColumn="0" w:lastColumn="0" w:oddVBand="0" w:evenVBand="0" w:oddHBand="0" w:evenHBand="0" w:firstRowFirstColumn="0" w:firstRowLastColumn="0" w:lastRowFirstColumn="0" w:lastRowLastColumn="0"/>
            <w:tcW w:w="1420" w:type="dxa"/>
            <w:tcMar/>
          </w:tcPr>
          <w:p w:rsidR="2FD6C3C2" w:rsidP="2FD6C3C2" w:rsidRDefault="2FD6C3C2" w14:paraId="586D7A2B" w14:textId="39175FA7">
            <w:pPr>
              <w:cnfStyle w:val="000000000000" w:firstRow="0" w:lastRow="0" w:firstColumn="0" w:lastColumn="0" w:oddVBand="0" w:evenVBand="0" w:oddHBand="0" w:evenHBand="0" w:firstRowFirstColumn="0" w:firstRowLastColumn="0" w:lastRowFirstColumn="0" w:lastRowLastColumn="0"/>
            </w:pPr>
            <w:r>
              <w:t>2024-10-18</w:t>
            </w:r>
          </w:p>
        </w:tc>
        <w:tc>
          <w:tcPr>
            <w:cnfStyle w:val="000000000000" w:firstRow="0" w:lastRow="0" w:firstColumn="0" w:lastColumn="0" w:oddVBand="0" w:evenVBand="0" w:oddHBand="0" w:evenHBand="0" w:firstRowFirstColumn="0" w:firstRowLastColumn="0" w:lastRowFirstColumn="0" w:lastRowLastColumn="0"/>
            <w:tcW w:w="3793" w:type="dxa"/>
            <w:tcMar/>
          </w:tcPr>
          <w:p w:rsidR="2FD6C3C2" w:rsidP="2FD6C3C2" w:rsidRDefault="2FD6C3C2" w14:paraId="410D8AAE" w14:textId="59292AF5">
            <w:pPr>
              <w:cnfStyle w:val="000000000000" w:firstRow="0" w:lastRow="0" w:firstColumn="0" w:lastColumn="0" w:oddVBand="0" w:evenVBand="0" w:oddHBand="0" w:evenHBand="0" w:firstRowFirstColumn="0" w:firstRowLastColumn="0" w:lastRowFirstColumn="0" w:lastRowLastColumn="0"/>
            </w:pPr>
            <w:r>
              <w:t>Additional Feedback by Email</w:t>
            </w:r>
          </w:p>
        </w:tc>
        <w:tc>
          <w:tcPr>
            <w:cnfStyle w:val="000000000000" w:firstRow="0" w:lastRow="0" w:firstColumn="0" w:lastColumn="0" w:oddVBand="0" w:evenVBand="0" w:oddHBand="0" w:evenHBand="0" w:firstRowFirstColumn="0" w:firstRowLastColumn="0" w:lastRowFirstColumn="0" w:lastRowLastColumn="0"/>
            <w:tcW w:w="2440" w:type="dxa"/>
            <w:tcMar/>
          </w:tcPr>
          <w:p w:rsidR="2FD6C3C2" w:rsidP="2FD6C3C2" w:rsidRDefault="2FD6C3C2" w14:paraId="66356000" w14:textId="62F71CEE">
            <w:pPr>
              <w:cnfStyle w:val="000000000000" w:firstRow="0" w:lastRow="0" w:firstColumn="0" w:lastColumn="0" w:oddVBand="0" w:evenVBand="0" w:oddHBand="0" w:evenHBand="0" w:firstRowFirstColumn="0" w:firstRowLastColumn="0" w:lastRowFirstColumn="0" w:lastRowLastColumn="0"/>
            </w:pPr>
            <w:r>
              <w:t>RSC Members</w:t>
            </w:r>
          </w:p>
        </w:tc>
      </w:tr>
      <w:tr w:rsidR="2FD6C3C2" w:rsidTr="210B31F4" w14:paraId="1253AA70" w14:textId="77777777">
        <w:trPr>
          <w:trHeight w:val="300"/>
        </w:trPr>
        <w:tc>
          <w:tcPr>
            <w:cnfStyle w:val="001000000000" w:firstRow="0" w:lastRow="0" w:firstColumn="1" w:lastColumn="0" w:oddVBand="0" w:evenVBand="0" w:oddHBand="0" w:evenHBand="0" w:firstRowFirstColumn="0" w:firstRowLastColumn="0" w:lastRowFirstColumn="0" w:lastRowLastColumn="0"/>
            <w:tcW w:w="1087" w:type="dxa"/>
            <w:tcMar/>
          </w:tcPr>
          <w:p w:rsidR="2FD6C3C2" w:rsidP="210B31F4" w:rsidRDefault="2FD6C3C2" w14:paraId="5A3356F1" w14:textId="5D3F6998">
            <w:pPr>
              <w:pStyle w:val="Normal"/>
              <w:suppressLineNumbers w:val="0"/>
              <w:bidi w:val="0"/>
              <w:spacing w:before="0" w:beforeAutospacing="off" w:after="0" w:afterAutospacing="off" w:line="240" w:lineRule="auto"/>
              <w:ind w:left="0" w:right="0"/>
              <w:jc w:val="left"/>
            </w:pPr>
            <w:r w:rsidR="0CEF7E95">
              <w:rPr/>
              <w:t>1.4</w:t>
            </w:r>
          </w:p>
        </w:tc>
        <w:tc>
          <w:tcPr>
            <w:cnfStyle w:val="000000000000" w:firstRow="0" w:lastRow="0" w:firstColumn="0" w:lastColumn="0" w:oddVBand="0" w:evenVBand="0" w:oddHBand="0" w:evenHBand="0" w:firstRowFirstColumn="0" w:firstRowLastColumn="0" w:lastRowFirstColumn="0" w:lastRowLastColumn="0"/>
            <w:tcW w:w="1420" w:type="dxa"/>
            <w:tcMar/>
          </w:tcPr>
          <w:p w:rsidR="2FD6C3C2" w:rsidP="2FD6C3C2" w:rsidRDefault="2FD6C3C2" w14:paraId="256E5DDC" w14:textId="59D45F5C">
            <w:pPr>
              <w:cnfStyle w:val="000000000000" w:firstRow="0" w:lastRow="0" w:firstColumn="0" w:lastColumn="0" w:oddVBand="0" w:evenVBand="0" w:oddHBand="0" w:evenHBand="0" w:firstRowFirstColumn="0" w:firstRowLastColumn="0" w:lastRowFirstColumn="0" w:lastRowLastColumn="0"/>
            </w:pPr>
            <w:r>
              <w:t>2024-11-04</w:t>
            </w:r>
          </w:p>
        </w:tc>
        <w:tc>
          <w:tcPr>
            <w:cnfStyle w:val="000000000000" w:firstRow="0" w:lastRow="0" w:firstColumn="0" w:lastColumn="0" w:oddVBand="0" w:evenVBand="0" w:oddHBand="0" w:evenHBand="0" w:firstRowFirstColumn="0" w:firstRowLastColumn="0" w:lastRowFirstColumn="0" w:lastRowLastColumn="0"/>
            <w:tcW w:w="3793" w:type="dxa"/>
            <w:tcMar/>
          </w:tcPr>
          <w:p w:rsidR="2FD6C3C2" w:rsidP="2FD6C3C2" w:rsidRDefault="2FD6C3C2" w14:paraId="0E9EB265" w14:textId="5060F9E8">
            <w:pPr>
              <w:cnfStyle w:val="000000000000" w:firstRow="0" w:lastRow="0" w:firstColumn="0" w:lastColumn="0" w:oddVBand="0" w:evenVBand="0" w:oddHBand="0" w:evenHBand="0" w:firstRowFirstColumn="0" w:firstRowLastColumn="0" w:lastRowFirstColumn="0" w:lastRowLastColumn="0"/>
            </w:pPr>
            <w:r>
              <w:t>Full Exec Feedback and Approval</w:t>
            </w:r>
          </w:p>
        </w:tc>
        <w:tc>
          <w:tcPr>
            <w:cnfStyle w:val="000000000000" w:firstRow="0" w:lastRow="0" w:firstColumn="0" w:lastColumn="0" w:oddVBand="0" w:evenVBand="0" w:oddHBand="0" w:evenHBand="0" w:firstRowFirstColumn="0" w:firstRowLastColumn="0" w:lastRowFirstColumn="0" w:lastRowLastColumn="0"/>
            <w:tcW w:w="2440" w:type="dxa"/>
            <w:tcMar/>
          </w:tcPr>
          <w:p w:rsidR="2FD6C3C2" w:rsidP="2FD6C3C2" w:rsidRDefault="2FD6C3C2" w14:paraId="5CDB5984" w14:textId="6509BD0E">
            <w:pPr>
              <w:cnfStyle w:val="000000000000" w:firstRow="0" w:lastRow="0" w:firstColumn="0" w:lastColumn="0" w:oddVBand="0" w:evenVBand="0" w:oddHBand="0" w:evenHBand="0" w:firstRowFirstColumn="0" w:firstRowLastColumn="0" w:lastRowFirstColumn="0" w:lastRowLastColumn="0"/>
            </w:pPr>
            <w:r>
              <w:t>Full Exec</w:t>
            </w:r>
          </w:p>
        </w:tc>
      </w:tr>
      <w:tr w:rsidR="210B31F4" w:rsidTr="210B31F4" w14:paraId="15EF175D">
        <w:trPr>
          <w:trHeight w:val="300"/>
        </w:trPr>
        <w:tc>
          <w:tcPr>
            <w:cnfStyle w:val="001000000000" w:firstRow="0" w:lastRow="0" w:firstColumn="1" w:lastColumn="0" w:oddVBand="0" w:evenVBand="0" w:oddHBand="0" w:evenHBand="0" w:firstRowFirstColumn="0" w:firstRowLastColumn="0" w:lastRowFirstColumn="0" w:lastRowLastColumn="0"/>
            <w:tcW w:w="1087" w:type="dxa"/>
            <w:tcMar/>
          </w:tcPr>
          <w:p w:rsidR="28865B8F" w:rsidP="210B31F4" w:rsidRDefault="28865B8F" w14:paraId="28F108FF" w14:textId="687FA8DF">
            <w:pPr>
              <w:pStyle w:val="Normal"/>
              <w:spacing w:line="240" w:lineRule="auto"/>
              <w:jc w:val="left"/>
            </w:pPr>
            <w:r w:rsidR="28865B8F">
              <w:rPr/>
              <w:t>1.5</w:t>
            </w:r>
          </w:p>
        </w:tc>
        <w:tc>
          <w:tcPr>
            <w:cnfStyle w:val="000000000000" w:firstRow="0" w:lastRow="0" w:firstColumn="0" w:lastColumn="0" w:oddVBand="0" w:evenVBand="0" w:oddHBand="0" w:evenHBand="0" w:firstRowFirstColumn="0" w:firstRowLastColumn="0" w:lastRowFirstColumn="0" w:lastRowLastColumn="0"/>
            <w:tcW w:w="1420" w:type="dxa"/>
            <w:tcMar/>
          </w:tcPr>
          <w:p w:rsidR="28865B8F" w:rsidP="210B31F4" w:rsidRDefault="28865B8F" w14:paraId="777187B8" w14:textId="2EE0C79D">
            <w:pPr>
              <w:pStyle w:val="Normal"/>
            </w:pPr>
            <w:r w:rsidR="28865B8F">
              <w:rPr/>
              <w:t>2025-08-11</w:t>
            </w:r>
          </w:p>
        </w:tc>
        <w:tc>
          <w:tcPr>
            <w:cnfStyle w:val="000000000000" w:firstRow="0" w:lastRow="0" w:firstColumn="0" w:lastColumn="0" w:oddVBand="0" w:evenVBand="0" w:oddHBand="0" w:evenHBand="0" w:firstRowFirstColumn="0" w:firstRowLastColumn="0" w:lastRowFirstColumn="0" w:lastRowLastColumn="0"/>
            <w:tcW w:w="3793" w:type="dxa"/>
            <w:tcMar/>
          </w:tcPr>
          <w:p w:rsidR="210B31F4" w:rsidP="210B31F4" w:rsidRDefault="210B31F4" w14:paraId="6047C8D6" w14:textId="34FB01D6">
            <w:pPr>
              <w:pStyle w:val="Normal"/>
            </w:pPr>
          </w:p>
        </w:tc>
        <w:tc>
          <w:tcPr>
            <w:cnfStyle w:val="000000000000" w:firstRow="0" w:lastRow="0" w:firstColumn="0" w:lastColumn="0" w:oddVBand="0" w:evenVBand="0" w:oddHBand="0" w:evenHBand="0" w:firstRowFirstColumn="0" w:firstRowLastColumn="0" w:lastRowFirstColumn="0" w:lastRowLastColumn="0"/>
            <w:tcW w:w="2440" w:type="dxa"/>
            <w:tcMar/>
          </w:tcPr>
          <w:p w:rsidR="210B31F4" w:rsidP="210B31F4" w:rsidRDefault="210B31F4" w14:paraId="4E05ADC2" w14:textId="7A162F22">
            <w:pPr>
              <w:pStyle w:val="Normal"/>
            </w:pPr>
          </w:p>
        </w:tc>
      </w:tr>
    </w:tbl>
    <w:p w:rsidRPr="00FE3B9F" w:rsidR="00FE3B9F" w:rsidP="429D5C19" w:rsidRDefault="00FE3B9F" w14:paraId="0C314188" w14:textId="4D426805">
      <w:pPr>
        <w:jc w:val="both"/>
      </w:pPr>
    </w:p>
    <w:sectPr w:rsidRPr="00FE3B9F" w:rsidR="00FE3B9F">
      <w:footerReference w:type="default" r:id="rId13"/>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MK" w:author="Mohamed Khamis" w:date="2024-10-28T12:29:00Z" w:id="0">
    <w:p w:rsidR="00B567DF" w:rsidRDefault="00B567DF" w14:paraId="1F2701AE" w14:textId="12DFED78">
      <w:pPr>
        <w:pStyle w:val="CommentText"/>
      </w:pPr>
      <w:r>
        <w:rPr>
          <w:rStyle w:val="CommentReference"/>
        </w:rPr>
        <w:annotationRef/>
      </w:r>
      <w:r w:rsidRPr="2CD231FF">
        <w:t xml:space="preserve">This document is in response to a) feedback from PhD students collected through a survey, which showed that many are not sure about the role of the second supervisor, b) discussions in the core and full exec about supervision splits and supervision loads, c) lack of concrete guidance on how supervisors (particularly secondary supervisors) are expected to engage with PhD students. </w:t>
      </w:r>
    </w:p>
  </w:comment>
  <w:comment w:initials="MK" w:author="Mohamed Khamis" w:date="2024-10-28T12:21:00Z" w:id="1">
    <w:p w:rsidR="00B567DF" w:rsidRDefault="00B567DF" w14:paraId="6E9A80A6" w14:textId="3FB7F7BA">
      <w:pPr>
        <w:pStyle w:val="CommentText"/>
      </w:pPr>
      <w:r>
        <w:rPr>
          <w:rStyle w:val="CommentReference"/>
        </w:rPr>
        <w:annotationRef/>
      </w:r>
      <w:r w:rsidRPr="0BEBE376">
        <w:t xml:space="preserve">The rationale behind this is to a) ensure meaningful engagement from the secondary supervisor rather than being a nominal role. Team supervision aligns with the University's Research Strategy which encourages working in teams </w:t>
      </w:r>
      <w:hyperlink r:id="rId1">
        <w:r w:rsidRPr="304951D0">
          <w:rPr>
            <w:rStyle w:val="Hyperlink"/>
          </w:rPr>
          <w:t>https://www.gla.ac.uk/media/Media_757344_smxx.pdf</w:t>
        </w:r>
      </w:hyperlink>
      <w:r w:rsidRPr="4B952ECE">
        <w:t xml:space="preserve"> </w:t>
      </w:r>
    </w:p>
    <w:p w:rsidR="00B567DF" w:rsidRDefault="00B567DF" w14:paraId="43D02CB2" w14:textId="52DBFB33">
      <w:pPr>
        <w:pStyle w:val="CommentText"/>
      </w:pPr>
    </w:p>
    <w:p w:rsidR="00B567DF" w:rsidRDefault="00B567DF" w14:paraId="2BC03A29" w14:textId="788389FE">
      <w:pPr>
        <w:pStyle w:val="CommentText"/>
      </w:pPr>
      <w:r w:rsidRPr="7AA82B24">
        <w:t xml:space="preserve">And its benefits to PhD students are supported by research (Thanks to Craig Macdonald for sharing these resources): </w:t>
      </w:r>
    </w:p>
    <w:p w:rsidR="00B567DF" w:rsidRDefault="00B567DF" w14:paraId="03BA4882" w14:textId="019C5652">
      <w:pPr>
        <w:pStyle w:val="CommentText"/>
      </w:pPr>
      <w:hyperlink r:id="rId2">
        <w:r w:rsidRPr="4FA2417F">
          <w:rPr>
            <w:rStyle w:val="Hyperlink"/>
          </w:rPr>
          <w:t>https://www.tandfonline.com/doi/full/10.1080/13562511003740908</w:t>
        </w:r>
      </w:hyperlink>
    </w:p>
    <w:p w:rsidR="00B567DF" w:rsidRDefault="00B567DF" w14:paraId="72B19DD5" w14:textId="3C520C4C">
      <w:pPr>
        <w:pStyle w:val="CommentText"/>
      </w:pPr>
      <w:hyperlink r:id="rId3">
        <w:r w:rsidRPr="55C56B23">
          <w:rPr>
            <w:rStyle w:val="Hyperlink"/>
          </w:rPr>
          <w:t>https://www.tandfonline.com/doi/full/10.1080/07294360.2016.1208157</w:t>
        </w:r>
      </w:hyperlink>
    </w:p>
    <w:p w:rsidR="00B567DF" w:rsidRDefault="00B567DF" w14:paraId="1C8CC264" w14:textId="68AEED75">
      <w:pPr>
        <w:pStyle w:val="CommentText"/>
      </w:pPr>
    </w:p>
    <w:p w:rsidR="00B567DF" w:rsidRDefault="00B567DF" w14:paraId="4E0C2201" w14:textId="11702D80">
      <w:pPr>
        <w:pStyle w:val="CommentText"/>
      </w:pPr>
      <w:r w:rsidRPr="53BD557E">
        <w:t xml:space="preserve">b) it helps ECRs gain experience in supervision, and makes the "expected time allocation" from both supervisor clearer and more meaningful (more on this later in section 4.4 and 4.5). </w:t>
      </w:r>
    </w:p>
  </w:comment>
  <w:comment w:initials="MK" w:author="Mohamed Khamis" w:date="2024-11-04T10:56:00Z" w:id="5">
    <w:p w:rsidR="00AB2530" w:rsidRDefault="00AB2530" w14:paraId="3511F1C2" w14:textId="2EFF5DD1">
      <w:pPr>
        <w:pStyle w:val="CommentText"/>
      </w:pPr>
      <w:r>
        <w:rPr>
          <w:rStyle w:val="CommentReference"/>
        </w:rPr>
        <w:annotationRef/>
      </w:r>
      <w:r w:rsidRPr="181ECC8D">
        <w:t>clarify that this refers to outside of the university</w:t>
      </w:r>
    </w:p>
  </w:comment>
  <w:comment w:initials="MK" w:author="Mohamed Khamis [2]" w:date="2024-10-06T23:24:00Z" w:id="7">
    <w:p w:rsidR="00C644D2" w:rsidP="00C644D2" w:rsidRDefault="00C644D2" w14:paraId="5DC2B29F" w14:textId="2B0F12B1">
      <w:pPr>
        <w:pStyle w:val="CommentText"/>
      </w:pPr>
      <w:r>
        <w:rPr>
          <w:rStyle w:val="CommentReference"/>
        </w:rPr>
        <w:annotationRef/>
      </w:r>
      <w:r>
        <w:t xml:space="preserve">This part is because I worry of cases where each supervisor says something different and the student is left in between unsure what to do </w:t>
      </w:r>
    </w:p>
  </w:comment>
  <w:comment w:initials="MK" w:author="Mohamed Khamis" w:date="2024-11-04T11:00:00Z" w:id="8">
    <w:p w:rsidR="00AB2530" w:rsidRDefault="00AB2530" w14:paraId="36FF2F65" w14:textId="66698860">
      <w:pPr>
        <w:pStyle w:val="CommentText"/>
      </w:pPr>
      <w:r>
        <w:rPr>
          <w:rStyle w:val="CommentReference"/>
        </w:rPr>
        <w:annotationRef/>
      </w:r>
      <w:r w:rsidRPr="1B8F3D35">
        <w:t xml:space="preserve">refer to PGR code of practice to explain what kind of things the supervisors need to do in addition to meetings. The idea is not to be comprehensive but to name examples. </w:t>
      </w:r>
    </w:p>
  </w:comment>
  <w:comment w:initials="MK" w:author="Mohamed Khamis" w:date="2024-11-04T11:03:00Z" w:id="9">
    <w:p w:rsidR="009365D8" w:rsidRDefault="009365D8" w14:paraId="54BC0203" w14:textId="26C86FB9">
      <w:pPr>
        <w:pStyle w:val="CommentText"/>
      </w:pPr>
      <w:r>
        <w:rPr>
          <w:rStyle w:val="CommentReference"/>
        </w:rPr>
        <w:annotationRef/>
      </w:r>
      <w:r w:rsidRPr="3D0D0AD6">
        <w:t xml:space="preserve">"supervisors shoud coordinate their advice". Rather than "how". </w:t>
      </w:r>
    </w:p>
  </w:comment>
  <w:comment w:initials="MK" w:author="Mohamed Khamis" w:date="2024-10-28T12:39:00Z" w:id="12">
    <w:p w:rsidR="00B567DF" w:rsidRDefault="00B567DF" w14:paraId="7A20AFF9" w14:textId="09822EC6">
      <w:pPr>
        <w:pStyle w:val="CommentText"/>
      </w:pPr>
      <w:r>
        <w:rPr>
          <w:rStyle w:val="CommentReference"/>
        </w:rPr>
        <w:annotationRef/>
      </w:r>
      <w:r w:rsidRPr="3E37D1AA">
        <w:t xml:space="preserve">There is an updated policy about this that recieved RSC and college approvals but still pending further approvals. The new policy should be less restrictive in terms of who can be internal examiners and convenors, and the current wording reflects this. I will liaise with the Graduate School to make sure both policies are published in appropriate times and are not conflicting. </w:t>
      </w:r>
    </w:p>
  </w:comment>
  <w:comment w:initials="MK" w:author="Mohamed Khamis" w:date="2024-10-30T20:46:00Z" w:id="13">
    <w:p w:rsidR="00B567DF" w:rsidRDefault="00B567DF" w14:paraId="5251EE7E" w14:textId="5EFA89CD">
      <w:pPr>
        <w:pStyle w:val="CommentText"/>
      </w:pPr>
      <w:r>
        <w:rPr>
          <w:rStyle w:val="CommentReference"/>
        </w:rPr>
        <w:annotationRef/>
      </w:r>
      <w:r w:rsidRPr="140D823F">
        <w:t>Update from Graduate School: the updated policy about examinations will be discussed in the Research Policy and Strategy Committee meeting early December</w:t>
      </w:r>
    </w:p>
  </w:comment>
</w:comments>
</file>

<file path=word/commentsExtended.xml><?xml version="1.0" encoding="utf-8"?>
<w15:commentsEx xmlns:mc="http://schemas.openxmlformats.org/markup-compatibility/2006" xmlns:w15="http://schemas.microsoft.com/office/word/2012/wordml" mc:Ignorable="w15">
  <w15:commentEx w15:done="1" w15:paraId="1F2701AE"/>
  <w15:commentEx w15:done="1" w15:paraId="4E0C2201"/>
  <w15:commentEx w15:done="0" w15:paraId="3511F1C2"/>
  <w15:commentEx w15:done="1" w15:paraId="5DC2B29F"/>
  <w15:commentEx w15:done="1" w15:paraId="36FF2F65" w15:paraIdParent="5DC2B29F"/>
  <w15:commentEx w15:done="1" w15:paraId="54BC0203" w15:paraIdParent="5DC2B29F"/>
  <w15:commentEx w15:done="1" w15:paraId="7A20AFF9"/>
  <w15:commentEx w15:done="1" w15:paraId="5251EE7E" w15:paraIdParent="7A20AFF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5788A0" w16cex:dateUtc="2024-10-28T12:29:00Z"/>
  <w16cex:commentExtensible w16cex:durableId="7F5F7F26" w16cex:dateUtc="2024-10-28T12:21:00Z"/>
  <w16cex:commentExtensible w16cex:durableId="6B2D950D" w16cex:dateUtc="2024-11-04T10:56:00Z"/>
  <w16cex:commentExtensible w16cex:durableId="2A0F5C1F" w16cex:dateUtc="2024-10-06T22:24:00Z"/>
  <w16cex:commentExtensible w16cex:durableId="3732DAA7" w16cex:dateUtc="2024-11-04T11:00:00Z"/>
  <w16cex:commentExtensible w16cex:durableId="028D958F" w16cex:dateUtc="2024-11-04T11:03:00Z"/>
  <w16cex:commentExtensible w16cex:durableId="10CC38BD" w16cex:dateUtc="2024-10-28T12:39:00Z"/>
  <w16cex:commentExtensible w16cex:durableId="59632E4E" w16cex:dateUtc="2024-10-30T20:46:00Z"/>
</w16cex:commentsExtensible>
</file>

<file path=word/commentsIds.xml><?xml version="1.0" encoding="utf-8"?>
<w16cid:commentsIds xmlns:mc="http://schemas.openxmlformats.org/markup-compatibility/2006" xmlns:w16cid="http://schemas.microsoft.com/office/word/2016/wordml/cid" mc:Ignorable="w16cid">
  <w16cid:commentId w16cid:paraId="1F2701AE" w16cid:durableId="4C5788A0"/>
  <w16cid:commentId w16cid:paraId="4E0C2201" w16cid:durableId="7F5F7F26"/>
  <w16cid:commentId w16cid:paraId="3511F1C2" w16cid:durableId="6B2D950D"/>
  <w16cid:commentId w16cid:paraId="5DC2B29F" w16cid:durableId="2A0F5C1F"/>
  <w16cid:commentId w16cid:paraId="36FF2F65" w16cid:durableId="3732DAA7"/>
  <w16cid:commentId w16cid:paraId="54BC0203" w16cid:durableId="028D958F"/>
  <w16cid:commentId w16cid:paraId="7A20AFF9" w16cid:durableId="10CC38BD"/>
  <w16cid:commentId w16cid:paraId="5251EE7E" w16cid:durableId="59632E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7A72" w:rsidP="009E7A72" w:rsidRDefault="009E7A72" w14:paraId="7D3C104A" w14:textId="77777777">
      <w:pPr>
        <w:spacing w:after="0" w:line="240" w:lineRule="auto"/>
      </w:pPr>
      <w:r>
        <w:separator/>
      </w:r>
    </w:p>
  </w:endnote>
  <w:endnote w:type="continuationSeparator" w:id="0">
    <w:p w:rsidR="009E7A72" w:rsidP="009E7A72" w:rsidRDefault="009E7A72" w14:paraId="207B3C9A" w14:textId="77777777">
      <w:pPr>
        <w:spacing w:after="0" w:line="240" w:lineRule="auto"/>
      </w:pPr>
      <w:r>
        <w:continuationSeparator/>
      </w:r>
    </w:p>
  </w:endnote>
  <w:endnote w:type="continuationNotice" w:id="1">
    <w:p w:rsidR="007D0D1A" w:rsidRDefault="007D0D1A" w14:paraId="1EE0F32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FD6C3C2" w:rsidTr="2FD6C3C2" w14:paraId="392061DA" w14:textId="77777777">
      <w:trPr>
        <w:trHeight w:val="300"/>
      </w:trPr>
      <w:tc>
        <w:tcPr>
          <w:tcW w:w="3005" w:type="dxa"/>
        </w:tcPr>
        <w:p w:rsidR="2FD6C3C2" w:rsidP="2FD6C3C2" w:rsidRDefault="2FD6C3C2" w14:paraId="4AE0FDC7" w14:textId="3FE5A398">
          <w:pPr>
            <w:pStyle w:val="Header"/>
            <w:ind w:left="-115"/>
          </w:pPr>
        </w:p>
      </w:tc>
      <w:tc>
        <w:tcPr>
          <w:tcW w:w="3005" w:type="dxa"/>
        </w:tcPr>
        <w:p w:rsidR="2FD6C3C2" w:rsidP="2FD6C3C2" w:rsidRDefault="2FD6C3C2" w14:paraId="068159A3" w14:textId="3C5835A4">
          <w:pPr>
            <w:pStyle w:val="Header"/>
            <w:jc w:val="center"/>
          </w:pPr>
        </w:p>
      </w:tc>
      <w:tc>
        <w:tcPr>
          <w:tcW w:w="3005" w:type="dxa"/>
        </w:tcPr>
        <w:p w:rsidR="2FD6C3C2" w:rsidP="2FD6C3C2" w:rsidRDefault="2FD6C3C2" w14:paraId="388FD80D" w14:textId="75BC019F">
          <w:pPr>
            <w:pStyle w:val="Header"/>
            <w:ind w:right="-115"/>
            <w:jc w:val="right"/>
          </w:pPr>
        </w:p>
      </w:tc>
    </w:tr>
  </w:tbl>
  <w:p w:rsidR="2FD6C3C2" w:rsidP="2FD6C3C2" w:rsidRDefault="2FD6C3C2" w14:paraId="19FF6FEF" w14:textId="43696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7A72" w:rsidP="009E7A72" w:rsidRDefault="009E7A72" w14:paraId="0D991967" w14:textId="77777777">
      <w:pPr>
        <w:spacing w:after="0" w:line="240" w:lineRule="auto"/>
      </w:pPr>
      <w:r>
        <w:separator/>
      </w:r>
    </w:p>
  </w:footnote>
  <w:footnote w:type="continuationSeparator" w:id="0">
    <w:p w:rsidR="009E7A72" w:rsidP="009E7A72" w:rsidRDefault="009E7A72" w14:paraId="7D64FAA0" w14:textId="77777777">
      <w:pPr>
        <w:spacing w:after="0" w:line="240" w:lineRule="auto"/>
      </w:pPr>
      <w:r>
        <w:continuationSeparator/>
      </w:r>
    </w:p>
  </w:footnote>
  <w:footnote w:type="continuationNotice" w:id="1">
    <w:p w:rsidR="007D0D1A" w:rsidRDefault="007D0D1A" w14:paraId="78BB69B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B32D4"/>
    <w:multiLevelType w:val="hybridMultilevel"/>
    <w:tmpl w:val="F26EFC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C73F58"/>
    <w:multiLevelType w:val="hybridMultilevel"/>
    <w:tmpl w:val="01C07872"/>
    <w:lvl w:ilvl="0" w:tplc="24E6EA02">
      <w:start w:val="2"/>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08001E4"/>
    <w:multiLevelType w:val="hybridMultilevel"/>
    <w:tmpl w:val="C6B21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7F288F"/>
    <w:multiLevelType w:val="multilevel"/>
    <w:tmpl w:val="5BB81B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812748026">
    <w:abstractNumId w:val="0"/>
  </w:num>
  <w:num w:numId="2" w16cid:durableId="1351684840">
    <w:abstractNumId w:val="1"/>
  </w:num>
  <w:num w:numId="3" w16cid:durableId="1395815486">
    <w:abstractNumId w:val="3"/>
  </w:num>
  <w:num w:numId="4" w16cid:durableId="484443872">
    <w:abstractNumId w:val="2"/>
  </w:num>
</w:numbering>
</file>

<file path=word/people.xml><?xml version="1.0" encoding="utf-8"?>
<w15:people xmlns:mc="http://schemas.openxmlformats.org/markup-compatibility/2006" xmlns:w15="http://schemas.microsoft.com/office/word/2012/wordml" mc:Ignorable="w15">
  <w15:person w15:author="Mohamed Khamis">
    <w15:presenceInfo w15:providerId="AD" w15:userId="S::mohamed.khamis@glasgow.ac.uk::20ddcdcc-63a2-42d8-aa0b-ddba6b4f5735"/>
  </w15:person>
  <w15:person w15:author="Mohamed Khamis [2]">
    <w15:presenceInfo w15:providerId="AD" w15:userId="S::Mohamed.Khamis@glasgow.ac.uk::20ddcdcc-63a2-42d8-aa0b-ddba6b4f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9F"/>
    <w:rsid w:val="00054060"/>
    <w:rsid w:val="000A540E"/>
    <w:rsid w:val="000A65CE"/>
    <w:rsid w:val="00133547"/>
    <w:rsid w:val="001573C8"/>
    <w:rsid w:val="001A5BC8"/>
    <w:rsid w:val="002076DD"/>
    <w:rsid w:val="00213AA2"/>
    <w:rsid w:val="00265364"/>
    <w:rsid w:val="00276B09"/>
    <w:rsid w:val="002A5ED6"/>
    <w:rsid w:val="002D20F7"/>
    <w:rsid w:val="002F3BA4"/>
    <w:rsid w:val="00306BDD"/>
    <w:rsid w:val="00307619"/>
    <w:rsid w:val="003345AF"/>
    <w:rsid w:val="00335EE7"/>
    <w:rsid w:val="003465EB"/>
    <w:rsid w:val="00346615"/>
    <w:rsid w:val="00380F6B"/>
    <w:rsid w:val="00391DA6"/>
    <w:rsid w:val="003F7481"/>
    <w:rsid w:val="00407B4D"/>
    <w:rsid w:val="00462493"/>
    <w:rsid w:val="00472128"/>
    <w:rsid w:val="00497F24"/>
    <w:rsid w:val="004B1337"/>
    <w:rsid w:val="004E2A05"/>
    <w:rsid w:val="005010C6"/>
    <w:rsid w:val="00547C90"/>
    <w:rsid w:val="00577169"/>
    <w:rsid w:val="0058557A"/>
    <w:rsid w:val="00596277"/>
    <w:rsid w:val="006007CD"/>
    <w:rsid w:val="00604507"/>
    <w:rsid w:val="0060637C"/>
    <w:rsid w:val="00620A25"/>
    <w:rsid w:val="00631548"/>
    <w:rsid w:val="00675F6D"/>
    <w:rsid w:val="00680A2C"/>
    <w:rsid w:val="006873D0"/>
    <w:rsid w:val="00687B9F"/>
    <w:rsid w:val="00697E5B"/>
    <w:rsid w:val="006A1BF6"/>
    <w:rsid w:val="007165EF"/>
    <w:rsid w:val="0076235B"/>
    <w:rsid w:val="00790131"/>
    <w:rsid w:val="00791571"/>
    <w:rsid w:val="007B4E22"/>
    <w:rsid w:val="007B60A1"/>
    <w:rsid w:val="007D0D1A"/>
    <w:rsid w:val="007F4787"/>
    <w:rsid w:val="008043E8"/>
    <w:rsid w:val="0081401D"/>
    <w:rsid w:val="008467FE"/>
    <w:rsid w:val="00885502"/>
    <w:rsid w:val="008F39B7"/>
    <w:rsid w:val="008F6B69"/>
    <w:rsid w:val="009365D8"/>
    <w:rsid w:val="009B3C11"/>
    <w:rsid w:val="009B42A2"/>
    <w:rsid w:val="009C5732"/>
    <w:rsid w:val="009E7A72"/>
    <w:rsid w:val="009F2584"/>
    <w:rsid w:val="00A20384"/>
    <w:rsid w:val="00A272C7"/>
    <w:rsid w:val="00A418CB"/>
    <w:rsid w:val="00A82F54"/>
    <w:rsid w:val="00A844AE"/>
    <w:rsid w:val="00A856E3"/>
    <w:rsid w:val="00AB2530"/>
    <w:rsid w:val="00AF1DCD"/>
    <w:rsid w:val="00B567DF"/>
    <w:rsid w:val="00B6768B"/>
    <w:rsid w:val="00BB36C1"/>
    <w:rsid w:val="00BD0954"/>
    <w:rsid w:val="00BF18B4"/>
    <w:rsid w:val="00C537EC"/>
    <w:rsid w:val="00C644D2"/>
    <w:rsid w:val="00C76445"/>
    <w:rsid w:val="00C858A4"/>
    <w:rsid w:val="00CC128C"/>
    <w:rsid w:val="00CC5FA7"/>
    <w:rsid w:val="00D12187"/>
    <w:rsid w:val="00D26834"/>
    <w:rsid w:val="00D75E5A"/>
    <w:rsid w:val="00DD6601"/>
    <w:rsid w:val="00E254B9"/>
    <w:rsid w:val="00E33B87"/>
    <w:rsid w:val="00E7147B"/>
    <w:rsid w:val="00EA6D80"/>
    <w:rsid w:val="00EC7BBA"/>
    <w:rsid w:val="00F2141A"/>
    <w:rsid w:val="00F57875"/>
    <w:rsid w:val="00F62543"/>
    <w:rsid w:val="00F67219"/>
    <w:rsid w:val="00F87FCE"/>
    <w:rsid w:val="00FE3B9F"/>
    <w:rsid w:val="014581C9"/>
    <w:rsid w:val="03ADBAD9"/>
    <w:rsid w:val="0616CB68"/>
    <w:rsid w:val="07DBA33B"/>
    <w:rsid w:val="0AF584C7"/>
    <w:rsid w:val="0B17B260"/>
    <w:rsid w:val="0BD3D5C7"/>
    <w:rsid w:val="0CEF7E95"/>
    <w:rsid w:val="0F0F678A"/>
    <w:rsid w:val="1085306D"/>
    <w:rsid w:val="1306AABB"/>
    <w:rsid w:val="14D85C54"/>
    <w:rsid w:val="16B0D063"/>
    <w:rsid w:val="18435F4F"/>
    <w:rsid w:val="1BE2C847"/>
    <w:rsid w:val="210B31F4"/>
    <w:rsid w:val="25FB3DE1"/>
    <w:rsid w:val="2647D38B"/>
    <w:rsid w:val="270D2194"/>
    <w:rsid w:val="271643DF"/>
    <w:rsid w:val="28865B8F"/>
    <w:rsid w:val="28FA8D70"/>
    <w:rsid w:val="2C01CDF9"/>
    <w:rsid w:val="2FD6C3C2"/>
    <w:rsid w:val="302F8625"/>
    <w:rsid w:val="31703757"/>
    <w:rsid w:val="3183B6EB"/>
    <w:rsid w:val="328AFC03"/>
    <w:rsid w:val="3BA58ECF"/>
    <w:rsid w:val="3FE2E931"/>
    <w:rsid w:val="3FE8F52F"/>
    <w:rsid w:val="41382CA2"/>
    <w:rsid w:val="42348905"/>
    <w:rsid w:val="424D8EB0"/>
    <w:rsid w:val="429D5C19"/>
    <w:rsid w:val="438CAFE2"/>
    <w:rsid w:val="45580243"/>
    <w:rsid w:val="45C795E1"/>
    <w:rsid w:val="47951B81"/>
    <w:rsid w:val="4BAAF8D4"/>
    <w:rsid w:val="4D47FE70"/>
    <w:rsid w:val="4E30C804"/>
    <w:rsid w:val="505C84C1"/>
    <w:rsid w:val="5075B3D5"/>
    <w:rsid w:val="52C80309"/>
    <w:rsid w:val="541599FD"/>
    <w:rsid w:val="5512B105"/>
    <w:rsid w:val="58C38608"/>
    <w:rsid w:val="59716B31"/>
    <w:rsid w:val="59F11ACB"/>
    <w:rsid w:val="59F60AC0"/>
    <w:rsid w:val="5A52D867"/>
    <w:rsid w:val="5AD63642"/>
    <w:rsid w:val="5E790910"/>
    <w:rsid w:val="5ECD6704"/>
    <w:rsid w:val="6083CAC2"/>
    <w:rsid w:val="60CEF6F9"/>
    <w:rsid w:val="61C74FBC"/>
    <w:rsid w:val="61FD2C1C"/>
    <w:rsid w:val="62625B4B"/>
    <w:rsid w:val="63611DDC"/>
    <w:rsid w:val="636B2EE2"/>
    <w:rsid w:val="63DC3333"/>
    <w:rsid w:val="646F0C05"/>
    <w:rsid w:val="65178E5B"/>
    <w:rsid w:val="653C305A"/>
    <w:rsid w:val="65CE0902"/>
    <w:rsid w:val="6795B5FA"/>
    <w:rsid w:val="699E5965"/>
    <w:rsid w:val="69AC4A52"/>
    <w:rsid w:val="6A20BFB4"/>
    <w:rsid w:val="6A87B7CC"/>
    <w:rsid w:val="6BCE493A"/>
    <w:rsid w:val="6DED9259"/>
    <w:rsid w:val="7030A2AB"/>
    <w:rsid w:val="714510D3"/>
    <w:rsid w:val="726024DC"/>
    <w:rsid w:val="72F7974F"/>
    <w:rsid w:val="73A2522D"/>
    <w:rsid w:val="742ED125"/>
    <w:rsid w:val="74A63EA7"/>
    <w:rsid w:val="752E8AE8"/>
    <w:rsid w:val="75AE875B"/>
    <w:rsid w:val="781F827D"/>
    <w:rsid w:val="7A43DAD0"/>
    <w:rsid w:val="7D071E78"/>
    <w:rsid w:val="7F9156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F4376"/>
  <w15:chartTrackingRefBased/>
  <w15:docId w15:val="{010C86B9-FFF4-4688-85B6-7D5B0B2C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E3B9F"/>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3B9F"/>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3B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3B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3B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3B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B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B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B9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E3B9F"/>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FE3B9F"/>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FE3B9F"/>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FE3B9F"/>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FE3B9F"/>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FE3B9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E3B9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E3B9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E3B9F"/>
    <w:rPr>
      <w:rFonts w:eastAsiaTheme="majorEastAsia" w:cstheme="majorBidi"/>
      <w:color w:val="272727" w:themeColor="text1" w:themeTint="D8"/>
    </w:rPr>
  </w:style>
  <w:style w:type="paragraph" w:styleId="Title">
    <w:name w:val="Title"/>
    <w:basedOn w:val="Normal"/>
    <w:next w:val="Normal"/>
    <w:link w:val="TitleChar"/>
    <w:uiPriority w:val="10"/>
    <w:qFormat/>
    <w:rsid w:val="00FE3B9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E3B9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E3B9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E3B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B9F"/>
    <w:pPr>
      <w:spacing w:before="160"/>
      <w:jc w:val="center"/>
    </w:pPr>
    <w:rPr>
      <w:i/>
      <w:iCs/>
      <w:color w:val="404040" w:themeColor="text1" w:themeTint="BF"/>
    </w:rPr>
  </w:style>
  <w:style w:type="character" w:styleId="QuoteChar" w:customStyle="1">
    <w:name w:val="Quote Char"/>
    <w:basedOn w:val="DefaultParagraphFont"/>
    <w:link w:val="Quote"/>
    <w:uiPriority w:val="29"/>
    <w:rsid w:val="00FE3B9F"/>
    <w:rPr>
      <w:i/>
      <w:iCs/>
      <w:color w:val="404040" w:themeColor="text1" w:themeTint="BF"/>
    </w:rPr>
  </w:style>
  <w:style w:type="paragraph" w:styleId="ListParagraph">
    <w:name w:val="List Paragraph"/>
    <w:basedOn w:val="Normal"/>
    <w:uiPriority w:val="34"/>
    <w:qFormat/>
    <w:rsid w:val="00FE3B9F"/>
    <w:pPr>
      <w:ind w:left="720"/>
      <w:contextualSpacing/>
    </w:pPr>
  </w:style>
  <w:style w:type="character" w:styleId="IntenseEmphasis">
    <w:name w:val="Intense Emphasis"/>
    <w:basedOn w:val="DefaultParagraphFont"/>
    <w:uiPriority w:val="21"/>
    <w:qFormat/>
    <w:rsid w:val="00FE3B9F"/>
    <w:rPr>
      <w:i/>
      <w:iCs/>
      <w:color w:val="2F5496" w:themeColor="accent1" w:themeShade="BF"/>
    </w:rPr>
  </w:style>
  <w:style w:type="paragraph" w:styleId="IntenseQuote">
    <w:name w:val="Intense Quote"/>
    <w:basedOn w:val="Normal"/>
    <w:next w:val="Normal"/>
    <w:link w:val="IntenseQuoteChar"/>
    <w:uiPriority w:val="30"/>
    <w:qFormat/>
    <w:rsid w:val="00FE3B9F"/>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FE3B9F"/>
    <w:rPr>
      <w:i/>
      <w:iCs/>
      <w:color w:val="2F5496" w:themeColor="accent1" w:themeShade="BF"/>
    </w:rPr>
  </w:style>
  <w:style w:type="character" w:styleId="IntenseReference">
    <w:name w:val="Intense Reference"/>
    <w:basedOn w:val="DefaultParagraphFont"/>
    <w:uiPriority w:val="32"/>
    <w:qFormat/>
    <w:rsid w:val="00FE3B9F"/>
    <w:rPr>
      <w:b/>
      <w:bCs/>
      <w:smallCaps/>
      <w:color w:val="2F5496" w:themeColor="accent1" w:themeShade="BF"/>
      <w:spacing w:val="5"/>
    </w:rPr>
  </w:style>
  <w:style w:type="character" w:styleId="Hyperlink">
    <w:name w:val="Hyperlink"/>
    <w:basedOn w:val="DefaultParagraphFont"/>
    <w:uiPriority w:val="99"/>
    <w:unhideWhenUsed/>
    <w:rsid w:val="00FE3B9F"/>
    <w:rPr>
      <w:color w:val="0563C1" w:themeColor="hyperlink"/>
      <w:u w:val="single"/>
    </w:rPr>
  </w:style>
  <w:style w:type="character" w:styleId="UnresolvedMention">
    <w:name w:val="Unresolved Mention"/>
    <w:basedOn w:val="DefaultParagraphFont"/>
    <w:uiPriority w:val="99"/>
    <w:semiHidden/>
    <w:unhideWhenUsed/>
    <w:rsid w:val="00FE3B9F"/>
    <w:rPr>
      <w:color w:val="605E5C"/>
      <w:shd w:val="clear" w:color="auto" w:fill="E1DFDD"/>
    </w:rPr>
  </w:style>
  <w:style w:type="paragraph" w:styleId="NormalWeb">
    <w:name w:val="Normal (Web)"/>
    <w:basedOn w:val="Normal"/>
    <w:uiPriority w:val="99"/>
    <w:semiHidden/>
    <w:unhideWhenUsed/>
    <w:rsid w:val="00C644D2"/>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C644D2"/>
    <w:rPr>
      <w:b/>
      <w:bCs/>
    </w:rPr>
  </w:style>
  <w:style w:type="character" w:styleId="CommentReference">
    <w:name w:val="annotation reference"/>
    <w:basedOn w:val="DefaultParagraphFont"/>
    <w:uiPriority w:val="99"/>
    <w:semiHidden/>
    <w:unhideWhenUsed/>
    <w:rsid w:val="00C644D2"/>
    <w:rPr>
      <w:sz w:val="16"/>
      <w:szCs w:val="16"/>
    </w:rPr>
  </w:style>
  <w:style w:type="paragraph" w:styleId="CommentText">
    <w:name w:val="annotation text"/>
    <w:basedOn w:val="Normal"/>
    <w:link w:val="CommentTextChar"/>
    <w:uiPriority w:val="99"/>
    <w:unhideWhenUsed/>
    <w:rsid w:val="00C644D2"/>
    <w:pPr>
      <w:spacing w:line="240" w:lineRule="auto"/>
    </w:pPr>
    <w:rPr>
      <w:sz w:val="20"/>
      <w:szCs w:val="20"/>
    </w:rPr>
  </w:style>
  <w:style w:type="character" w:styleId="CommentTextChar" w:customStyle="1">
    <w:name w:val="Comment Text Char"/>
    <w:basedOn w:val="DefaultParagraphFont"/>
    <w:link w:val="CommentText"/>
    <w:uiPriority w:val="99"/>
    <w:rsid w:val="00C644D2"/>
    <w:rPr>
      <w:sz w:val="20"/>
      <w:szCs w:val="20"/>
    </w:rPr>
  </w:style>
  <w:style w:type="paragraph" w:styleId="CommentSubject">
    <w:name w:val="annotation subject"/>
    <w:basedOn w:val="CommentText"/>
    <w:next w:val="CommentText"/>
    <w:link w:val="CommentSubjectChar"/>
    <w:uiPriority w:val="99"/>
    <w:semiHidden/>
    <w:unhideWhenUsed/>
    <w:rsid w:val="00C644D2"/>
    <w:rPr>
      <w:b/>
      <w:bCs/>
    </w:rPr>
  </w:style>
  <w:style w:type="character" w:styleId="CommentSubjectChar" w:customStyle="1">
    <w:name w:val="Comment Subject Char"/>
    <w:basedOn w:val="CommentTextChar"/>
    <w:link w:val="CommentSubject"/>
    <w:uiPriority w:val="99"/>
    <w:semiHidden/>
    <w:rsid w:val="00C644D2"/>
    <w:rPr>
      <w:b/>
      <w:bCs/>
      <w:sz w:val="20"/>
      <w:szCs w:val="20"/>
    </w:rPr>
  </w:style>
  <w:style w:type="paragraph" w:styleId="Header">
    <w:name w:val="header"/>
    <w:basedOn w:val="Normal"/>
    <w:link w:val="HeaderChar"/>
    <w:uiPriority w:val="99"/>
    <w:unhideWhenUsed/>
    <w:rsid w:val="009E7A72"/>
    <w:pPr>
      <w:tabs>
        <w:tab w:val="center" w:pos="4513"/>
        <w:tab w:val="right" w:pos="9026"/>
      </w:tabs>
      <w:spacing w:after="0" w:line="240" w:lineRule="auto"/>
    </w:pPr>
  </w:style>
  <w:style w:type="character" w:styleId="HeaderChar" w:customStyle="1">
    <w:name w:val="Header Char"/>
    <w:basedOn w:val="DefaultParagraphFont"/>
    <w:link w:val="Header"/>
    <w:uiPriority w:val="99"/>
    <w:rsid w:val="009E7A72"/>
  </w:style>
  <w:style w:type="paragraph" w:styleId="Footer">
    <w:name w:val="footer"/>
    <w:basedOn w:val="Normal"/>
    <w:link w:val="FooterChar"/>
    <w:uiPriority w:val="99"/>
    <w:unhideWhenUsed/>
    <w:rsid w:val="009E7A72"/>
    <w:pPr>
      <w:tabs>
        <w:tab w:val="center" w:pos="4513"/>
        <w:tab w:val="right" w:pos="9026"/>
      </w:tabs>
      <w:spacing w:after="0" w:line="240" w:lineRule="auto"/>
    </w:pPr>
  </w:style>
  <w:style w:type="character" w:styleId="FooterChar" w:customStyle="1">
    <w:name w:val="Footer Char"/>
    <w:basedOn w:val="DefaultParagraphFont"/>
    <w:link w:val="Footer"/>
    <w:uiPriority w:val="99"/>
    <w:rsid w:val="009E7A72"/>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4-Accent1">
    <w:name w:val="Grid Table 4 Accent 1"/>
    <w:basedOn w:val="TableNormal"/>
    <w:uiPriority w:val="49"/>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9240">
      <w:bodyDiv w:val="1"/>
      <w:marLeft w:val="0"/>
      <w:marRight w:val="0"/>
      <w:marTop w:val="0"/>
      <w:marBottom w:val="0"/>
      <w:divBdr>
        <w:top w:val="none" w:sz="0" w:space="0" w:color="auto"/>
        <w:left w:val="none" w:sz="0" w:space="0" w:color="auto"/>
        <w:bottom w:val="none" w:sz="0" w:space="0" w:color="auto"/>
        <w:right w:val="none" w:sz="0" w:space="0" w:color="auto"/>
      </w:divBdr>
    </w:div>
    <w:div w:id="308900166">
      <w:bodyDiv w:val="1"/>
      <w:marLeft w:val="0"/>
      <w:marRight w:val="0"/>
      <w:marTop w:val="0"/>
      <w:marBottom w:val="0"/>
      <w:divBdr>
        <w:top w:val="none" w:sz="0" w:space="0" w:color="auto"/>
        <w:left w:val="none" w:sz="0" w:space="0" w:color="auto"/>
        <w:bottom w:val="none" w:sz="0" w:space="0" w:color="auto"/>
        <w:right w:val="none" w:sz="0" w:space="0" w:color="auto"/>
      </w:divBdr>
    </w:div>
    <w:div w:id="319509527">
      <w:bodyDiv w:val="1"/>
      <w:marLeft w:val="0"/>
      <w:marRight w:val="0"/>
      <w:marTop w:val="0"/>
      <w:marBottom w:val="0"/>
      <w:divBdr>
        <w:top w:val="none" w:sz="0" w:space="0" w:color="auto"/>
        <w:left w:val="none" w:sz="0" w:space="0" w:color="auto"/>
        <w:bottom w:val="none" w:sz="0" w:space="0" w:color="auto"/>
        <w:right w:val="none" w:sz="0" w:space="0" w:color="auto"/>
      </w:divBdr>
    </w:div>
    <w:div w:id="349913435">
      <w:bodyDiv w:val="1"/>
      <w:marLeft w:val="0"/>
      <w:marRight w:val="0"/>
      <w:marTop w:val="0"/>
      <w:marBottom w:val="0"/>
      <w:divBdr>
        <w:top w:val="none" w:sz="0" w:space="0" w:color="auto"/>
        <w:left w:val="none" w:sz="0" w:space="0" w:color="auto"/>
        <w:bottom w:val="none" w:sz="0" w:space="0" w:color="auto"/>
        <w:right w:val="none" w:sz="0" w:space="0" w:color="auto"/>
      </w:divBdr>
    </w:div>
    <w:div w:id="383455036">
      <w:bodyDiv w:val="1"/>
      <w:marLeft w:val="0"/>
      <w:marRight w:val="0"/>
      <w:marTop w:val="0"/>
      <w:marBottom w:val="0"/>
      <w:divBdr>
        <w:top w:val="none" w:sz="0" w:space="0" w:color="auto"/>
        <w:left w:val="none" w:sz="0" w:space="0" w:color="auto"/>
        <w:bottom w:val="none" w:sz="0" w:space="0" w:color="auto"/>
        <w:right w:val="none" w:sz="0" w:space="0" w:color="auto"/>
      </w:divBdr>
    </w:div>
    <w:div w:id="438109633">
      <w:bodyDiv w:val="1"/>
      <w:marLeft w:val="0"/>
      <w:marRight w:val="0"/>
      <w:marTop w:val="0"/>
      <w:marBottom w:val="0"/>
      <w:divBdr>
        <w:top w:val="none" w:sz="0" w:space="0" w:color="auto"/>
        <w:left w:val="none" w:sz="0" w:space="0" w:color="auto"/>
        <w:bottom w:val="none" w:sz="0" w:space="0" w:color="auto"/>
        <w:right w:val="none" w:sz="0" w:space="0" w:color="auto"/>
      </w:divBdr>
    </w:div>
    <w:div w:id="479081927">
      <w:bodyDiv w:val="1"/>
      <w:marLeft w:val="0"/>
      <w:marRight w:val="0"/>
      <w:marTop w:val="0"/>
      <w:marBottom w:val="0"/>
      <w:divBdr>
        <w:top w:val="none" w:sz="0" w:space="0" w:color="auto"/>
        <w:left w:val="none" w:sz="0" w:space="0" w:color="auto"/>
        <w:bottom w:val="none" w:sz="0" w:space="0" w:color="auto"/>
        <w:right w:val="none" w:sz="0" w:space="0" w:color="auto"/>
      </w:divBdr>
    </w:div>
    <w:div w:id="850870550">
      <w:bodyDiv w:val="1"/>
      <w:marLeft w:val="0"/>
      <w:marRight w:val="0"/>
      <w:marTop w:val="0"/>
      <w:marBottom w:val="0"/>
      <w:divBdr>
        <w:top w:val="none" w:sz="0" w:space="0" w:color="auto"/>
        <w:left w:val="none" w:sz="0" w:space="0" w:color="auto"/>
        <w:bottom w:val="none" w:sz="0" w:space="0" w:color="auto"/>
        <w:right w:val="none" w:sz="0" w:space="0" w:color="auto"/>
      </w:divBdr>
    </w:div>
    <w:div w:id="904534717">
      <w:bodyDiv w:val="1"/>
      <w:marLeft w:val="0"/>
      <w:marRight w:val="0"/>
      <w:marTop w:val="0"/>
      <w:marBottom w:val="0"/>
      <w:divBdr>
        <w:top w:val="none" w:sz="0" w:space="0" w:color="auto"/>
        <w:left w:val="none" w:sz="0" w:space="0" w:color="auto"/>
        <w:bottom w:val="none" w:sz="0" w:space="0" w:color="auto"/>
        <w:right w:val="none" w:sz="0" w:space="0" w:color="auto"/>
      </w:divBdr>
    </w:div>
    <w:div w:id="926815830">
      <w:bodyDiv w:val="1"/>
      <w:marLeft w:val="0"/>
      <w:marRight w:val="0"/>
      <w:marTop w:val="0"/>
      <w:marBottom w:val="0"/>
      <w:divBdr>
        <w:top w:val="none" w:sz="0" w:space="0" w:color="auto"/>
        <w:left w:val="none" w:sz="0" w:space="0" w:color="auto"/>
        <w:bottom w:val="none" w:sz="0" w:space="0" w:color="auto"/>
        <w:right w:val="none" w:sz="0" w:space="0" w:color="auto"/>
      </w:divBdr>
    </w:div>
    <w:div w:id="928612159">
      <w:bodyDiv w:val="1"/>
      <w:marLeft w:val="0"/>
      <w:marRight w:val="0"/>
      <w:marTop w:val="0"/>
      <w:marBottom w:val="0"/>
      <w:divBdr>
        <w:top w:val="none" w:sz="0" w:space="0" w:color="auto"/>
        <w:left w:val="none" w:sz="0" w:space="0" w:color="auto"/>
        <w:bottom w:val="none" w:sz="0" w:space="0" w:color="auto"/>
        <w:right w:val="none" w:sz="0" w:space="0" w:color="auto"/>
      </w:divBdr>
    </w:div>
    <w:div w:id="930042720">
      <w:bodyDiv w:val="1"/>
      <w:marLeft w:val="0"/>
      <w:marRight w:val="0"/>
      <w:marTop w:val="0"/>
      <w:marBottom w:val="0"/>
      <w:divBdr>
        <w:top w:val="none" w:sz="0" w:space="0" w:color="auto"/>
        <w:left w:val="none" w:sz="0" w:space="0" w:color="auto"/>
        <w:bottom w:val="none" w:sz="0" w:space="0" w:color="auto"/>
        <w:right w:val="none" w:sz="0" w:space="0" w:color="auto"/>
      </w:divBdr>
    </w:div>
    <w:div w:id="1032806992">
      <w:bodyDiv w:val="1"/>
      <w:marLeft w:val="0"/>
      <w:marRight w:val="0"/>
      <w:marTop w:val="0"/>
      <w:marBottom w:val="0"/>
      <w:divBdr>
        <w:top w:val="none" w:sz="0" w:space="0" w:color="auto"/>
        <w:left w:val="none" w:sz="0" w:space="0" w:color="auto"/>
        <w:bottom w:val="none" w:sz="0" w:space="0" w:color="auto"/>
        <w:right w:val="none" w:sz="0" w:space="0" w:color="auto"/>
      </w:divBdr>
    </w:div>
    <w:div w:id="1376930910">
      <w:bodyDiv w:val="1"/>
      <w:marLeft w:val="0"/>
      <w:marRight w:val="0"/>
      <w:marTop w:val="0"/>
      <w:marBottom w:val="0"/>
      <w:divBdr>
        <w:top w:val="none" w:sz="0" w:space="0" w:color="auto"/>
        <w:left w:val="none" w:sz="0" w:space="0" w:color="auto"/>
        <w:bottom w:val="none" w:sz="0" w:space="0" w:color="auto"/>
        <w:right w:val="none" w:sz="0" w:space="0" w:color="auto"/>
      </w:divBdr>
    </w:div>
    <w:div w:id="1593665870">
      <w:bodyDiv w:val="1"/>
      <w:marLeft w:val="0"/>
      <w:marRight w:val="0"/>
      <w:marTop w:val="0"/>
      <w:marBottom w:val="0"/>
      <w:divBdr>
        <w:top w:val="none" w:sz="0" w:space="0" w:color="auto"/>
        <w:left w:val="none" w:sz="0" w:space="0" w:color="auto"/>
        <w:bottom w:val="none" w:sz="0" w:space="0" w:color="auto"/>
        <w:right w:val="none" w:sz="0" w:space="0" w:color="auto"/>
      </w:divBdr>
    </w:div>
    <w:div w:id="1597209058">
      <w:bodyDiv w:val="1"/>
      <w:marLeft w:val="0"/>
      <w:marRight w:val="0"/>
      <w:marTop w:val="0"/>
      <w:marBottom w:val="0"/>
      <w:divBdr>
        <w:top w:val="none" w:sz="0" w:space="0" w:color="auto"/>
        <w:left w:val="none" w:sz="0" w:space="0" w:color="auto"/>
        <w:bottom w:val="none" w:sz="0" w:space="0" w:color="auto"/>
        <w:right w:val="none" w:sz="0" w:space="0" w:color="auto"/>
      </w:divBdr>
    </w:div>
    <w:div w:id="1785494972">
      <w:bodyDiv w:val="1"/>
      <w:marLeft w:val="0"/>
      <w:marRight w:val="0"/>
      <w:marTop w:val="0"/>
      <w:marBottom w:val="0"/>
      <w:divBdr>
        <w:top w:val="none" w:sz="0" w:space="0" w:color="auto"/>
        <w:left w:val="none" w:sz="0" w:space="0" w:color="auto"/>
        <w:bottom w:val="none" w:sz="0" w:space="0" w:color="auto"/>
        <w:right w:val="none" w:sz="0" w:space="0" w:color="auto"/>
      </w:divBdr>
    </w:div>
    <w:div w:id="17875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tandfonline.com/doi/full/10.1080/07294360.2016.1208157" TargetMode="External"/><Relationship Id="rId2" Type="http://schemas.openxmlformats.org/officeDocument/2006/relationships/hyperlink" Target="https://eur03.safelinks.protection.outlook.com/?url=https%3A%2F%2Fwww.tandfonline.com%2Fdoi%2Ffull%2F10.1080%2F13562511003740908&amp;data=05%7C01%7CMohamed.Khamis%40glasgow.ac.uk%7C4543a576d78e4e6e008508dbd3cdaac2%7C6e725c29763a4f5081f22e254f0133c8%7C1%7C0%7C638336652501805323%7CUnknown%7CTWFpbGZsb3d8eyJWIjoiMC4wLjAwMDAiLCJQIjoiV2luMzIiLCJBTiI6Ik1haWwiLCJXVCI6Mn0%3D%7C3000%7C%7C%7C&amp;sdata=TFavut7MWmmKYbQ5mMssSD%2B1QZoxKb1sJV1dgDcG0Jc%3D&amp;reserved=0" TargetMode="External"/><Relationship Id="rId1" Type="http://schemas.openxmlformats.org/officeDocument/2006/relationships/hyperlink" Target="https://www.gla.ac.uk/media/Media_757344_smxx.pdf" TargetMode="External"/></Relationship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comments" Target="comments.xml" Id="rId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gla.ac.uk/research/ourresearchenvironment/prs/pgrcodeofpractice/" TargetMode="External" Id="rId11" /><Relationship Type="http://schemas.openxmlformats.org/officeDocument/2006/relationships/footnotes" Target="footnotes.xml" Id="rId5" /><Relationship Type="http://schemas.microsoft.com/office/2011/relationships/people" Target="people.xml" Id="rId15" /><Relationship Type="http://schemas.microsoft.com/office/2018/08/relationships/commentsExtensible" Target="commentsExtensible.xml" Id="rId10"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fontTable" Target="fontTable.xml" Id="rId14" /><Relationship Type="http://schemas.openxmlformats.org/officeDocument/2006/relationships/hyperlink" Target="https://moodle.gla.ac.uk/course/view.php?id=31146&amp;section=17" TargetMode="External" Id="R68c9fd788a584bdd" /><Relationship Type="http://schemas.openxmlformats.org/officeDocument/2006/relationships/hyperlink" Target="https://www.gla.ac.uk/research/ourresearchenvironment/prs/pgrcodeofpractice/examinationguidanceandforms/" TargetMode="External" Id="R19c85c0473594d57"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Mohamed Khamis</dc:creator>
  <keywords/>
  <dc:description/>
  <lastModifiedBy>Mohamed Khamis</lastModifiedBy>
  <revision>48</revision>
  <dcterms:created xsi:type="dcterms:W3CDTF">2024-10-07T13:44:00.0000000Z</dcterms:created>
  <dcterms:modified xsi:type="dcterms:W3CDTF">2025-08-09T23:46:38.0823551Z</dcterms:modified>
</coreProperties>
</file>