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656135127"/>
        <w:docPartObj>
          <w:docPartGallery w:val="Cover Pages"/>
          <w:docPartUnique/>
        </w:docPartObj>
      </w:sdtPr>
      <w:sdtEndPr>
        <w:rPr>
          <w:rFonts w:ascii="Calibri" w:eastAsia="DengXian" w:hAnsi="Calibri" w:cs="Arial"/>
          <w:color w:val="auto"/>
          <w:kern w:val="0"/>
          <w:sz w:val="22"/>
          <w:szCs w:val="22"/>
          <w14:ligatures w14:val="none"/>
        </w:rPr>
      </w:sdtEndPr>
      <w:sdtContent>
        <w:p w14:paraId="2EED0C5A" w14:textId="77777777" w:rsidR="00457AB1" w:rsidRPr="00457AB1" w:rsidRDefault="00457AB1" w:rsidP="00457AB1">
          <w:pPr>
            <w:spacing w:after="0" w:line="320" w:lineRule="atLeast"/>
            <w:rPr>
              <w:rFonts w:ascii="Arial" w:eastAsia="DengXian" w:hAnsi="Arial" w:cs="Arial"/>
              <w:b/>
              <w:color w:val="003865"/>
              <w:kern w:val="0"/>
              <w:sz w:val="72"/>
              <w:szCs w:val="72"/>
              <w14:ligatures w14:val="none"/>
            </w:rPr>
          </w:pPr>
          <w:r w:rsidRPr="00457AB1">
            <w:rPr>
              <w:rFonts w:ascii="Arial" w:eastAsia="DengXian" w:hAnsi="Arial" w:cs="Arial"/>
              <w:noProof/>
              <w:kern w:val="0"/>
              <w:sz w:val="22"/>
              <w:szCs w:val="22"/>
              <w:lang w:eastAsia="en-GB"/>
              <w14:ligatures w14:val="none"/>
            </w:rPr>
            <w:drawing>
              <wp:inline distT="0" distB="0" distL="0" distR="0" wp14:anchorId="294137AD" wp14:editId="4601A12B">
                <wp:extent cx="2132330" cy="1112520"/>
                <wp:effectExtent l="0" t="0" r="1270" b="0"/>
                <wp:docPr id="2" name="Picture 2" descr="University of Glasgow's Marq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Glasgow's Marqu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330" cy="1112520"/>
                        </a:xfrm>
                        <a:prstGeom prst="rect">
                          <a:avLst/>
                        </a:prstGeom>
                        <a:noFill/>
                        <a:ln>
                          <a:noFill/>
                        </a:ln>
                      </pic:spPr>
                    </pic:pic>
                  </a:graphicData>
                </a:graphic>
              </wp:inline>
            </w:drawing>
          </w:r>
        </w:p>
        <w:p w14:paraId="56FF94DD" w14:textId="135475B0" w:rsidR="00457AB1" w:rsidRPr="00457AB1" w:rsidRDefault="00457AB1" w:rsidP="00457AB1">
          <w:pPr>
            <w:spacing w:before="4320" w:after="0" w:line="320" w:lineRule="atLeast"/>
            <w:jc w:val="center"/>
            <w:rPr>
              <w:rFonts w:ascii="Arial" w:eastAsia="Calibri" w:hAnsi="Arial" w:cs="Arial"/>
              <w:b/>
              <w:kern w:val="0"/>
              <w:sz w:val="28"/>
              <w:szCs w:val="28"/>
              <w:lang w:eastAsia="en-US"/>
              <w14:ligatures w14:val="none"/>
            </w:rPr>
          </w:pPr>
          <w:r w:rsidRPr="00457AB1">
            <w:rPr>
              <w:rFonts w:ascii="Arial" w:eastAsia="Calibri" w:hAnsi="Arial" w:cs="Arial"/>
              <w:b/>
              <w:color w:val="003865"/>
              <w:kern w:val="0"/>
              <w:sz w:val="72"/>
              <w:szCs w:val="72"/>
              <w:lang w:eastAsia="en-US"/>
              <w14:ligatures w14:val="none"/>
            </w:rPr>
            <w:t>Public Sector Equality Duty - Equality Outcomes 202</w:t>
          </w:r>
          <w:r>
            <w:rPr>
              <w:rFonts w:ascii="Arial" w:eastAsia="Calibri" w:hAnsi="Arial" w:cs="Arial"/>
              <w:b/>
              <w:color w:val="003865"/>
              <w:kern w:val="0"/>
              <w:sz w:val="72"/>
              <w:szCs w:val="72"/>
              <w:lang w:eastAsia="en-US"/>
              <w14:ligatures w14:val="none"/>
            </w:rPr>
            <w:t>5</w:t>
          </w:r>
          <w:r w:rsidRPr="00457AB1">
            <w:rPr>
              <w:rFonts w:ascii="Arial" w:eastAsia="Calibri" w:hAnsi="Arial" w:cs="Arial"/>
              <w:b/>
              <w:color w:val="003865"/>
              <w:kern w:val="0"/>
              <w:sz w:val="72"/>
              <w:szCs w:val="72"/>
              <w:lang w:eastAsia="en-US"/>
              <w14:ligatures w14:val="none"/>
            </w:rPr>
            <w:t>-202</w:t>
          </w:r>
          <w:r>
            <w:rPr>
              <w:rFonts w:ascii="Arial" w:eastAsia="Calibri" w:hAnsi="Arial" w:cs="Arial"/>
              <w:b/>
              <w:color w:val="003865"/>
              <w:kern w:val="0"/>
              <w:sz w:val="72"/>
              <w:szCs w:val="72"/>
              <w:lang w:eastAsia="en-US"/>
              <w14:ligatures w14:val="none"/>
            </w:rPr>
            <w:t>9</w:t>
          </w:r>
        </w:p>
        <w:p w14:paraId="0F6BA1C3" w14:textId="03F6AC6B" w:rsidR="00457AB1" w:rsidRPr="00457AB1" w:rsidRDefault="00457AB1" w:rsidP="00457AB1">
          <w:pPr>
            <w:pStyle w:val="NoSpacing"/>
            <w:spacing w:before="1540" w:after="240"/>
            <w:jc w:val="center"/>
            <w:rPr>
              <w:color w:val="156082" w:themeColor="accent1"/>
            </w:rPr>
          </w:pPr>
        </w:p>
        <w:p w14:paraId="47373F93" w14:textId="11484602" w:rsidR="00457AB1" w:rsidRPr="00457AB1" w:rsidRDefault="00457AB1" w:rsidP="00457AB1">
          <w:pPr>
            <w:rPr>
              <w:kern w:val="0"/>
              <w:sz w:val="22"/>
              <w:szCs w:val="22"/>
              <w:lang w:val="en-US" w:eastAsia="en-US"/>
              <w14:ligatures w14:val="none"/>
            </w:rPr>
          </w:pPr>
          <w:r>
            <w:br w:type="page"/>
          </w:r>
        </w:p>
      </w:sdtContent>
    </w:sdt>
    <w:p w14:paraId="3C57F1EC" w14:textId="2A317A8D" w:rsidR="006F74EC" w:rsidRPr="006F74EC" w:rsidRDefault="006F74EC" w:rsidP="006F74EC">
      <w:pPr>
        <w:spacing w:line="259" w:lineRule="auto"/>
        <w:rPr>
          <w:rFonts w:ascii="Calibri" w:eastAsia="DengXian" w:hAnsi="Calibri" w:cs="Arial"/>
          <w:kern w:val="0"/>
          <w:sz w:val="22"/>
          <w:szCs w:val="22"/>
          <w14:ligatures w14:val="none"/>
        </w:rPr>
      </w:pPr>
      <w:r w:rsidRPr="006F74EC">
        <w:rPr>
          <w:rFonts w:ascii="Calibri" w:eastAsia="DengXian" w:hAnsi="Calibri" w:cs="Arial"/>
          <w:noProof/>
          <w:kern w:val="0"/>
          <w:sz w:val="22"/>
          <w:szCs w:val="22"/>
          <w14:ligatures w14:val="none"/>
        </w:rPr>
        <w:lastRenderedPageBreak/>
        <w:drawing>
          <wp:inline distT="0" distB="0" distL="0" distR="0" wp14:anchorId="293194AE" wp14:editId="12C2AFA8">
            <wp:extent cx="2181139" cy="676275"/>
            <wp:effectExtent l="0" t="0" r="0" b="0"/>
            <wp:docPr id="1"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233" cy="702349"/>
                    </a:xfrm>
                    <a:prstGeom prst="rect">
                      <a:avLst/>
                    </a:prstGeom>
                    <a:noFill/>
                    <a:ln>
                      <a:noFill/>
                    </a:ln>
                  </pic:spPr>
                </pic:pic>
              </a:graphicData>
            </a:graphic>
          </wp:inline>
        </w:drawing>
      </w:r>
    </w:p>
    <w:p w14:paraId="14E8B331" w14:textId="06E102F0" w:rsidR="006F74EC" w:rsidRPr="00C365C6" w:rsidRDefault="006F74EC" w:rsidP="004D4883">
      <w:pPr>
        <w:pStyle w:val="Heading1"/>
        <w:rPr>
          <w:rFonts w:asciiTheme="minorBidi" w:hAnsiTheme="minorBidi" w:cstheme="minorBidi"/>
          <w:b/>
          <w:bCs/>
          <w:color w:val="0A2F41" w:themeColor="accent1" w:themeShade="80"/>
          <w:sz w:val="36"/>
          <w:szCs w:val="36"/>
        </w:rPr>
      </w:pPr>
      <w:r w:rsidRPr="00C365C6">
        <w:rPr>
          <w:rFonts w:asciiTheme="minorBidi" w:hAnsiTheme="minorBidi" w:cstheme="minorBidi"/>
          <w:b/>
          <w:bCs/>
          <w:color w:val="0A2F41" w:themeColor="accent1" w:themeShade="80"/>
          <w:sz w:val="36"/>
          <w:szCs w:val="36"/>
        </w:rPr>
        <w:t>Public Sector Equality Duty – Equality Outcomes 202</w:t>
      </w:r>
      <w:r w:rsidR="00FD60DA" w:rsidRPr="00C365C6">
        <w:rPr>
          <w:rFonts w:asciiTheme="minorBidi" w:hAnsiTheme="minorBidi" w:cstheme="minorBidi"/>
          <w:b/>
          <w:bCs/>
          <w:color w:val="0A2F41" w:themeColor="accent1" w:themeShade="80"/>
          <w:sz w:val="36"/>
          <w:szCs w:val="36"/>
        </w:rPr>
        <w:t>5</w:t>
      </w:r>
      <w:r w:rsidRPr="00C365C6">
        <w:rPr>
          <w:rFonts w:asciiTheme="minorBidi" w:hAnsiTheme="minorBidi" w:cstheme="minorBidi"/>
          <w:b/>
          <w:bCs/>
          <w:color w:val="0A2F41" w:themeColor="accent1" w:themeShade="80"/>
          <w:sz w:val="36"/>
          <w:szCs w:val="36"/>
        </w:rPr>
        <w:t>-202</w:t>
      </w:r>
      <w:r w:rsidR="00FD60DA" w:rsidRPr="00C365C6">
        <w:rPr>
          <w:rFonts w:asciiTheme="minorBidi" w:hAnsiTheme="minorBidi" w:cstheme="minorBidi"/>
          <w:b/>
          <w:bCs/>
          <w:color w:val="0A2F41" w:themeColor="accent1" w:themeShade="80"/>
          <w:sz w:val="36"/>
          <w:szCs w:val="36"/>
        </w:rPr>
        <w:t>9</w:t>
      </w:r>
    </w:p>
    <w:p w14:paraId="3E2F2B14" w14:textId="77777777" w:rsidR="006F74EC" w:rsidRPr="00C365C6" w:rsidRDefault="006F74EC" w:rsidP="004D4883">
      <w:pPr>
        <w:pStyle w:val="Heading2"/>
        <w:rPr>
          <w:rFonts w:asciiTheme="minorBidi" w:hAnsiTheme="minorBidi" w:cstheme="minorBidi"/>
          <w:b/>
          <w:bCs/>
          <w:color w:val="0A2F41" w:themeColor="accent1" w:themeShade="80"/>
        </w:rPr>
      </w:pPr>
      <w:r w:rsidRPr="00C365C6">
        <w:rPr>
          <w:rFonts w:asciiTheme="minorBidi" w:hAnsiTheme="minorBidi" w:cstheme="minorBidi"/>
          <w:b/>
          <w:bCs/>
          <w:color w:val="0A2F41" w:themeColor="accent1" w:themeShade="80"/>
        </w:rPr>
        <w:t>Introduction</w:t>
      </w:r>
    </w:p>
    <w:p w14:paraId="66985769" w14:textId="5845B41B" w:rsidR="00A27568" w:rsidRPr="00A27568" w:rsidRDefault="00A27568" w:rsidP="00F778BD">
      <w:pPr>
        <w:spacing w:line="276" w:lineRule="auto"/>
        <w:rPr>
          <w:rFonts w:asciiTheme="minorBidi" w:eastAsia="DengXian" w:hAnsiTheme="minorBidi"/>
          <w:kern w:val="0"/>
          <w:sz w:val="22"/>
          <w:szCs w:val="22"/>
          <w14:ligatures w14:val="none"/>
        </w:rPr>
      </w:pPr>
      <w:r w:rsidRPr="00B86CD1">
        <w:rPr>
          <w:rFonts w:asciiTheme="minorBidi" w:eastAsia="DengXian" w:hAnsiTheme="minorBidi"/>
          <w:kern w:val="0"/>
          <w:sz w:val="22"/>
          <w:szCs w:val="22"/>
          <w14:ligatures w14:val="none"/>
        </w:rPr>
        <w:t>By virtue of the</w:t>
      </w:r>
      <w:r w:rsidRPr="00A27568">
        <w:rPr>
          <w:rFonts w:asciiTheme="minorBidi" w:eastAsia="DengXian" w:hAnsiTheme="minorBidi"/>
          <w:kern w:val="0"/>
          <w:sz w:val="22"/>
          <w:szCs w:val="22"/>
          <w14:ligatures w14:val="none"/>
        </w:rPr>
        <w:t xml:space="preserve"> Equality Act 2010, the University is bound by the Public Sector Equality Duty (PSED) and must – in all </w:t>
      </w:r>
      <w:r w:rsidR="00945CAF">
        <w:rPr>
          <w:rFonts w:asciiTheme="minorBidi" w:eastAsia="DengXian" w:hAnsiTheme="minorBidi"/>
          <w:kern w:val="0"/>
          <w:sz w:val="22"/>
          <w:szCs w:val="22"/>
          <w14:ligatures w14:val="none"/>
        </w:rPr>
        <w:t xml:space="preserve">of </w:t>
      </w:r>
      <w:r w:rsidRPr="00A27568">
        <w:rPr>
          <w:rFonts w:asciiTheme="minorBidi" w:eastAsia="DengXian" w:hAnsiTheme="minorBidi"/>
          <w:kern w:val="0"/>
          <w:sz w:val="22"/>
          <w:szCs w:val="22"/>
          <w14:ligatures w14:val="none"/>
        </w:rPr>
        <w:t xml:space="preserve">its activities – have due regard to the need to: </w:t>
      </w:r>
    </w:p>
    <w:p w14:paraId="7D5E328E" w14:textId="02FE8220" w:rsidR="00A27568" w:rsidRPr="00DB0575" w:rsidRDefault="00A27568" w:rsidP="00F778BD">
      <w:pPr>
        <w:pStyle w:val="ListParagraph"/>
        <w:numPr>
          <w:ilvl w:val="0"/>
          <w:numId w:val="22"/>
        </w:numPr>
        <w:spacing w:line="276" w:lineRule="auto"/>
        <w:rPr>
          <w:rFonts w:asciiTheme="minorBidi" w:eastAsia="DengXian" w:hAnsiTheme="minorBidi"/>
          <w:kern w:val="0"/>
          <w:sz w:val="22"/>
          <w:szCs w:val="22"/>
          <w14:ligatures w14:val="none"/>
        </w:rPr>
      </w:pPr>
      <w:r w:rsidRPr="00DB0575">
        <w:rPr>
          <w:rFonts w:asciiTheme="minorBidi" w:eastAsia="DengXian" w:hAnsiTheme="minorBidi"/>
          <w:kern w:val="0"/>
          <w:sz w:val="22"/>
          <w:szCs w:val="22"/>
          <w14:ligatures w14:val="none"/>
        </w:rPr>
        <w:t xml:space="preserve">Eliminate unlawful discrimination, harassment, victimisation and any other conduct prohibited by the </w:t>
      </w:r>
      <w:r w:rsidR="00EA2E24" w:rsidRPr="00DB0575">
        <w:rPr>
          <w:rFonts w:asciiTheme="minorBidi" w:eastAsia="DengXian" w:hAnsiTheme="minorBidi"/>
          <w:kern w:val="0"/>
          <w:sz w:val="22"/>
          <w:szCs w:val="22"/>
          <w14:ligatures w14:val="none"/>
        </w:rPr>
        <w:t>Act.</w:t>
      </w:r>
      <w:r w:rsidRPr="00DB0575">
        <w:rPr>
          <w:rFonts w:asciiTheme="minorBidi" w:eastAsia="DengXian" w:hAnsiTheme="minorBidi"/>
          <w:kern w:val="0"/>
          <w:sz w:val="22"/>
          <w:szCs w:val="22"/>
          <w14:ligatures w14:val="none"/>
        </w:rPr>
        <w:t xml:space="preserve"> </w:t>
      </w:r>
    </w:p>
    <w:p w14:paraId="21C66281" w14:textId="7278090D" w:rsidR="00A27568" w:rsidRPr="00DB0575" w:rsidRDefault="00A27568" w:rsidP="00F778BD">
      <w:pPr>
        <w:pStyle w:val="ListParagraph"/>
        <w:numPr>
          <w:ilvl w:val="0"/>
          <w:numId w:val="22"/>
        </w:numPr>
        <w:spacing w:line="276" w:lineRule="auto"/>
        <w:rPr>
          <w:rFonts w:asciiTheme="minorBidi" w:eastAsia="DengXian" w:hAnsiTheme="minorBidi"/>
          <w:kern w:val="0"/>
          <w:sz w:val="22"/>
          <w:szCs w:val="22"/>
          <w14:ligatures w14:val="none"/>
        </w:rPr>
      </w:pPr>
      <w:r w:rsidRPr="00DB0575">
        <w:rPr>
          <w:rFonts w:asciiTheme="minorBidi" w:eastAsia="DengXian" w:hAnsiTheme="minorBidi"/>
          <w:kern w:val="0"/>
          <w:sz w:val="22"/>
          <w:szCs w:val="22"/>
          <w14:ligatures w14:val="none"/>
        </w:rPr>
        <w:t>Advance equality of opportunity between people who share a protected characteristic and people who do not share it</w:t>
      </w:r>
      <w:r w:rsidR="00EA2E24">
        <w:rPr>
          <w:rFonts w:asciiTheme="minorBidi" w:eastAsia="DengXian" w:hAnsiTheme="minorBidi"/>
          <w:kern w:val="0"/>
          <w:sz w:val="22"/>
          <w:szCs w:val="22"/>
          <w14:ligatures w14:val="none"/>
        </w:rPr>
        <w:t>.</w:t>
      </w:r>
      <w:r w:rsidRPr="00DB0575">
        <w:rPr>
          <w:rFonts w:asciiTheme="minorBidi" w:eastAsia="DengXian" w:hAnsiTheme="minorBidi"/>
          <w:kern w:val="0"/>
          <w:sz w:val="22"/>
          <w:szCs w:val="22"/>
          <w14:ligatures w14:val="none"/>
        </w:rPr>
        <w:t xml:space="preserve"> </w:t>
      </w:r>
    </w:p>
    <w:p w14:paraId="52BDBE83" w14:textId="44A9F74F" w:rsidR="00A27568" w:rsidRPr="00DB0575" w:rsidRDefault="00A27568" w:rsidP="00F778BD">
      <w:pPr>
        <w:pStyle w:val="ListParagraph"/>
        <w:numPr>
          <w:ilvl w:val="0"/>
          <w:numId w:val="22"/>
        </w:numPr>
        <w:spacing w:line="276" w:lineRule="auto"/>
        <w:rPr>
          <w:rFonts w:asciiTheme="minorBidi" w:eastAsia="DengXian" w:hAnsiTheme="minorBidi"/>
          <w:kern w:val="0"/>
          <w:sz w:val="22"/>
          <w:szCs w:val="22"/>
          <w14:ligatures w14:val="none"/>
        </w:rPr>
      </w:pPr>
      <w:r w:rsidRPr="00DB0575">
        <w:rPr>
          <w:rFonts w:asciiTheme="minorBidi" w:eastAsia="DengXian" w:hAnsiTheme="minorBidi"/>
          <w:kern w:val="0"/>
          <w:sz w:val="22"/>
          <w:szCs w:val="22"/>
          <w14:ligatures w14:val="none"/>
        </w:rPr>
        <w:t>Foster good relations between people who share a protected characteristic and people who do not share it.</w:t>
      </w:r>
    </w:p>
    <w:p w14:paraId="2B88E282" w14:textId="108D92B9" w:rsidR="00754B6D" w:rsidRPr="00754B6D" w:rsidRDefault="00754B6D" w:rsidP="00F778BD">
      <w:pPr>
        <w:spacing w:line="276" w:lineRule="auto"/>
        <w:rPr>
          <w:rFonts w:asciiTheme="minorBidi" w:eastAsia="DengXian" w:hAnsiTheme="minorBidi"/>
          <w:kern w:val="0"/>
          <w:sz w:val="22"/>
          <w:szCs w:val="22"/>
          <w14:ligatures w14:val="none"/>
        </w:rPr>
      </w:pPr>
      <w:r w:rsidRPr="00754B6D">
        <w:rPr>
          <w:rFonts w:asciiTheme="minorBidi" w:eastAsia="DengXian" w:hAnsiTheme="minorBidi"/>
          <w:kern w:val="0"/>
          <w:sz w:val="22"/>
          <w:szCs w:val="22"/>
          <w14:ligatures w14:val="none"/>
        </w:rPr>
        <w:t>The PSED is underpinned by additional, devolved, specific duties. The Scottish specific duties require the University to publish equality reports every two years from April 2013, and a set of equality outcomes every four years</w:t>
      </w:r>
      <w:r w:rsidR="00AA36CA" w:rsidRPr="00B86CD1">
        <w:rPr>
          <w:rFonts w:asciiTheme="minorBidi" w:eastAsia="DengXian" w:hAnsiTheme="minorBidi"/>
          <w:kern w:val="0"/>
          <w:sz w:val="22"/>
          <w:szCs w:val="22"/>
          <w14:ligatures w14:val="none"/>
        </w:rPr>
        <w:t>.</w:t>
      </w:r>
      <w:r w:rsidR="00C70967" w:rsidRPr="00B86CD1">
        <w:rPr>
          <w:rFonts w:asciiTheme="minorBidi" w:eastAsia="DengXian" w:hAnsiTheme="minorBidi"/>
          <w:kern w:val="0"/>
          <w:sz w:val="22"/>
          <w:szCs w:val="22"/>
          <w14:ligatures w14:val="none"/>
        </w:rPr>
        <w:t xml:space="preserve"> </w:t>
      </w:r>
      <w:r w:rsidR="00AA36CA" w:rsidRPr="00B86CD1">
        <w:rPr>
          <w:rFonts w:asciiTheme="minorBidi" w:eastAsia="DengXian" w:hAnsiTheme="minorBidi"/>
          <w:kern w:val="0"/>
          <w:sz w:val="22"/>
          <w:szCs w:val="22"/>
          <w14:ligatures w14:val="none"/>
        </w:rPr>
        <w:t>The aim of the Scottish specific duties is, in part</w:t>
      </w:r>
      <w:r w:rsidR="004F74F1">
        <w:rPr>
          <w:rFonts w:asciiTheme="minorBidi" w:eastAsia="DengXian" w:hAnsiTheme="minorBidi"/>
          <w:kern w:val="0"/>
          <w:sz w:val="22"/>
          <w:szCs w:val="22"/>
          <w14:ligatures w14:val="none"/>
        </w:rPr>
        <w:t>,</w:t>
      </w:r>
      <w:r w:rsidR="00AA36CA" w:rsidRPr="00B86CD1">
        <w:rPr>
          <w:rFonts w:asciiTheme="minorBidi" w:eastAsia="DengXian" w:hAnsiTheme="minorBidi"/>
          <w:kern w:val="0"/>
          <w:sz w:val="22"/>
          <w:szCs w:val="22"/>
          <w14:ligatures w14:val="none"/>
        </w:rPr>
        <w:t xml:space="preserve"> to support the effective adherence to and advancement of the general </w:t>
      </w:r>
      <w:r w:rsidR="00F332A6" w:rsidRPr="00B86CD1">
        <w:rPr>
          <w:rFonts w:asciiTheme="minorBidi" w:eastAsia="DengXian" w:hAnsiTheme="minorBidi"/>
          <w:kern w:val="0"/>
          <w:sz w:val="22"/>
          <w:szCs w:val="22"/>
          <w14:ligatures w14:val="none"/>
        </w:rPr>
        <w:t>PSED</w:t>
      </w:r>
      <w:r w:rsidR="00AA36CA" w:rsidRPr="00B86CD1">
        <w:rPr>
          <w:rFonts w:asciiTheme="minorBidi" w:eastAsia="DengXian" w:hAnsiTheme="minorBidi"/>
          <w:kern w:val="0"/>
          <w:sz w:val="22"/>
          <w:szCs w:val="22"/>
          <w14:ligatures w14:val="none"/>
        </w:rPr>
        <w:t>.</w:t>
      </w:r>
    </w:p>
    <w:p w14:paraId="298D3D7A" w14:textId="0B167DC2" w:rsidR="006E6692" w:rsidRPr="00B86CD1" w:rsidRDefault="006F74EC" w:rsidP="00F778BD">
      <w:pPr>
        <w:spacing w:after="0" w:line="276" w:lineRule="auto"/>
        <w:rPr>
          <w:rFonts w:asciiTheme="minorBidi" w:eastAsia="DengXian" w:hAnsiTheme="minorBidi"/>
          <w:kern w:val="0"/>
          <w:sz w:val="22"/>
          <w:szCs w:val="22"/>
          <w14:ligatures w14:val="none"/>
        </w:rPr>
      </w:pPr>
      <w:r w:rsidRPr="006F74EC">
        <w:rPr>
          <w:rFonts w:asciiTheme="minorBidi" w:eastAsia="DengXian" w:hAnsiTheme="minorBidi"/>
          <w:kern w:val="0"/>
          <w:sz w:val="22"/>
          <w:szCs w:val="22"/>
          <w14:ligatures w14:val="none"/>
        </w:rPr>
        <w:t>Th</w:t>
      </w:r>
      <w:r w:rsidR="00D355A0" w:rsidRPr="00B86CD1">
        <w:rPr>
          <w:rFonts w:asciiTheme="minorBidi" w:eastAsia="DengXian" w:hAnsiTheme="minorBidi"/>
          <w:kern w:val="0"/>
          <w:sz w:val="22"/>
          <w:szCs w:val="22"/>
          <w14:ligatures w14:val="none"/>
        </w:rPr>
        <w:t>is</w:t>
      </w:r>
      <w:r w:rsidRPr="006F74EC">
        <w:rPr>
          <w:rFonts w:asciiTheme="minorBidi" w:eastAsia="DengXian" w:hAnsiTheme="minorBidi"/>
          <w:kern w:val="0"/>
          <w:sz w:val="22"/>
          <w:szCs w:val="22"/>
          <w14:ligatures w14:val="none"/>
        </w:rPr>
        <w:t xml:space="preserve"> report </w:t>
      </w:r>
      <w:r w:rsidR="008E5B74" w:rsidRPr="00B86CD1">
        <w:rPr>
          <w:rFonts w:asciiTheme="minorBidi" w:eastAsia="DengXian" w:hAnsiTheme="minorBidi"/>
          <w:kern w:val="0"/>
          <w:sz w:val="22"/>
          <w:szCs w:val="22"/>
          <w14:ligatures w14:val="none"/>
        </w:rPr>
        <w:t>presents</w:t>
      </w:r>
      <w:r w:rsidR="008E5B74" w:rsidRPr="006F74EC">
        <w:rPr>
          <w:rFonts w:asciiTheme="minorBidi" w:eastAsia="DengXian" w:hAnsiTheme="minorBidi"/>
          <w:kern w:val="0"/>
          <w:sz w:val="22"/>
          <w:szCs w:val="22"/>
          <w14:ligatures w14:val="none"/>
        </w:rPr>
        <w:t xml:space="preserve"> </w:t>
      </w:r>
      <w:r w:rsidRPr="006F74EC">
        <w:rPr>
          <w:rFonts w:asciiTheme="minorBidi" w:eastAsia="DengXian" w:hAnsiTheme="minorBidi"/>
          <w:kern w:val="0"/>
          <w:sz w:val="22"/>
          <w:szCs w:val="22"/>
          <w14:ligatures w14:val="none"/>
        </w:rPr>
        <w:t xml:space="preserve">the University’s progress on the outcomes set in </w:t>
      </w:r>
      <w:r w:rsidR="00D21EC3" w:rsidRPr="00B86CD1">
        <w:rPr>
          <w:rFonts w:asciiTheme="minorBidi" w:eastAsia="DengXian" w:hAnsiTheme="minorBidi"/>
          <w:kern w:val="0"/>
          <w:sz w:val="22"/>
          <w:szCs w:val="22"/>
          <w14:ligatures w14:val="none"/>
        </w:rPr>
        <w:t>2021 and</w:t>
      </w:r>
      <w:r w:rsidRPr="006F74EC">
        <w:rPr>
          <w:rFonts w:asciiTheme="minorBidi" w:eastAsia="DengXian" w:hAnsiTheme="minorBidi"/>
          <w:kern w:val="0"/>
          <w:sz w:val="22"/>
          <w:szCs w:val="22"/>
          <w14:ligatures w14:val="none"/>
        </w:rPr>
        <w:t xml:space="preserve"> outlines our Equality Outcomes for </w:t>
      </w:r>
      <w:r w:rsidR="00945CAF">
        <w:rPr>
          <w:rFonts w:asciiTheme="minorBidi" w:eastAsia="DengXian" w:hAnsiTheme="minorBidi"/>
          <w:kern w:val="0"/>
          <w:sz w:val="22"/>
          <w:szCs w:val="22"/>
          <w14:ligatures w14:val="none"/>
        </w:rPr>
        <w:t xml:space="preserve">the forthcoming four year period from </w:t>
      </w:r>
      <w:r w:rsidRPr="006F74EC">
        <w:rPr>
          <w:rFonts w:asciiTheme="minorBidi" w:eastAsia="DengXian" w:hAnsiTheme="minorBidi"/>
          <w:kern w:val="0"/>
          <w:sz w:val="22"/>
          <w:szCs w:val="22"/>
          <w14:ligatures w14:val="none"/>
        </w:rPr>
        <w:t>202</w:t>
      </w:r>
      <w:r w:rsidR="00060DA5" w:rsidRPr="00B86CD1">
        <w:rPr>
          <w:rFonts w:asciiTheme="minorBidi" w:eastAsia="DengXian" w:hAnsiTheme="minorBidi"/>
          <w:kern w:val="0"/>
          <w:sz w:val="22"/>
          <w:szCs w:val="22"/>
          <w14:ligatures w14:val="none"/>
        </w:rPr>
        <w:t>5</w:t>
      </w:r>
      <w:r w:rsidRPr="006F74EC">
        <w:rPr>
          <w:rFonts w:asciiTheme="minorBidi" w:eastAsia="DengXian" w:hAnsiTheme="minorBidi"/>
          <w:kern w:val="0"/>
          <w:sz w:val="22"/>
          <w:szCs w:val="22"/>
          <w14:ligatures w14:val="none"/>
        </w:rPr>
        <w:t>-202</w:t>
      </w:r>
      <w:r w:rsidR="00060DA5" w:rsidRPr="00B86CD1">
        <w:rPr>
          <w:rFonts w:asciiTheme="minorBidi" w:eastAsia="DengXian" w:hAnsiTheme="minorBidi"/>
          <w:kern w:val="0"/>
          <w:sz w:val="22"/>
          <w:szCs w:val="22"/>
          <w14:ligatures w14:val="none"/>
        </w:rPr>
        <w:t>9</w:t>
      </w:r>
      <w:r w:rsidR="004D4883" w:rsidRPr="00B86CD1">
        <w:rPr>
          <w:rFonts w:asciiTheme="minorBidi" w:eastAsia="DengXian" w:hAnsiTheme="minorBidi"/>
          <w:kern w:val="0"/>
          <w:sz w:val="22"/>
          <w:szCs w:val="22"/>
          <w14:ligatures w14:val="none"/>
        </w:rPr>
        <w:t>.</w:t>
      </w:r>
    </w:p>
    <w:p w14:paraId="5943EA9F" w14:textId="77777777" w:rsidR="004D4883" w:rsidRPr="00A42CBE" w:rsidRDefault="004D4883" w:rsidP="00A42CBE">
      <w:pPr>
        <w:spacing w:after="0" w:line="240" w:lineRule="auto"/>
        <w:rPr>
          <w:rFonts w:asciiTheme="minorBidi" w:eastAsia="DengXian" w:hAnsiTheme="minorBidi"/>
          <w:kern w:val="0"/>
          <w:sz w:val="21"/>
          <w:szCs w:val="21"/>
          <w14:ligatures w14:val="none"/>
        </w:rPr>
      </w:pPr>
    </w:p>
    <w:p w14:paraId="044C3B6F" w14:textId="3A202951" w:rsidR="006F74EC" w:rsidRPr="00C365C6" w:rsidRDefault="006F74EC" w:rsidP="004D4883">
      <w:pPr>
        <w:pStyle w:val="Heading2"/>
        <w:rPr>
          <w:rFonts w:ascii="Arial" w:hAnsi="Arial" w:cs="Arial"/>
          <w:b/>
          <w:bCs/>
          <w:color w:val="0A2F41" w:themeColor="accent1" w:themeShade="80"/>
        </w:rPr>
      </w:pPr>
      <w:r w:rsidRPr="00C365C6">
        <w:rPr>
          <w:rFonts w:ascii="Arial" w:hAnsi="Arial" w:cs="Arial"/>
          <w:b/>
          <w:bCs/>
          <w:color w:val="0A2F41" w:themeColor="accent1" w:themeShade="80"/>
        </w:rPr>
        <w:t>1. Equality Outcomes 20</w:t>
      </w:r>
      <w:r w:rsidR="00A177B4" w:rsidRPr="00C365C6">
        <w:rPr>
          <w:rFonts w:ascii="Arial" w:hAnsi="Arial" w:cs="Arial"/>
          <w:b/>
          <w:bCs/>
          <w:color w:val="0A2F41" w:themeColor="accent1" w:themeShade="80"/>
        </w:rPr>
        <w:t>21</w:t>
      </w:r>
      <w:r w:rsidRPr="00C365C6">
        <w:rPr>
          <w:rFonts w:ascii="Arial" w:hAnsi="Arial" w:cs="Arial"/>
          <w:b/>
          <w:bCs/>
          <w:color w:val="0A2F41" w:themeColor="accent1" w:themeShade="80"/>
        </w:rPr>
        <w:t>-202</w:t>
      </w:r>
      <w:r w:rsidR="00A177B4" w:rsidRPr="00C365C6">
        <w:rPr>
          <w:rFonts w:ascii="Arial" w:hAnsi="Arial" w:cs="Arial"/>
          <w:b/>
          <w:bCs/>
          <w:color w:val="0A2F41" w:themeColor="accent1" w:themeShade="80"/>
        </w:rPr>
        <w:t>5</w:t>
      </w:r>
    </w:p>
    <w:p w14:paraId="7B90C219" w14:textId="48C79AB4" w:rsidR="006F74EC" w:rsidRPr="00C365C6" w:rsidRDefault="006F74EC" w:rsidP="004D4883">
      <w:pPr>
        <w:pStyle w:val="Heading3"/>
        <w:rPr>
          <w:rFonts w:ascii="Arial" w:hAnsi="Arial" w:cs="Arial"/>
          <w:b/>
          <w:bCs/>
          <w:color w:val="0A2F41" w:themeColor="accent1" w:themeShade="80"/>
        </w:rPr>
      </w:pPr>
      <w:r w:rsidRPr="00C365C6">
        <w:rPr>
          <w:rFonts w:ascii="Arial" w:hAnsi="Arial" w:cs="Arial"/>
          <w:b/>
          <w:bCs/>
          <w:color w:val="0A2F41" w:themeColor="accent1" w:themeShade="80"/>
        </w:rPr>
        <w:t>1.1 Progress and key success</w:t>
      </w:r>
    </w:p>
    <w:p w14:paraId="5A709B02" w14:textId="2FA02545" w:rsidR="002C7F48" w:rsidRPr="00B86CD1" w:rsidRDefault="006F74EC" w:rsidP="00C22740">
      <w:pPr>
        <w:spacing w:after="120" w:line="276" w:lineRule="auto"/>
        <w:contextualSpacing/>
        <w:rPr>
          <w:rFonts w:asciiTheme="minorBidi" w:eastAsia="DengXian" w:hAnsiTheme="minorBidi"/>
          <w:kern w:val="0"/>
          <w:sz w:val="22"/>
          <w:szCs w:val="22"/>
          <w14:ligatures w14:val="none"/>
        </w:rPr>
      </w:pPr>
      <w:r w:rsidRPr="006F74EC">
        <w:rPr>
          <w:rFonts w:asciiTheme="minorBidi" w:eastAsia="DengXian" w:hAnsiTheme="minorBidi"/>
          <w:kern w:val="0"/>
          <w:sz w:val="22"/>
          <w:szCs w:val="22"/>
          <w14:ligatures w14:val="none"/>
        </w:rPr>
        <w:t>The University has made s</w:t>
      </w:r>
      <w:r w:rsidR="000B7B93" w:rsidRPr="00B86CD1">
        <w:rPr>
          <w:rFonts w:asciiTheme="minorBidi" w:eastAsia="DengXian" w:hAnsiTheme="minorBidi"/>
          <w:kern w:val="0"/>
          <w:sz w:val="22"/>
          <w:szCs w:val="22"/>
          <w14:ligatures w14:val="none"/>
        </w:rPr>
        <w:t>trong</w:t>
      </w:r>
      <w:r w:rsidRPr="006F74EC">
        <w:rPr>
          <w:rFonts w:asciiTheme="minorBidi" w:eastAsia="DengXian" w:hAnsiTheme="minorBidi"/>
          <w:kern w:val="0"/>
          <w:sz w:val="22"/>
          <w:szCs w:val="22"/>
          <w14:ligatures w14:val="none"/>
        </w:rPr>
        <w:t xml:space="preserve"> progress with the equality outcomes </w:t>
      </w:r>
      <w:r w:rsidR="00945CAF">
        <w:rPr>
          <w:rFonts w:asciiTheme="minorBidi" w:eastAsia="DengXian" w:hAnsiTheme="minorBidi"/>
          <w:kern w:val="0"/>
          <w:sz w:val="22"/>
          <w:szCs w:val="22"/>
          <w14:ligatures w14:val="none"/>
        </w:rPr>
        <w:t xml:space="preserve">for </w:t>
      </w:r>
      <w:r w:rsidR="00B964E7" w:rsidRPr="006F74EC">
        <w:rPr>
          <w:rFonts w:asciiTheme="minorBidi" w:eastAsia="DengXian" w:hAnsiTheme="minorBidi"/>
          <w:kern w:val="0"/>
          <w:sz w:val="22"/>
          <w:szCs w:val="22"/>
          <w14:ligatures w14:val="none"/>
        </w:rPr>
        <w:t>20</w:t>
      </w:r>
      <w:r w:rsidR="00B964E7" w:rsidRPr="00B86CD1">
        <w:rPr>
          <w:rFonts w:asciiTheme="minorBidi" w:eastAsia="DengXian" w:hAnsiTheme="minorBidi"/>
          <w:kern w:val="0"/>
          <w:sz w:val="22"/>
          <w:szCs w:val="22"/>
          <w14:ligatures w14:val="none"/>
        </w:rPr>
        <w:t>21</w:t>
      </w:r>
      <w:r w:rsidRPr="006F74EC">
        <w:rPr>
          <w:rFonts w:asciiTheme="minorBidi" w:eastAsia="DengXian" w:hAnsiTheme="minorBidi"/>
          <w:kern w:val="0"/>
          <w:sz w:val="22"/>
          <w:szCs w:val="22"/>
          <w14:ligatures w14:val="none"/>
        </w:rPr>
        <w:t>-202</w:t>
      </w:r>
      <w:r w:rsidR="00B964E7" w:rsidRPr="00B86CD1">
        <w:rPr>
          <w:rFonts w:asciiTheme="minorBidi" w:eastAsia="DengXian" w:hAnsiTheme="minorBidi"/>
          <w:kern w:val="0"/>
          <w:sz w:val="22"/>
          <w:szCs w:val="22"/>
          <w14:ligatures w14:val="none"/>
        </w:rPr>
        <w:t>5</w:t>
      </w:r>
      <w:r w:rsidRPr="006F74EC">
        <w:rPr>
          <w:rFonts w:asciiTheme="minorBidi" w:eastAsia="DengXian" w:hAnsiTheme="minorBidi"/>
          <w:kern w:val="0"/>
          <w:sz w:val="22"/>
          <w:szCs w:val="22"/>
          <w14:ligatures w14:val="none"/>
        </w:rPr>
        <w:t xml:space="preserve">. </w:t>
      </w:r>
      <w:r w:rsidR="006F5600" w:rsidRPr="00B86CD1">
        <w:rPr>
          <w:rFonts w:asciiTheme="minorBidi" w:eastAsia="DengXian" w:hAnsiTheme="minorBidi"/>
          <w:kern w:val="0"/>
          <w:sz w:val="22"/>
          <w:szCs w:val="22"/>
          <w14:ligatures w14:val="none"/>
        </w:rPr>
        <w:t>Notabl</w:t>
      </w:r>
      <w:r w:rsidR="007700CB" w:rsidRPr="00B86CD1">
        <w:rPr>
          <w:rFonts w:asciiTheme="minorBidi" w:eastAsia="DengXian" w:hAnsiTheme="minorBidi"/>
          <w:kern w:val="0"/>
          <w:sz w:val="22"/>
          <w:szCs w:val="22"/>
          <w14:ligatures w14:val="none"/>
        </w:rPr>
        <w:t>e</w:t>
      </w:r>
      <w:r w:rsidR="007731FE" w:rsidRPr="00B86CD1">
        <w:rPr>
          <w:rFonts w:asciiTheme="minorBidi" w:eastAsia="DengXian" w:hAnsiTheme="minorBidi"/>
          <w:kern w:val="0"/>
          <w:sz w:val="22"/>
          <w:szCs w:val="22"/>
          <w14:ligatures w14:val="none"/>
        </w:rPr>
        <w:t xml:space="preserve"> progress </w:t>
      </w:r>
      <w:r w:rsidR="00E73D8E" w:rsidRPr="00B86CD1">
        <w:rPr>
          <w:rFonts w:asciiTheme="minorBidi" w:eastAsia="DengXian" w:hAnsiTheme="minorBidi"/>
          <w:kern w:val="0"/>
          <w:sz w:val="22"/>
          <w:szCs w:val="22"/>
          <w14:ligatures w14:val="none"/>
        </w:rPr>
        <w:t xml:space="preserve">has been made </w:t>
      </w:r>
      <w:r w:rsidR="007731FE" w:rsidRPr="00B86CD1">
        <w:rPr>
          <w:rFonts w:asciiTheme="minorBidi" w:eastAsia="DengXian" w:hAnsiTheme="minorBidi"/>
          <w:kern w:val="0"/>
          <w:sz w:val="22"/>
          <w:szCs w:val="22"/>
          <w14:ligatures w14:val="none"/>
        </w:rPr>
        <w:t>in</w:t>
      </w:r>
      <w:r w:rsidR="00FF741F" w:rsidRPr="00B86CD1">
        <w:rPr>
          <w:rFonts w:asciiTheme="minorBidi" w:eastAsia="DengXian" w:hAnsiTheme="minorBidi"/>
          <w:kern w:val="0"/>
          <w:sz w:val="22"/>
          <w:szCs w:val="22"/>
          <w14:ligatures w14:val="none"/>
        </w:rPr>
        <w:t xml:space="preserve"> </w:t>
      </w:r>
      <w:r w:rsidR="0068673B" w:rsidRPr="00B86CD1">
        <w:rPr>
          <w:rFonts w:asciiTheme="minorBidi" w:eastAsia="DengXian" w:hAnsiTheme="minorBidi"/>
          <w:kern w:val="0"/>
          <w:sz w:val="22"/>
          <w:szCs w:val="22"/>
          <w14:ligatures w14:val="none"/>
        </w:rPr>
        <w:t>strengthening</w:t>
      </w:r>
      <w:r w:rsidR="00FF741F" w:rsidRPr="00B86CD1">
        <w:rPr>
          <w:rFonts w:asciiTheme="minorBidi" w:eastAsia="DengXian" w:hAnsiTheme="minorBidi"/>
          <w:kern w:val="0"/>
          <w:sz w:val="22"/>
          <w:szCs w:val="22"/>
          <w14:ligatures w14:val="none"/>
        </w:rPr>
        <w:t xml:space="preserve"> our</w:t>
      </w:r>
      <w:r w:rsidR="00E73D8E" w:rsidRPr="00B86CD1">
        <w:rPr>
          <w:rFonts w:asciiTheme="minorBidi" w:eastAsia="DengXian" w:hAnsiTheme="minorBidi"/>
          <w:kern w:val="0"/>
          <w:sz w:val="22"/>
          <w:szCs w:val="22"/>
          <w14:ligatures w14:val="none"/>
        </w:rPr>
        <w:t xml:space="preserve"> employee</w:t>
      </w:r>
      <w:r w:rsidR="00FF741F" w:rsidRPr="00B86CD1">
        <w:rPr>
          <w:rFonts w:asciiTheme="minorBidi" w:eastAsia="DengXian" w:hAnsiTheme="minorBidi"/>
          <w:kern w:val="0"/>
          <w:sz w:val="22"/>
          <w:szCs w:val="22"/>
          <w14:ligatures w14:val="none"/>
        </w:rPr>
        <w:t xml:space="preserve"> </w:t>
      </w:r>
      <w:r w:rsidR="00D61310" w:rsidRPr="00B86CD1">
        <w:rPr>
          <w:rFonts w:asciiTheme="minorBidi" w:eastAsia="DengXian" w:hAnsiTheme="minorBidi"/>
          <w:kern w:val="0"/>
          <w:sz w:val="22"/>
          <w:szCs w:val="22"/>
          <w14:ligatures w14:val="none"/>
        </w:rPr>
        <w:t xml:space="preserve">equality monitoring data and </w:t>
      </w:r>
      <w:r w:rsidR="006B02DB" w:rsidRPr="00B86CD1">
        <w:rPr>
          <w:rFonts w:asciiTheme="minorBidi" w:eastAsia="DengXian" w:hAnsiTheme="minorBidi"/>
          <w:kern w:val="0"/>
          <w:sz w:val="22"/>
          <w:szCs w:val="22"/>
          <w14:ligatures w14:val="none"/>
        </w:rPr>
        <w:t xml:space="preserve">improvements in data collection. This need </w:t>
      </w:r>
      <w:r w:rsidR="00FF741F" w:rsidRPr="00B86CD1">
        <w:rPr>
          <w:rFonts w:asciiTheme="minorBidi" w:eastAsia="DengXian" w:hAnsiTheme="minorBidi"/>
          <w:kern w:val="0"/>
          <w:sz w:val="22"/>
          <w:szCs w:val="22"/>
          <w14:ligatures w14:val="none"/>
        </w:rPr>
        <w:t xml:space="preserve">was identified at </w:t>
      </w:r>
      <w:r w:rsidR="00C22740">
        <w:rPr>
          <w:rFonts w:asciiTheme="minorBidi" w:eastAsia="DengXian" w:hAnsiTheme="minorBidi"/>
          <w:kern w:val="0"/>
          <w:sz w:val="22"/>
          <w:szCs w:val="22"/>
          <w14:ligatures w14:val="none"/>
        </w:rPr>
        <w:t xml:space="preserve">the </w:t>
      </w:r>
      <w:r w:rsidR="00FF741F" w:rsidRPr="00B86CD1">
        <w:rPr>
          <w:rFonts w:asciiTheme="minorBidi" w:eastAsia="DengXian" w:hAnsiTheme="minorBidi"/>
          <w:kern w:val="0"/>
          <w:sz w:val="22"/>
          <w:szCs w:val="22"/>
          <w14:ligatures w14:val="none"/>
        </w:rPr>
        <w:t xml:space="preserve">outset of the last reporting </w:t>
      </w:r>
      <w:r w:rsidR="00E31523" w:rsidRPr="00B86CD1">
        <w:rPr>
          <w:rFonts w:asciiTheme="minorBidi" w:eastAsia="DengXian" w:hAnsiTheme="minorBidi"/>
          <w:kern w:val="0"/>
          <w:sz w:val="22"/>
          <w:szCs w:val="22"/>
          <w14:ligatures w14:val="none"/>
        </w:rPr>
        <w:t>cycl</w:t>
      </w:r>
      <w:r w:rsidR="00367392" w:rsidRPr="00B86CD1">
        <w:rPr>
          <w:rFonts w:asciiTheme="minorBidi" w:eastAsia="DengXian" w:hAnsiTheme="minorBidi"/>
          <w:kern w:val="0"/>
          <w:sz w:val="22"/>
          <w:szCs w:val="22"/>
          <w14:ligatures w14:val="none"/>
        </w:rPr>
        <w:t>e</w:t>
      </w:r>
      <w:r w:rsidR="00C22740">
        <w:rPr>
          <w:rFonts w:asciiTheme="minorBidi" w:eastAsia="DengXian" w:hAnsiTheme="minorBidi"/>
          <w:kern w:val="0"/>
          <w:sz w:val="22"/>
          <w:szCs w:val="22"/>
          <w14:ligatures w14:val="none"/>
        </w:rPr>
        <w:t xml:space="preserve"> at which time</w:t>
      </w:r>
      <w:r w:rsidR="00E43765" w:rsidRPr="00B86CD1">
        <w:rPr>
          <w:rFonts w:asciiTheme="minorBidi" w:eastAsia="DengXian" w:hAnsiTheme="minorBidi"/>
          <w:kern w:val="0"/>
          <w:sz w:val="22"/>
          <w:szCs w:val="22"/>
          <w14:ligatures w14:val="none"/>
        </w:rPr>
        <w:t xml:space="preserve"> </w:t>
      </w:r>
      <w:r w:rsidR="00A02683" w:rsidRPr="00B86CD1">
        <w:rPr>
          <w:rFonts w:asciiTheme="minorBidi" w:eastAsia="DengXian" w:hAnsiTheme="minorBidi"/>
          <w:kern w:val="0"/>
          <w:sz w:val="22"/>
          <w:szCs w:val="22"/>
          <w14:ligatures w14:val="none"/>
        </w:rPr>
        <w:t>Staff Equality Monitoring</w:t>
      </w:r>
      <w:r w:rsidR="00E43765" w:rsidRPr="00B86CD1">
        <w:rPr>
          <w:rFonts w:asciiTheme="minorBidi" w:eastAsia="DengXian" w:hAnsiTheme="minorBidi"/>
          <w:kern w:val="0"/>
          <w:sz w:val="22"/>
          <w:szCs w:val="22"/>
          <w14:ligatures w14:val="none"/>
        </w:rPr>
        <w:t xml:space="preserve"> data </w:t>
      </w:r>
      <w:r w:rsidR="00C22740">
        <w:rPr>
          <w:rFonts w:asciiTheme="minorBidi" w:eastAsia="DengXian" w:hAnsiTheme="minorBidi"/>
          <w:kern w:val="0"/>
          <w:sz w:val="22"/>
          <w:szCs w:val="22"/>
          <w14:ligatures w14:val="none"/>
        </w:rPr>
        <w:t xml:space="preserve">for AY 2020-21 </w:t>
      </w:r>
      <w:r w:rsidR="00E43765" w:rsidRPr="00B86CD1">
        <w:rPr>
          <w:rFonts w:asciiTheme="minorBidi" w:eastAsia="DengXian" w:hAnsiTheme="minorBidi"/>
          <w:kern w:val="0"/>
          <w:sz w:val="22"/>
          <w:szCs w:val="22"/>
          <w14:ligatures w14:val="none"/>
        </w:rPr>
        <w:t>included a significant proportion of ‘Unknowns’ within each of the protected characteristic categories</w:t>
      </w:r>
      <w:r w:rsidR="00B6405F" w:rsidRPr="00B86CD1">
        <w:rPr>
          <w:rFonts w:asciiTheme="minorBidi" w:eastAsia="DengXian" w:hAnsiTheme="minorBidi"/>
          <w:kern w:val="0"/>
          <w:sz w:val="22"/>
          <w:szCs w:val="22"/>
          <w14:ligatures w14:val="none"/>
        </w:rPr>
        <w:t xml:space="preserve">. This was </w:t>
      </w:r>
      <w:r w:rsidR="00207A13" w:rsidRPr="00B86CD1">
        <w:rPr>
          <w:rFonts w:asciiTheme="minorBidi" w:eastAsia="DengXian" w:hAnsiTheme="minorBidi"/>
          <w:kern w:val="0"/>
          <w:sz w:val="22"/>
          <w:szCs w:val="22"/>
          <w14:ligatures w14:val="none"/>
        </w:rPr>
        <w:t xml:space="preserve">particularly </w:t>
      </w:r>
      <w:r w:rsidR="00B6405F" w:rsidRPr="00B86CD1">
        <w:rPr>
          <w:rFonts w:asciiTheme="minorBidi" w:eastAsia="DengXian" w:hAnsiTheme="minorBidi"/>
          <w:kern w:val="0"/>
          <w:sz w:val="22"/>
          <w:szCs w:val="22"/>
          <w14:ligatures w14:val="none"/>
        </w:rPr>
        <w:t>evident for</w:t>
      </w:r>
      <w:r w:rsidR="00207A13" w:rsidRPr="00B86CD1">
        <w:rPr>
          <w:rFonts w:asciiTheme="minorBidi" w:eastAsia="DengXian" w:hAnsiTheme="minorBidi"/>
          <w:kern w:val="0"/>
          <w:sz w:val="22"/>
          <w:szCs w:val="22"/>
          <w14:ligatures w14:val="none"/>
        </w:rPr>
        <w:t xml:space="preserve"> Disability and Ethnicity which </w:t>
      </w:r>
      <w:r w:rsidR="00F077D9" w:rsidRPr="00B86CD1">
        <w:rPr>
          <w:rFonts w:asciiTheme="minorBidi" w:eastAsia="DengXian" w:hAnsiTheme="minorBidi"/>
          <w:kern w:val="0"/>
          <w:sz w:val="22"/>
          <w:szCs w:val="22"/>
          <w14:ligatures w14:val="none"/>
        </w:rPr>
        <w:t>form the basis of</w:t>
      </w:r>
      <w:r w:rsidR="00207A13" w:rsidRPr="00B86CD1">
        <w:rPr>
          <w:rFonts w:asciiTheme="minorBidi" w:eastAsia="DengXian" w:hAnsiTheme="minorBidi"/>
          <w:kern w:val="0"/>
          <w:sz w:val="22"/>
          <w:szCs w:val="22"/>
          <w14:ligatures w14:val="none"/>
        </w:rPr>
        <w:t xml:space="preserve"> our strategic</w:t>
      </w:r>
      <w:r w:rsidR="00F077D9" w:rsidRPr="00B86CD1">
        <w:rPr>
          <w:rFonts w:asciiTheme="minorBidi" w:eastAsia="DengXian" w:hAnsiTheme="minorBidi"/>
          <w:kern w:val="0"/>
          <w:sz w:val="22"/>
          <w:szCs w:val="22"/>
          <w14:ligatures w14:val="none"/>
        </w:rPr>
        <w:t xml:space="preserve"> equality</w:t>
      </w:r>
      <w:r w:rsidR="00207A13" w:rsidRPr="00B86CD1">
        <w:rPr>
          <w:rFonts w:asciiTheme="minorBidi" w:eastAsia="DengXian" w:hAnsiTheme="minorBidi"/>
          <w:kern w:val="0"/>
          <w:sz w:val="22"/>
          <w:szCs w:val="22"/>
          <w14:ligatures w14:val="none"/>
        </w:rPr>
        <w:t xml:space="preserve"> KPIs</w:t>
      </w:r>
      <w:r w:rsidR="00547EE5" w:rsidRPr="00B86CD1">
        <w:rPr>
          <w:rFonts w:asciiTheme="minorBidi" w:eastAsia="DengXian" w:hAnsiTheme="minorBidi"/>
          <w:kern w:val="0"/>
          <w:sz w:val="22"/>
          <w:szCs w:val="22"/>
          <w14:ligatures w14:val="none"/>
        </w:rPr>
        <w:t>.</w:t>
      </w:r>
    </w:p>
    <w:p w14:paraId="25037B4F" w14:textId="77777777" w:rsidR="00AB40C6" w:rsidRPr="00B86CD1" w:rsidRDefault="00AB40C6" w:rsidP="00AB40C6">
      <w:pPr>
        <w:spacing w:after="120" w:line="276" w:lineRule="auto"/>
        <w:contextualSpacing/>
        <w:rPr>
          <w:rFonts w:asciiTheme="minorBidi" w:eastAsia="DengXian" w:hAnsiTheme="minorBidi"/>
          <w:kern w:val="0"/>
          <w:sz w:val="22"/>
          <w:szCs w:val="22"/>
          <w14:ligatures w14:val="none"/>
        </w:rPr>
      </w:pPr>
    </w:p>
    <w:p w14:paraId="4FC6225F" w14:textId="767A33D5" w:rsidR="005D46E2" w:rsidRDefault="00C22740" w:rsidP="00C22740">
      <w:pPr>
        <w:spacing w:after="120" w:line="276" w:lineRule="auto"/>
        <w:contextualSpacing/>
        <w:rPr>
          <w:rFonts w:asciiTheme="minorBidi" w:eastAsia="DengXian" w:hAnsiTheme="minorBidi"/>
          <w:kern w:val="0"/>
          <w:sz w:val="22"/>
          <w:szCs w:val="22"/>
          <w14:ligatures w14:val="none"/>
        </w:rPr>
      </w:pPr>
      <w:r>
        <w:rPr>
          <w:rFonts w:asciiTheme="minorBidi" w:eastAsia="DengXian" w:hAnsiTheme="minorBidi"/>
          <w:kern w:val="0"/>
          <w:sz w:val="22"/>
          <w:szCs w:val="22"/>
          <w14:ligatures w14:val="none"/>
        </w:rPr>
        <w:t>A</w:t>
      </w:r>
      <w:r w:rsidR="008E57A8" w:rsidRPr="00B86CD1">
        <w:rPr>
          <w:rFonts w:asciiTheme="minorBidi" w:eastAsia="DengXian" w:hAnsiTheme="minorBidi"/>
          <w:kern w:val="0"/>
          <w:sz w:val="22"/>
          <w:szCs w:val="22"/>
          <w14:ligatures w14:val="none"/>
        </w:rPr>
        <w:t xml:space="preserve"> series of communications were devised</w:t>
      </w:r>
      <w:r w:rsidR="007275D3" w:rsidRPr="00B86CD1">
        <w:rPr>
          <w:rFonts w:asciiTheme="minorBidi" w:eastAsia="DengXian" w:hAnsiTheme="minorBidi"/>
          <w:kern w:val="0"/>
          <w:sz w:val="22"/>
          <w:szCs w:val="22"/>
          <w14:ligatures w14:val="none"/>
        </w:rPr>
        <w:t xml:space="preserve"> and issued</w:t>
      </w:r>
      <w:r w:rsidR="008E57A8" w:rsidRPr="00B86CD1">
        <w:rPr>
          <w:rFonts w:asciiTheme="minorBidi" w:eastAsia="DengXian" w:hAnsiTheme="minorBidi"/>
          <w:kern w:val="0"/>
          <w:sz w:val="22"/>
          <w:szCs w:val="22"/>
          <w14:ligatures w14:val="none"/>
        </w:rPr>
        <w:t xml:space="preserve"> </w:t>
      </w:r>
      <w:r w:rsidR="00F316E6" w:rsidRPr="00B86CD1">
        <w:rPr>
          <w:rFonts w:asciiTheme="minorBidi" w:eastAsia="DengXian" w:hAnsiTheme="minorBidi"/>
          <w:kern w:val="0"/>
          <w:sz w:val="22"/>
          <w:szCs w:val="22"/>
          <w14:ligatures w14:val="none"/>
        </w:rPr>
        <w:t>through internal communications</w:t>
      </w:r>
      <w:r w:rsidR="004F74F1">
        <w:rPr>
          <w:rFonts w:asciiTheme="minorBidi" w:eastAsia="DengXian" w:hAnsiTheme="minorBidi"/>
          <w:kern w:val="0"/>
          <w:sz w:val="22"/>
          <w:szCs w:val="22"/>
          <w14:ligatures w14:val="none"/>
        </w:rPr>
        <w:t>.</w:t>
      </w:r>
      <w:r w:rsidR="008D4D1A">
        <w:rPr>
          <w:rFonts w:asciiTheme="minorBidi" w:eastAsia="DengXian" w:hAnsiTheme="minorBidi"/>
          <w:kern w:val="0"/>
          <w:sz w:val="22"/>
          <w:szCs w:val="22"/>
          <w14:ligatures w14:val="none"/>
        </w:rPr>
        <w:t xml:space="preserve"> These</w:t>
      </w:r>
      <w:r w:rsidR="00F316E6" w:rsidRPr="00B86CD1">
        <w:rPr>
          <w:rFonts w:asciiTheme="minorBidi" w:eastAsia="DengXian" w:hAnsiTheme="minorBidi"/>
          <w:kern w:val="0"/>
          <w:sz w:val="22"/>
          <w:szCs w:val="22"/>
          <w14:ligatures w14:val="none"/>
        </w:rPr>
        <w:t xml:space="preserve"> highlight</w:t>
      </w:r>
      <w:r w:rsidR="008D4D1A">
        <w:rPr>
          <w:rFonts w:asciiTheme="minorBidi" w:eastAsia="DengXian" w:hAnsiTheme="minorBidi"/>
          <w:kern w:val="0"/>
          <w:sz w:val="22"/>
          <w:szCs w:val="22"/>
          <w14:ligatures w14:val="none"/>
        </w:rPr>
        <w:t>ed</w:t>
      </w:r>
      <w:r w:rsidR="007275D3" w:rsidRPr="00B86CD1">
        <w:rPr>
          <w:rFonts w:asciiTheme="minorBidi" w:eastAsia="DengXian" w:hAnsiTheme="minorBidi"/>
          <w:kern w:val="0"/>
          <w:sz w:val="22"/>
          <w:szCs w:val="22"/>
          <w14:ligatures w14:val="none"/>
        </w:rPr>
        <w:t xml:space="preserve"> the importance of completing this data and the ways that its usage supports </w:t>
      </w:r>
      <w:r w:rsidR="004B14EF" w:rsidRPr="00B86CD1">
        <w:rPr>
          <w:rFonts w:asciiTheme="minorBidi" w:eastAsia="DengXian" w:hAnsiTheme="minorBidi"/>
          <w:kern w:val="0"/>
          <w:sz w:val="22"/>
          <w:szCs w:val="22"/>
          <w14:ligatures w14:val="none"/>
        </w:rPr>
        <w:t>the University in advancing equality and its strategic objectives</w:t>
      </w:r>
      <w:r>
        <w:rPr>
          <w:rFonts w:asciiTheme="minorBidi" w:eastAsia="DengXian" w:hAnsiTheme="minorBidi"/>
          <w:kern w:val="0"/>
          <w:sz w:val="22"/>
          <w:szCs w:val="22"/>
          <w14:ligatures w14:val="none"/>
        </w:rPr>
        <w:t xml:space="preserve"> with a view to assisting the institution in meaningfully addressing and improving our performance in this regard.  </w:t>
      </w:r>
      <w:r w:rsidR="004B14EF" w:rsidRPr="00B86CD1">
        <w:rPr>
          <w:rFonts w:asciiTheme="minorBidi" w:eastAsia="DengXian" w:hAnsiTheme="minorBidi"/>
          <w:kern w:val="0"/>
          <w:sz w:val="22"/>
          <w:szCs w:val="22"/>
          <w14:ligatures w14:val="none"/>
        </w:rPr>
        <w:t>R</w:t>
      </w:r>
      <w:r w:rsidR="00405D30" w:rsidRPr="00B86CD1">
        <w:rPr>
          <w:rFonts w:asciiTheme="minorBidi" w:eastAsia="DengXian" w:hAnsiTheme="minorBidi"/>
          <w:kern w:val="0"/>
          <w:sz w:val="22"/>
          <w:szCs w:val="22"/>
          <w14:ligatures w14:val="none"/>
        </w:rPr>
        <w:t xml:space="preserve">egular systematised prompts encouraging colleagues to </w:t>
      </w:r>
      <w:r>
        <w:rPr>
          <w:rFonts w:asciiTheme="minorBidi" w:eastAsia="DengXian" w:hAnsiTheme="minorBidi"/>
          <w:kern w:val="0"/>
          <w:sz w:val="22"/>
          <w:szCs w:val="22"/>
          <w14:ligatures w14:val="none"/>
        </w:rPr>
        <w:t xml:space="preserve">disclose </w:t>
      </w:r>
      <w:r w:rsidR="00405D30" w:rsidRPr="00B86CD1">
        <w:rPr>
          <w:rFonts w:asciiTheme="minorBidi" w:eastAsia="DengXian" w:hAnsiTheme="minorBidi"/>
          <w:kern w:val="0"/>
          <w:sz w:val="22"/>
          <w:szCs w:val="22"/>
          <w14:ligatures w14:val="none"/>
        </w:rPr>
        <w:t>their data</w:t>
      </w:r>
      <w:r w:rsidR="004B14EF" w:rsidRPr="00B86CD1">
        <w:rPr>
          <w:rFonts w:asciiTheme="minorBidi" w:eastAsia="DengXian" w:hAnsiTheme="minorBidi"/>
          <w:kern w:val="0"/>
          <w:sz w:val="22"/>
          <w:szCs w:val="22"/>
          <w14:ligatures w14:val="none"/>
        </w:rPr>
        <w:t xml:space="preserve"> were</w:t>
      </w:r>
      <w:r>
        <w:rPr>
          <w:rFonts w:asciiTheme="minorBidi" w:eastAsia="DengXian" w:hAnsiTheme="minorBidi"/>
          <w:kern w:val="0"/>
          <w:sz w:val="22"/>
          <w:szCs w:val="22"/>
          <w14:ligatures w14:val="none"/>
        </w:rPr>
        <w:t xml:space="preserve"> issued accordingly</w:t>
      </w:r>
      <w:r w:rsidR="00BE6256" w:rsidRPr="00B86CD1">
        <w:rPr>
          <w:rFonts w:asciiTheme="minorBidi" w:eastAsia="DengXian" w:hAnsiTheme="minorBidi"/>
          <w:kern w:val="0"/>
          <w:sz w:val="22"/>
          <w:szCs w:val="22"/>
          <w14:ligatures w14:val="none"/>
        </w:rPr>
        <w:t xml:space="preserve"> by the People and Organisational Development Systems Team</w:t>
      </w:r>
      <w:r w:rsidR="00405D30" w:rsidRPr="00B86CD1">
        <w:rPr>
          <w:rFonts w:asciiTheme="minorBidi" w:eastAsia="DengXian" w:hAnsiTheme="minorBidi"/>
          <w:kern w:val="0"/>
          <w:sz w:val="22"/>
          <w:szCs w:val="22"/>
          <w14:ligatures w14:val="none"/>
        </w:rPr>
        <w:t xml:space="preserve">. </w:t>
      </w:r>
      <w:r w:rsidR="00207A13" w:rsidRPr="00B86CD1">
        <w:rPr>
          <w:rFonts w:asciiTheme="minorBidi" w:eastAsia="DengXian" w:hAnsiTheme="minorBidi"/>
          <w:kern w:val="0"/>
          <w:sz w:val="22"/>
          <w:szCs w:val="22"/>
          <w14:ligatures w14:val="none"/>
        </w:rPr>
        <w:t xml:space="preserve">In addition, continuous improvement to our </w:t>
      </w:r>
      <w:r w:rsidR="00245A10" w:rsidRPr="00B86CD1">
        <w:rPr>
          <w:rFonts w:asciiTheme="minorBidi" w:eastAsia="DengXian" w:hAnsiTheme="minorBidi"/>
          <w:kern w:val="0"/>
          <w:sz w:val="22"/>
          <w:szCs w:val="22"/>
          <w14:ligatures w14:val="none"/>
        </w:rPr>
        <w:t>o</w:t>
      </w:r>
      <w:r w:rsidR="00207A13" w:rsidRPr="00B86CD1">
        <w:rPr>
          <w:rFonts w:asciiTheme="minorBidi" w:eastAsia="DengXian" w:hAnsiTheme="minorBidi"/>
          <w:kern w:val="0"/>
          <w:sz w:val="22"/>
          <w:szCs w:val="22"/>
          <w14:ligatures w14:val="none"/>
        </w:rPr>
        <w:t xml:space="preserve">nboarding and </w:t>
      </w:r>
      <w:r w:rsidR="00245A10" w:rsidRPr="00B86CD1">
        <w:rPr>
          <w:rFonts w:asciiTheme="minorBidi" w:eastAsia="DengXian" w:hAnsiTheme="minorBidi"/>
          <w:kern w:val="0"/>
          <w:sz w:val="22"/>
          <w:szCs w:val="22"/>
          <w14:ligatures w14:val="none"/>
        </w:rPr>
        <w:t>i</w:t>
      </w:r>
      <w:r w:rsidR="00207A13" w:rsidRPr="00B86CD1">
        <w:rPr>
          <w:rFonts w:asciiTheme="minorBidi" w:eastAsia="DengXian" w:hAnsiTheme="minorBidi"/>
          <w:kern w:val="0"/>
          <w:sz w:val="22"/>
          <w:szCs w:val="22"/>
          <w14:ligatures w14:val="none"/>
        </w:rPr>
        <w:t xml:space="preserve">nduction processes </w:t>
      </w:r>
      <w:r>
        <w:rPr>
          <w:rFonts w:asciiTheme="minorBidi" w:eastAsia="DengXian" w:hAnsiTheme="minorBidi"/>
          <w:kern w:val="0"/>
          <w:sz w:val="22"/>
          <w:szCs w:val="22"/>
          <w14:ligatures w14:val="none"/>
        </w:rPr>
        <w:t xml:space="preserve">introduced a </w:t>
      </w:r>
      <w:r w:rsidR="007515CF">
        <w:rPr>
          <w:rFonts w:asciiTheme="minorBidi" w:eastAsia="DengXian" w:hAnsiTheme="minorBidi"/>
          <w:kern w:val="0"/>
          <w:sz w:val="22"/>
          <w:szCs w:val="22"/>
          <w14:ligatures w14:val="none"/>
        </w:rPr>
        <w:t>system-based</w:t>
      </w:r>
      <w:r>
        <w:rPr>
          <w:rFonts w:asciiTheme="minorBidi" w:eastAsia="DengXian" w:hAnsiTheme="minorBidi"/>
          <w:kern w:val="0"/>
          <w:sz w:val="22"/>
          <w:szCs w:val="22"/>
          <w14:ligatures w14:val="none"/>
        </w:rPr>
        <w:t xml:space="preserve"> mechanism through which</w:t>
      </w:r>
      <w:r w:rsidR="00405D30" w:rsidRPr="00B86CD1">
        <w:rPr>
          <w:rFonts w:asciiTheme="minorBidi" w:eastAsia="DengXian" w:hAnsiTheme="minorBidi"/>
          <w:kern w:val="0"/>
          <w:sz w:val="22"/>
          <w:szCs w:val="22"/>
          <w14:ligatures w14:val="none"/>
        </w:rPr>
        <w:t xml:space="preserve"> new colleagues are prompted to provide </w:t>
      </w:r>
      <w:r>
        <w:rPr>
          <w:rFonts w:asciiTheme="minorBidi" w:eastAsia="DengXian" w:hAnsiTheme="minorBidi"/>
          <w:kern w:val="0"/>
          <w:sz w:val="22"/>
          <w:szCs w:val="22"/>
          <w14:ligatures w14:val="none"/>
        </w:rPr>
        <w:t>such</w:t>
      </w:r>
      <w:r w:rsidR="00405D30" w:rsidRPr="00B86CD1">
        <w:rPr>
          <w:rFonts w:asciiTheme="minorBidi" w:eastAsia="DengXian" w:hAnsiTheme="minorBidi"/>
          <w:kern w:val="0"/>
          <w:sz w:val="22"/>
          <w:szCs w:val="22"/>
          <w14:ligatures w14:val="none"/>
        </w:rPr>
        <w:t xml:space="preserve"> information </w:t>
      </w:r>
      <w:r>
        <w:rPr>
          <w:rFonts w:asciiTheme="minorBidi" w:eastAsia="DengXian" w:hAnsiTheme="minorBidi"/>
          <w:kern w:val="0"/>
          <w:sz w:val="22"/>
          <w:szCs w:val="22"/>
          <w14:ligatures w14:val="none"/>
        </w:rPr>
        <w:t>on</w:t>
      </w:r>
      <w:r w:rsidR="00405D30" w:rsidRPr="00B86CD1">
        <w:rPr>
          <w:rFonts w:asciiTheme="minorBidi" w:eastAsia="DengXian" w:hAnsiTheme="minorBidi"/>
          <w:kern w:val="0"/>
          <w:sz w:val="22"/>
          <w:szCs w:val="22"/>
          <w14:ligatures w14:val="none"/>
        </w:rPr>
        <w:t xml:space="preserve"> join</w:t>
      </w:r>
      <w:r>
        <w:rPr>
          <w:rFonts w:asciiTheme="minorBidi" w:eastAsia="DengXian" w:hAnsiTheme="minorBidi"/>
          <w:kern w:val="0"/>
          <w:sz w:val="22"/>
          <w:szCs w:val="22"/>
          <w14:ligatures w14:val="none"/>
        </w:rPr>
        <w:t>ing</w:t>
      </w:r>
      <w:r w:rsidR="00405D30" w:rsidRPr="00B86CD1">
        <w:rPr>
          <w:rFonts w:asciiTheme="minorBidi" w:eastAsia="DengXian" w:hAnsiTheme="minorBidi"/>
          <w:kern w:val="0"/>
          <w:sz w:val="22"/>
          <w:szCs w:val="22"/>
          <w14:ligatures w14:val="none"/>
        </w:rPr>
        <w:t xml:space="preserve"> the University. </w:t>
      </w:r>
    </w:p>
    <w:p w14:paraId="1E5637EC" w14:textId="77777777" w:rsidR="005D46E2" w:rsidRDefault="005D46E2" w:rsidP="005D46E2">
      <w:pPr>
        <w:spacing w:after="120" w:line="276" w:lineRule="auto"/>
        <w:contextualSpacing/>
        <w:rPr>
          <w:rFonts w:asciiTheme="minorBidi" w:eastAsia="DengXian" w:hAnsiTheme="minorBidi"/>
          <w:kern w:val="0"/>
          <w:sz w:val="22"/>
          <w:szCs w:val="22"/>
          <w14:ligatures w14:val="none"/>
        </w:rPr>
      </w:pPr>
    </w:p>
    <w:p w14:paraId="598D13E0" w14:textId="5342A710" w:rsidR="00D30C65" w:rsidRPr="00B86CD1" w:rsidRDefault="00547EE5" w:rsidP="005D46E2">
      <w:pPr>
        <w:spacing w:after="120" w:line="276" w:lineRule="auto"/>
        <w:contextualSpacing/>
        <w:rPr>
          <w:rFonts w:asciiTheme="minorBidi" w:eastAsia="DengXian" w:hAnsiTheme="minorBidi"/>
          <w:kern w:val="0"/>
          <w:sz w:val="22"/>
          <w:szCs w:val="22"/>
          <w14:ligatures w14:val="none"/>
        </w:rPr>
      </w:pPr>
      <w:r w:rsidRPr="00B86CD1">
        <w:rPr>
          <w:rFonts w:asciiTheme="minorBidi" w:eastAsia="DengXian" w:hAnsiTheme="minorBidi"/>
          <w:kern w:val="0"/>
          <w:sz w:val="22"/>
          <w:szCs w:val="22"/>
          <w14:ligatures w14:val="none"/>
        </w:rPr>
        <w:t xml:space="preserve">Alongside </w:t>
      </w:r>
      <w:r w:rsidR="008D63D6" w:rsidRPr="00B86CD1">
        <w:rPr>
          <w:rFonts w:asciiTheme="minorBidi" w:eastAsia="DengXian" w:hAnsiTheme="minorBidi"/>
          <w:kern w:val="0"/>
          <w:sz w:val="22"/>
          <w:szCs w:val="22"/>
          <w14:ligatures w14:val="none"/>
        </w:rPr>
        <w:t xml:space="preserve">reported </w:t>
      </w:r>
      <w:r w:rsidRPr="00B86CD1">
        <w:rPr>
          <w:rFonts w:asciiTheme="minorBidi" w:eastAsia="DengXian" w:hAnsiTheme="minorBidi"/>
          <w:kern w:val="0"/>
          <w:sz w:val="22"/>
          <w:szCs w:val="22"/>
          <w14:ligatures w14:val="none"/>
        </w:rPr>
        <w:t>growth</w:t>
      </w:r>
      <w:r w:rsidR="00033B62" w:rsidRPr="00B86CD1">
        <w:rPr>
          <w:rFonts w:asciiTheme="minorBidi" w:eastAsia="DengXian" w:hAnsiTheme="minorBidi"/>
          <w:kern w:val="0"/>
          <w:sz w:val="22"/>
          <w:szCs w:val="22"/>
          <w14:ligatures w14:val="none"/>
        </w:rPr>
        <w:t xml:space="preserve"> in the number of colleagues</w:t>
      </w:r>
      <w:r w:rsidRPr="00B86CD1">
        <w:rPr>
          <w:rFonts w:asciiTheme="minorBidi" w:eastAsia="DengXian" w:hAnsiTheme="minorBidi"/>
          <w:kern w:val="0"/>
          <w:sz w:val="22"/>
          <w:szCs w:val="22"/>
          <w14:ligatures w14:val="none"/>
        </w:rPr>
        <w:t xml:space="preserve"> </w:t>
      </w:r>
      <w:r w:rsidR="00033B62" w:rsidRPr="00B86CD1">
        <w:rPr>
          <w:rFonts w:asciiTheme="minorBidi" w:eastAsia="DengXian" w:hAnsiTheme="minorBidi"/>
          <w:kern w:val="0"/>
          <w:sz w:val="22"/>
          <w:szCs w:val="22"/>
          <w14:ligatures w14:val="none"/>
        </w:rPr>
        <w:t xml:space="preserve">from </w:t>
      </w:r>
      <w:r w:rsidRPr="00B86CD1">
        <w:rPr>
          <w:rFonts w:asciiTheme="minorBidi" w:eastAsia="DengXian" w:hAnsiTheme="minorBidi"/>
          <w:kern w:val="0"/>
          <w:sz w:val="22"/>
          <w:szCs w:val="22"/>
          <w14:ligatures w14:val="none"/>
        </w:rPr>
        <w:t xml:space="preserve">Minority Ethnic </w:t>
      </w:r>
      <w:r w:rsidR="00033B62" w:rsidRPr="00B86CD1">
        <w:rPr>
          <w:rFonts w:asciiTheme="minorBidi" w:eastAsia="DengXian" w:hAnsiTheme="minorBidi"/>
          <w:kern w:val="0"/>
          <w:sz w:val="22"/>
          <w:szCs w:val="22"/>
          <w14:ligatures w14:val="none"/>
        </w:rPr>
        <w:t xml:space="preserve">backgrounds, </w:t>
      </w:r>
      <w:r w:rsidR="00C1038E" w:rsidRPr="00B86CD1">
        <w:rPr>
          <w:rFonts w:asciiTheme="minorBidi" w:eastAsia="DengXian" w:hAnsiTheme="minorBidi"/>
          <w:kern w:val="0"/>
          <w:sz w:val="22"/>
          <w:szCs w:val="22"/>
          <w14:ligatures w14:val="none"/>
        </w:rPr>
        <w:t>the</w:t>
      </w:r>
      <w:r w:rsidR="00C22740">
        <w:rPr>
          <w:rFonts w:asciiTheme="minorBidi" w:eastAsia="DengXian" w:hAnsiTheme="minorBidi"/>
          <w:kern w:val="0"/>
          <w:sz w:val="22"/>
          <w:szCs w:val="22"/>
          <w14:ligatures w14:val="none"/>
        </w:rPr>
        <w:t xml:space="preserve"> number</w:t>
      </w:r>
      <w:r w:rsidR="00C1038E" w:rsidRPr="00B86CD1">
        <w:rPr>
          <w:rFonts w:asciiTheme="minorBidi" w:eastAsia="DengXian" w:hAnsiTheme="minorBidi"/>
          <w:kern w:val="0"/>
          <w:sz w:val="22"/>
          <w:szCs w:val="22"/>
          <w14:ligatures w14:val="none"/>
        </w:rPr>
        <w:t xml:space="preserve"> </w:t>
      </w:r>
      <w:r w:rsidR="0080244A">
        <w:rPr>
          <w:rFonts w:asciiTheme="minorBidi" w:eastAsia="DengXian" w:hAnsiTheme="minorBidi"/>
          <w:kern w:val="0"/>
          <w:sz w:val="22"/>
          <w:szCs w:val="22"/>
          <w14:ligatures w14:val="none"/>
        </w:rPr>
        <w:t xml:space="preserve">of </w:t>
      </w:r>
      <w:r w:rsidR="00C1038E" w:rsidRPr="00B86CD1">
        <w:rPr>
          <w:rFonts w:asciiTheme="minorBidi" w:eastAsia="DengXian" w:hAnsiTheme="minorBidi"/>
          <w:kern w:val="0"/>
          <w:sz w:val="22"/>
          <w:szCs w:val="22"/>
          <w14:ligatures w14:val="none"/>
        </w:rPr>
        <w:t>‘</w:t>
      </w:r>
      <w:r w:rsidR="008D63D6" w:rsidRPr="00B86CD1">
        <w:rPr>
          <w:rFonts w:asciiTheme="minorBidi" w:eastAsia="DengXian" w:hAnsiTheme="minorBidi"/>
          <w:kern w:val="0"/>
          <w:sz w:val="22"/>
          <w:szCs w:val="22"/>
          <w14:ligatures w14:val="none"/>
        </w:rPr>
        <w:t>Unknowns</w:t>
      </w:r>
      <w:r w:rsidR="00C1038E" w:rsidRPr="00B86CD1">
        <w:rPr>
          <w:rFonts w:asciiTheme="minorBidi" w:eastAsia="DengXian" w:hAnsiTheme="minorBidi"/>
          <w:kern w:val="0"/>
          <w:sz w:val="22"/>
          <w:szCs w:val="22"/>
          <w14:ligatures w14:val="none"/>
        </w:rPr>
        <w:t xml:space="preserve">’ </w:t>
      </w:r>
      <w:r w:rsidR="00C22740">
        <w:rPr>
          <w:rFonts w:asciiTheme="minorBidi" w:eastAsia="DengXian" w:hAnsiTheme="minorBidi"/>
          <w:kern w:val="0"/>
          <w:sz w:val="22"/>
          <w:szCs w:val="22"/>
          <w14:ligatures w14:val="none"/>
        </w:rPr>
        <w:t xml:space="preserve">recorded </w:t>
      </w:r>
      <w:r w:rsidR="00C1038E" w:rsidRPr="00B86CD1">
        <w:rPr>
          <w:rFonts w:asciiTheme="minorBidi" w:eastAsia="DengXian" w:hAnsiTheme="minorBidi"/>
          <w:kern w:val="0"/>
          <w:sz w:val="22"/>
          <w:szCs w:val="22"/>
          <w14:ligatures w14:val="none"/>
        </w:rPr>
        <w:t>ha</w:t>
      </w:r>
      <w:r w:rsidR="00C22740">
        <w:rPr>
          <w:rFonts w:asciiTheme="minorBidi" w:eastAsia="DengXian" w:hAnsiTheme="minorBidi"/>
          <w:kern w:val="0"/>
          <w:sz w:val="22"/>
          <w:szCs w:val="22"/>
          <w14:ligatures w14:val="none"/>
        </w:rPr>
        <w:t>s</w:t>
      </w:r>
      <w:r w:rsidR="00C1038E" w:rsidRPr="00B86CD1">
        <w:rPr>
          <w:rFonts w:asciiTheme="minorBidi" w:eastAsia="DengXian" w:hAnsiTheme="minorBidi"/>
          <w:kern w:val="0"/>
          <w:sz w:val="22"/>
          <w:szCs w:val="22"/>
          <w14:ligatures w14:val="none"/>
        </w:rPr>
        <w:t xml:space="preserve"> reduced across both </w:t>
      </w:r>
      <w:r w:rsidR="00C22740">
        <w:rPr>
          <w:rFonts w:asciiTheme="minorBidi" w:eastAsia="DengXian" w:hAnsiTheme="minorBidi"/>
          <w:kern w:val="0"/>
          <w:sz w:val="22"/>
          <w:szCs w:val="22"/>
          <w14:ligatures w14:val="none"/>
        </w:rPr>
        <w:t xml:space="preserve">our </w:t>
      </w:r>
      <w:r w:rsidR="00C1038E" w:rsidRPr="00B86CD1">
        <w:rPr>
          <w:rFonts w:asciiTheme="minorBidi" w:eastAsia="DengXian" w:hAnsiTheme="minorBidi"/>
          <w:kern w:val="0"/>
          <w:sz w:val="22"/>
          <w:szCs w:val="22"/>
          <w14:ligatures w14:val="none"/>
        </w:rPr>
        <w:t xml:space="preserve">Ethnicity </w:t>
      </w:r>
      <w:r w:rsidR="00D30C65" w:rsidRPr="00B86CD1">
        <w:rPr>
          <w:rFonts w:asciiTheme="minorBidi" w:eastAsia="DengXian" w:hAnsiTheme="minorBidi"/>
          <w:kern w:val="0"/>
          <w:sz w:val="22"/>
          <w:szCs w:val="22"/>
          <w14:ligatures w14:val="none"/>
        </w:rPr>
        <w:t>and</w:t>
      </w:r>
      <w:r w:rsidR="00C1038E" w:rsidRPr="00B86CD1">
        <w:rPr>
          <w:rFonts w:asciiTheme="minorBidi" w:eastAsia="DengXian" w:hAnsiTheme="minorBidi"/>
          <w:kern w:val="0"/>
          <w:sz w:val="22"/>
          <w:szCs w:val="22"/>
          <w14:ligatures w14:val="none"/>
        </w:rPr>
        <w:t xml:space="preserve"> Disability</w:t>
      </w:r>
      <w:r w:rsidR="00C22740">
        <w:rPr>
          <w:rFonts w:asciiTheme="minorBidi" w:eastAsia="DengXian" w:hAnsiTheme="minorBidi"/>
          <w:kern w:val="0"/>
          <w:sz w:val="22"/>
          <w:szCs w:val="22"/>
          <w14:ligatures w14:val="none"/>
        </w:rPr>
        <w:t xml:space="preserve"> staff cohorts</w:t>
      </w:r>
      <w:r w:rsidR="00C1038E" w:rsidRPr="00B86CD1">
        <w:rPr>
          <w:rFonts w:asciiTheme="minorBidi" w:eastAsia="DengXian" w:hAnsiTheme="minorBidi"/>
          <w:kern w:val="0"/>
          <w:sz w:val="22"/>
          <w:szCs w:val="22"/>
          <w14:ligatures w14:val="none"/>
        </w:rPr>
        <w:t xml:space="preserve">: </w:t>
      </w:r>
    </w:p>
    <w:p w14:paraId="759ADAC7" w14:textId="77777777" w:rsidR="00AB40C6" w:rsidRDefault="00AB40C6" w:rsidP="00AB40C6">
      <w:pPr>
        <w:spacing w:after="120" w:line="276" w:lineRule="auto"/>
        <w:contextualSpacing/>
        <w:rPr>
          <w:rFonts w:asciiTheme="minorBidi" w:eastAsia="DengXian" w:hAnsiTheme="minorBidi"/>
          <w:kern w:val="0"/>
          <w14:ligatures w14:val="none"/>
        </w:rPr>
      </w:pPr>
    </w:p>
    <w:p w14:paraId="1305C50B" w14:textId="77777777" w:rsidR="0058611A" w:rsidRDefault="0058611A" w:rsidP="00AB40C6">
      <w:pPr>
        <w:spacing w:after="120" w:line="276" w:lineRule="auto"/>
        <w:contextualSpacing/>
        <w:rPr>
          <w:rFonts w:asciiTheme="minorBidi" w:eastAsia="DengXian" w:hAnsiTheme="minorBidi"/>
          <w:kern w:val="0"/>
          <w14:ligatures w14:val="none"/>
        </w:rPr>
      </w:pPr>
    </w:p>
    <w:p w14:paraId="5375185F" w14:textId="77777777" w:rsidR="00C6040D" w:rsidRDefault="00C6040D" w:rsidP="00C6040D">
      <w:pPr>
        <w:spacing w:after="0" w:line="276" w:lineRule="auto"/>
        <w:contextualSpacing/>
        <w:rPr>
          <w:rFonts w:asciiTheme="minorBidi" w:eastAsia="DengXian" w:hAnsiTheme="minorBidi"/>
          <w:kern w:val="0"/>
          <w14:ligatures w14:val="none"/>
        </w:rPr>
      </w:pPr>
    </w:p>
    <w:p w14:paraId="60F0D951" w14:textId="77777777" w:rsidR="004F681C" w:rsidRDefault="004F681C" w:rsidP="00C6040D">
      <w:pPr>
        <w:spacing w:after="0" w:line="276" w:lineRule="auto"/>
        <w:contextualSpacing/>
        <w:rPr>
          <w:rFonts w:asciiTheme="minorBidi" w:eastAsia="DengXian" w:hAnsiTheme="minorBidi"/>
          <w:b/>
          <w:bCs/>
          <w:kern w:val="0"/>
          <w:sz w:val="20"/>
          <w:szCs w:val="20"/>
          <w14:ligatures w14:val="none"/>
        </w:rPr>
      </w:pPr>
    </w:p>
    <w:p w14:paraId="4981DA94" w14:textId="79021BC9" w:rsidR="00AB40C6" w:rsidRPr="0037531A" w:rsidRDefault="00C61E69" w:rsidP="00C6040D">
      <w:pPr>
        <w:spacing w:after="0" w:line="276" w:lineRule="auto"/>
        <w:contextualSpacing/>
        <w:rPr>
          <w:rFonts w:asciiTheme="minorBidi" w:eastAsia="DengXian" w:hAnsiTheme="minorBidi"/>
          <w:b/>
          <w:bCs/>
          <w:kern w:val="0"/>
          <w:sz w:val="20"/>
          <w:szCs w:val="20"/>
          <w14:ligatures w14:val="none"/>
        </w:rPr>
      </w:pPr>
      <w:r w:rsidRPr="0037531A">
        <w:rPr>
          <w:rFonts w:asciiTheme="minorBidi" w:eastAsia="DengXian" w:hAnsiTheme="minorBidi"/>
          <w:b/>
          <w:bCs/>
          <w:kern w:val="0"/>
          <w:sz w:val="20"/>
          <w:szCs w:val="20"/>
          <w14:ligatures w14:val="none"/>
        </w:rPr>
        <w:t>Table 1</w:t>
      </w:r>
      <w:r w:rsidR="0037531A" w:rsidRPr="0037531A">
        <w:rPr>
          <w:rFonts w:asciiTheme="minorBidi" w:eastAsia="DengXian" w:hAnsiTheme="minorBidi"/>
          <w:b/>
          <w:bCs/>
          <w:kern w:val="0"/>
          <w:sz w:val="20"/>
          <w:szCs w:val="20"/>
          <w14:ligatures w14:val="none"/>
        </w:rPr>
        <w:t>: Colleague Disability Declarations 2019/20 and 2023/24</w:t>
      </w:r>
    </w:p>
    <w:tbl>
      <w:tblPr>
        <w:tblStyle w:val="GridTable5Dark-Accent1"/>
        <w:tblW w:w="0" w:type="auto"/>
        <w:tblLook w:val="04A0" w:firstRow="1" w:lastRow="0" w:firstColumn="1" w:lastColumn="0" w:noHBand="0" w:noVBand="1"/>
      </w:tblPr>
      <w:tblGrid>
        <w:gridCol w:w="1573"/>
        <w:gridCol w:w="1257"/>
        <w:gridCol w:w="1134"/>
        <w:gridCol w:w="2266"/>
        <w:gridCol w:w="1556"/>
      </w:tblGrid>
      <w:tr w:rsidR="00D30C65" w:rsidRPr="00D30C65" w14:paraId="131196B4" w14:textId="77777777" w:rsidTr="00AB68E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73" w:type="dxa"/>
            <w:shd w:val="clear" w:color="auto" w:fill="003865"/>
          </w:tcPr>
          <w:p w14:paraId="0871127B" w14:textId="2D9F2057" w:rsidR="00D144AA" w:rsidRPr="00D30C65" w:rsidRDefault="005F2BC8" w:rsidP="00D30C65">
            <w:pPr>
              <w:spacing w:after="80"/>
              <w:rPr>
                <w:rFonts w:asciiTheme="minorBidi" w:eastAsia="DengXian" w:hAnsiTheme="minorBidi"/>
                <w:kern w:val="0"/>
                <w14:ligatures w14:val="none"/>
              </w:rPr>
            </w:pPr>
            <w:r w:rsidRPr="00D30C65">
              <w:rPr>
                <w:rFonts w:asciiTheme="minorBidi" w:eastAsia="DengXian" w:hAnsiTheme="minorBidi"/>
                <w:kern w:val="0"/>
                <w14:ligatures w14:val="none"/>
              </w:rPr>
              <w:t>Disability</w:t>
            </w:r>
          </w:p>
        </w:tc>
        <w:tc>
          <w:tcPr>
            <w:tcW w:w="1257" w:type="dxa"/>
            <w:shd w:val="clear" w:color="auto" w:fill="003865"/>
          </w:tcPr>
          <w:p w14:paraId="1959AE45" w14:textId="76D79A45" w:rsidR="00D144AA" w:rsidRPr="00D30C65" w:rsidRDefault="00D144AA" w:rsidP="00AB68E6">
            <w:pPr>
              <w:spacing w:after="80"/>
              <w:jc w:val="center"/>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Yes</w:t>
            </w:r>
          </w:p>
        </w:tc>
        <w:tc>
          <w:tcPr>
            <w:tcW w:w="1134" w:type="dxa"/>
            <w:shd w:val="clear" w:color="auto" w:fill="003865"/>
          </w:tcPr>
          <w:p w14:paraId="74DEBAFE" w14:textId="03489BB3" w:rsidR="00D144AA" w:rsidRPr="00D30C65" w:rsidRDefault="00D144AA" w:rsidP="00AB68E6">
            <w:pPr>
              <w:spacing w:after="80"/>
              <w:jc w:val="center"/>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No</w:t>
            </w:r>
          </w:p>
        </w:tc>
        <w:tc>
          <w:tcPr>
            <w:tcW w:w="2266" w:type="dxa"/>
            <w:shd w:val="clear" w:color="auto" w:fill="003865"/>
          </w:tcPr>
          <w:p w14:paraId="1FB8A477" w14:textId="2A7D9673" w:rsidR="00D144AA" w:rsidRPr="00D30C65" w:rsidRDefault="00D144AA" w:rsidP="00AB68E6">
            <w:pPr>
              <w:spacing w:after="80"/>
              <w:jc w:val="center"/>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Prefer not to Say</w:t>
            </w:r>
          </w:p>
        </w:tc>
        <w:tc>
          <w:tcPr>
            <w:tcW w:w="1556" w:type="dxa"/>
            <w:shd w:val="clear" w:color="auto" w:fill="003865"/>
          </w:tcPr>
          <w:p w14:paraId="098A209B" w14:textId="39DB9444" w:rsidR="00D144AA" w:rsidRPr="00D30C65" w:rsidRDefault="00D144AA" w:rsidP="00AB68E6">
            <w:pPr>
              <w:spacing w:after="80"/>
              <w:jc w:val="center"/>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Unknown</w:t>
            </w:r>
          </w:p>
        </w:tc>
      </w:tr>
      <w:tr w:rsidR="00FC37A0" w:rsidRPr="00D30C65" w14:paraId="77E2EDF3" w14:textId="77777777" w:rsidTr="00AB68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73" w:type="dxa"/>
            <w:shd w:val="clear" w:color="auto" w:fill="003865"/>
          </w:tcPr>
          <w:p w14:paraId="24CF3A4E" w14:textId="534738CE" w:rsidR="00D144AA" w:rsidRPr="00D30C65" w:rsidRDefault="005F2BC8" w:rsidP="00D30C65">
            <w:pPr>
              <w:spacing w:after="80"/>
              <w:rPr>
                <w:rFonts w:asciiTheme="minorBidi" w:eastAsia="DengXian" w:hAnsiTheme="minorBidi"/>
                <w:kern w:val="0"/>
                <w14:ligatures w14:val="none"/>
              </w:rPr>
            </w:pPr>
            <w:r w:rsidRPr="00D30C65">
              <w:rPr>
                <w:rFonts w:asciiTheme="minorBidi" w:eastAsia="DengXian" w:hAnsiTheme="minorBidi"/>
                <w:kern w:val="0"/>
                <w14:ligatures w14:val="none"/>
              </w:rPr>
              <w:t>2019/20</w:t>
            </w:r>
          </w:p>
        </w:tc>
        <w:tc>
          <w:tcPr>
            <w:tcW w:w="1257" w:type="dxa"/>
            <w:shd w:val="clear" w:color="auto" w:fill="D9D9D9" w:themeFill="background1" w:themeFillShade="D9"/>
          </w:tcPr>
          <w:p w14:paraId="01C57454" w14:textId="4331E7C1" w:rsidR="00D144AA" w:rsidRPr="00D30C65" w:rsidRDefault="0009781D" w:rsidP="00D30C65">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4.4%</w:t>
            </w:r>
          </w:p>
        </w:tc>
        <w:tc>
          <w:tcPr>
            <w:tcW w:w="1134" w:type="dxa"/>
            <w:shd w:val="clear" w:color="auto" w:fill="D9D9D9" w:themeFill="background1" w:themeFillShade="D9"/>
          </w:tcPr>
          <w:p w14:paraId="3CFC7DAE" w14:textId="125C290F" w:rsidR="00D144AA" w:rsidRPr="00D30C65" w:rsidRDefault="0009781D" w:rsidP="00D30C65">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71.1%</w:t>
            </w:r>
          </w:p>
        </w:tc>
        <w:tc>
          <w:tcPr>
            <w:tcW w:w="2266" w:type="dxa"/>
            <w:shd w:val="clear" w:color="auto" w:fill="D9D9D9" w:themeFill="background1" w:themeFillShade="D9"/>
          </w:tcPr>
          <w:p w14:paraId="3D6E50A8" w14:textId="472DE5E1" w:rsidR="00D144AA" w:rsidRPr="00D30C65" w:rsidRDefault="0009781D" w:rsidP="00D30C65">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7.2%</w:t>
            </w:r>
          </w:p>
        </w:tc>
        <w:tc>
          <w:tcPr>
            <w:tcW w:w="1556" w:type="dxa"/>
            <w:shd w:val="clear" w:color="auto" w:fill="D9D9D9" w:themeFill="background1" w:themeFillShade="D9"/>
          </w:tcPr>
          <w:p w14:paraId="4C190BB5" w14:textId="291A3D63" w:rsidR="00D144AA" w:rsidRPr="00D30C65" w:rsidRDefault="0009781D" w:rsidP="00D30C65">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17.3%</w:t>
            </w:r>
          </w:p>
        </w:tc>
      </w:tr>
      <w:tr w:rsidR="00FC37A0" w:rsidRPr="00D30C65" w14:paraId="6FA29D02" w14:textId="77777777" w:rsidTr="00AB68E6">
        <w:trPr>
          <w:trHeight w:val="317"/>
        </w:trPr>
        <w:tc>
          <w:tcPr>
            <w:cnfStyle w:val="001000000000" w:firstRow="0" w:lastRow="0" w:firstColumn="1" w:lastColumn="0" w:oddVBand="0" w:evenVBand="0" w:oddHBand="0" w:evenHBand="0" w:firstRowFirstColumn="0" w:firstRowLastColumn="0" w:lastRowFirstColumn="0" w:lastRowLastColumn="0"/>
            <w:tcW w:w="1573" w:type="dxa"/>
            <w:shd w:val="clear" w:color="auto" w:fill="003865"/>
          </w:tcPr>
          <w:p w14:paraId="57CF8341" w14:textId="0D1001AC" w:rsidR="00D144AA" w:rsidRPr="00D30C65" w:rsidRDefault="005F2BC8" w:rsidP="00D30C65">
            <w:pPr>
              <w:spacing w:after="80"/>
              <w:rPr>
                <w:rFonts w:asciiTheme="minorBidi" w:eastAsia="DengXian" w:hAnsiTheme="minorBidi"/>
                <w:kern w:val="0"/>
                <w14:ligatures w14:val="none"/>
              </w:rPr>
            </w:pPr>
            <w:r w:rsidRPr="00D30C65">
              <w:rPr>
                <w:rFonts w:asciiTheme="minorBidi" w:eastAsia="DengXian" w:hAnsiTheme="minorBidi"/>
                <w:kern w:val="0"/>
                <w14:ligatures w14:val="none"/>
              </w:rPr>
              <w:t>2023/24</w:t>
            </w:r>
          </w:p>
        </w:tc>
        <w:tc>
          <w:tcPr>
            <w:tcW w:w="1257" w:type="dxa"/>
            <w:shd w:val="clear" w:color="auto" w:fill="F2F2F2" w:themeFill="background1" w:themeFillShade="F2"/>
          </w:tcPr>
          <w:p w14:paraId="3A4DCEBA" w14:textId="7430DB87" w:rsidR="00D144AA" w:rsidRPr="00D30C65" w:rsidRDefault="00DD3781" w:rsidP="00D30C65">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9.1</w:t>
            </w:r>
          </w:p>
        </w:tc>
        <w:tc>
          <w:tcPr>
            <w:tcW w:w="1134" w:type="dxa"/>
            <w:shd w:val="clear" w:color="auto" w:fill="F2F2F2" w:themeFill="background1" w:themeFillShade="F2"/>
          </w:tcPr>
          <w:p w14:paraId="4EEB37BE" w14:textId="676481D7" w:rsidR="00D144AA" w:rsidRPr="00D30C65" w:rsidRDefault="00595D85" w:rsidP="00D30C65">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79.7%</w:t>
            </w:r>
          </w:p>
        </w:tc>
        <w:tc>
          <w:tcPr>
            <w:tcW w:w="2266" w:type="dxa"/>
            <w:shd w:val="clear" w:color="auto" w:fill="F2F2F2" w:themeFill="background1" w:themeFillShade="F2"/>
          </w:tcPr>
          <w:p w14:paraId="30C659C7" w14:textId="3E88B670" w:rsidR="00D144AA" w:rsidRPr="00D30C65" w:rsidRDefault="00FE565B" w:rsidP="00D30C65">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7.4%</w:t>
            </w:r>
          </w:p>
        </w:tc>
        <w:tc>
          <w:tcPr>
            <w:tcW w:w="1556" w:type="dxa"/>
            <w:shd w:val="clear" w:color="auto" w:fill="F2F2F2" w:themeFill="background1" w:themeFillShade="F2"/>
          </w:tcPr>
          <w:p w14:paraId="446EF465" w14:textId="2A78C25C" w:rsidR="00D144AA" w:rsidRPr="00D30C65" w:rsidRDefault="00FE565B" w:rsidP="00D30C65">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eastAsia="DengXian" w:hAnsiTheme="minorBidi"/>
                <w:kern w:val="0"/>
                <w14:ligatures w14:val="none"/>
              </w:rPr>
              <w:t>3.8%</w:t>
            </w:r>
          </w:p>
        </w:tc>
      </w:tr>
    </w:tbl>
    <w:p w14:paraId="4B52C3F9" w14:textId="77777777" w:rsidR="005939F8" w:rsidRDefault="005939F8" w:rsidP="005939F8">
      <w:pPr>
        <w:spacing w:after="0" w:line="259" w:lineRule="auto"/>
        <w:rPr>
          <w:rFonts w:asciiTheme="minorBidi" w:eastAsia="DengXian" w:hAnsiTheme="minorBidi"/>
          <w:kern w:val="0"/>
          <w:sz w:val="21"/>
          <w:szCs w:val="21"/>
          <w14:ligatures w14:val="none"/>
        </w:rPr>
      </w:pPr>
    </w:p>
    <w:p w14:paraId="57C16A44" w14:textId="67CC9492" w:rsidR="00C61E69" w:rsidRPr="0037531A" w:rsidRDefault="00C61E69" w:rsidP="005939F8">
      <w:pPr>
        <w:spacing w:after="0" w:line="259" w:lineRule="auto"/>
        <w:rPr>
          <w:rFonts w:asciiTheme="minorBidi" w:eastAsia="DengXian" w:hAnsiTheme="minorBidi"/>
          <w:b/>
          <w:bCs/>
          <w:kern w:val="0"/>
          <w:sz w:val="20"/>
          <w:szCs w:val="20"/>
          <w14:ligatures w14:val="none"/>
        </w:rPr>
      </w:pPr>
      <w:r w:rsidRPr="0037531A">
        <w:rPr>
          <w:rFonts w:asciiTheme="minorBidi" w:eastAsia="DengXian" w:hAnsiTheme="minorBidi"/>
          <w:b/>
          <w:bCs/>
          <w:kern w:val="0"/>
          <w:sz w:val="20"/>
          <w:szCs w:val="20"/>
          <w14:ligatures w14:val="none"/>
        </w:rPr>
        <w:t>Table 2</w:t>
      </w:r>
      <w:r w:rsidR="0037531A" w:rsidRPr="0037531A">
        <w:rPr>
          <w:rFonts w:asciiTheme="minorBidi" w:eastAsia="DengXian" w:hAnsiTheme="minorBidi"/>
          <w:b/>
          <w:bCs/>
          <w:kern w:val="0"/>
          <w:sz w:val="20"/>
          <w:szCs w:val="20"/>
          <w14:ligatures w14:val="none"/>
        </w:rPr>
        <w:t>: Colleague Ethnicity Data 2019/20 and 2023/24</w:t>
      </w:r>
    </w:p>
    <w:tbl>
      <w:tblPr>
        <w:tblStyle w:val="GridTable5Dark-Accent1"/>
        <w:tblpPr w:leftFromText="180" w:rightFromText="180" w:vertAnchor="text" w:tblpY="1"/>
        <w:tblOverlap w:val="never"/>
        <w:tblW w:w="0" w:type="auto"/>
        <w:tblLayout w:type="fixed"/>
        <w:tblLook w:val="04A0" w:firstRow="1" w:lastRow="0" w:firstColumn="1" w:lastColumn="0" w:noHBand="0" w:noVBand="1"/>
      </w:tblPr>
      <w:tblGrid>
        <w:gridCol w:w="1555"/>
        <w:gridCol w:w="1866"/>
        <w:gridCol w:w="897"/>
        <w:gridCol w:w="2218"/>
        <w:gridCol w:w="1296"/>
      </w:tblGrid>
      <w:tr w:rsidR="00FC37A0" w:rsidRPr="00D30C65" w14:paraId="028136CE" w14:textId="77777777" w:rsidTr="00AB6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03865"/>
          </w:tcPr>
          <w:p w14:paraId="2FE0BCE8" w14:textId="4EEA54E0" w:rsidR="00FC37A0" w:rsidRPr="00D30C65" w:rsidRDefault="00FC37A0" w:rsidP="00C61E69">
            <w:pPr>
              <w:spacing w:after="80"/>
              <w:rPr>
                <w:rFonts w:asciiTheme="minorBidi" w:eastAsia="DengXian" w:hAnsiTheme="minorBidi"/>
                <w:kern w:val="0"/>
                <w14:ligatures w14:val="none"/>
              </w:rPr>
            </w:pPr>
            <w:r w:rsidRPr="00D30C65">
              <w:rPr>
                <w:rFonts w:asciiTheme="minorBidi" w:eastAsia="DengXian" w:hAnsiTheme="minorBidi"/>
                <w:kern w:val="0"/>
                <w14:ligatures w14:val="none"/>
              </w:rPr>
              <w:t xml:space="preserve">Ethnicity </w:t>
            </w:r>
          </w:p>
        </w:tc>
        <w:tc>
          <w:tcPr>
            <w:tcW w:w="1866" w:type="dxa"/>
            <w:shd w:val="clear" w:color="auto" w:fill="003865"/>
          </w:tcPr>
          <w:p w14:paraId="5BBBCF12" w14:textId="3CBFA828" w:rsidR="00FC37A0" w:rsidRPr="00D30C65" w:rsidRDefault="00FC37A0" w:rsidP="00C61E69">
            <w:pPr>
              <w:spacing w:after="80"/>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Minority Ethnic</w:t>
            </w:r>
          </w:p>
        </w:tc>
        <w:tc>
          <w:tcPr>
            <w:tcW w:w="897" w:type="dxa"/>
            <w:shd w:val="clear" w:color="auto" w:fill="003865"/>
          </w:tcPr>
          <w:p w14:paraId="4F03C79F" w14:textId="48079CDB" w:rsidR="00FC37A0" w:rsidRPr="00D30C65" w:rsidRDefault="00FC37A0" w:rsidP="00C61E69">
            <w:pPr>
              <w:spacing w:after="80"/>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White</w:t>
            </w:r>
          </w:p>
        </w:tc>
        <w:tc>
          <w:tcPr>
            <w:tcW w:w="2218" w:type="dxa"/>
            <w:shd w:val="clear" w:color="auto" w:fill="003865"/>
          </w:tcPr>
          <w:p w14:paraId="5F0DEFAF" w14:textId="4FE4D0A0" w:rsidR="00FC37A0" w:rsidRPr="00D30C65" w:rsidRDefault="00FC37A0" w:rsidP="00C61E69">
            <w:pPr>
              <w:spacing w:after="80"/>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 xml:space="preserve">Prefer not to Say </w:t>
            </w:r>
          </w:p>
        </w:tc>
        <w:tc>
          <w:tcPr>
            <w:tcW w:w="1296" w:type="dxa"/>
            <w:shd w:val="clear" w:color="auto" w:fill="003865"/>
          </w:tcPr>
          <w:p w14:paraId="34B0ED02" w14:textId="4904766B" w:rsidR="00FC37A0" w:rsidRPr="00D30C65" w:rsidRDefault="00FC37A0" w:rsidP="00C61E69">
            <w:pPr>
              <w:spacing w:after="80"/>
              <w:cnfStyle w:val="100000000000" w:firstRow="1"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Unknown</w:t>
            </w:r>
          </w:p>
        </w:tc>
      </w:tr>
      <w:tr w:rsidR="00FC37A0" w:rsidRPr="00D30C65" w14:paraId="34756996" w14:textId="77777777" w:rsidTr="00AB6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03865"/>
          </w:tcPr>
          <w:p w14:paraId="32201E7B" w14:textId="77777777" w:rsidR="00FC37A0" w:rsidRPr="00D30C65" w:rsidRDefault="00FC37A0" w:rsidP="00C61E69">
            <w:pPr>
              <w:spacing w:after="80"/>
              <w:rPr>
                <w:rFonts w:asciiTheme="minorBidi" w:eastAsia="DengXian" w:hAnsiTheme="minorBidi"/>
                <w:kern w:val="0"/>
                <w14:ligatures w14:val="none"/>
              </w:rPr>
            </w:pPr>
            <w:r w:rsidRPr="00D30C65">
              <w:rPr>
                <w:rFonts w:asciiTheme="minorBidi" w:eastAsia="DengXian" w:hAnsiTheme="minorBidi"/>
                <w:kern w:val="0"/>
                <w14:ligatures w14:val="none"/>
              </w:rPr>
              <w:t>2019/20</w:t>
            </w:r>
          </w:p>
        </w:tc>
        <w:tc>
          <w:tcPr>
            <w:tcW w:w="1866" w:type="dxa"/>
            <w:shd w:val="clear" w:color="auto" w:fill="D9D9D9" w:themeFill="background1" w:themeFillShade="D9"/>
          </w:tcPr>
          <w:p w14:paraId="153E1D85" w14:textId="1CECF51A" w:rsidR="00FC37A0" w:rsidRPr="00D30C65" w:rsidRDefault="00FC37A0" w:rsidP="00C61E69">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8.6%</w:t>
            </w:r>
          </w:p>
        </w:tc>
        <w:tc>
          <w:tcPr>
            <w:tcW w:w="897" w:type="dxa"/>
            <w:shd w:val="clear" w:color="auto" w:fill="D9D9D9" w:themeFill="background1" w:themeFillShade="D9"/>
          </w:tcPr>
          <w:p w14:paraId="0AFF30B7" w14:textId="5CFED301" w:rsidR="00FC37A0" w:rsidRPr="00D30C65" w:rsidRDefault="00FC37A0" w:rsidP="00C61E69">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73.2%</w:t>
            </w:r>
          </w:p>
        </w:tc>
        <w:tc>
          <w:tcPr>
            <w:tcW w:w="2218" w:type="dxa"/>
            <w:shd w:val="clear" w:color="auto" w:fill="D9D9D9" w:themeFill="background1" w:themeFillShade="D9"/>
          </w:tcPr>
          <w:p w14:paraId="7AFC9533" w14:textId="6F634AAA" w:rsidR="00FC37A0" w:rsidRPr="00D30C65" w:rsidRDefault="00FC37A0" w:rsidP="00C61E69">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1.0%</w:t>
            </w:r>
          </w:p>
        </w:tc>
        <w:tc>
          <w:tcPr>
            <w:tcW w:w="1296" w:type="dxa"/>
            <w:shd w:val="clear" w:color="auto" w:fill="D9D9D9" w:themeFill="background1" w:themeFillShade="D9"/>
          </w:tcPr>
          <w:p w14:paraId="46F4B29F" w14:textId="243A9AD4" w:rsidR="00FC37A0" w:rsidRPr="00D30C65" w:rsidRDefault="00FC37A0" w:rsidP="00C61E69">
            <w:pPr>
              <w:spacing w:after="80"/>
              <w:jc w:val="center"/>
              <w:cnfStyle w:val="000000100000" w:firstRow="0" w:lastRow="0" w:firstColumn="0" w:lastColumn="0" w:oddVBand="0" w:evenVBand="0" w:oddHBand="1"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17.3%</w:t>
            </w:r>
          </w:p>
        </w:tc>
      </w:tr>
      <w:tr w:rsidR="00FC37A0" w:rsidRPr="00D30C65" w14:paraId="40EBDB5B" w14:textId="77777777" w:rsidTr="00AB68E6">
        <w:tc>
          <w:tcPr>
            <w:cnfStyle w:val="001000000000" w:firstRow="0" w:lastRow="0" w:firstColumn="1" w:lastColumn="0" w:oddVBand="0" w:evenVBand="0" w:oddHBand="0" w:evenHBand="0" w:firstRowFirstColumn="0" w:firstRowLastColumn="0" w:lastRowFirstColumn="0" w:lastRowLastColumn="0"/>
            <w:tcW w:w="1555" w:type="dxa"/>
            <w:shd w:val="clear" w:color="auto" w:fill="003865"/>
          </w:tcPr>
          <w:p w14:paraId="17606195" w14:textId="77777777" w:rsidR="00FC37A0" w:rsidRPr="00D30C65" w:rsidRDefault="00FC37A0" w:rsidP="00C61E69">
            <w:pPr>
              <w:spacing w:after="80"/>
              <w:rPr>
                <w:rFonts w:asciiTheme="minorBidi" w:eastAsia="DengXian" w:hAnsiTheme="minorBidi"/>
                <w:kern w:val="0"/>
                <w14:ligatures w14:val="none"/>
              </w:rPr>
            </w:pPr>
            <w:r w:rsidRPr="00D30C65">
              <w:rPr>
                <w:rFonts w:asciiTheme="minorBidi" w:eastAsia="DengXian" w:hAnsiTheme="minorBidi"/>
                <w:kern w:val="0"/>
                <w14:ligatures w14:val="none"/>
              </w:rPr>
              <w:t>2023/24</w:t>
            </w:r>
          </w:p>
        </w:tc>
        <w:tc>
          <w:tcPr>
            <w:tcW w:w="1866" w:type="dxa"/>
            <w:shd w:val="clear" w:color="auto" w:fill="F2F2F2" w:themeFill="background1" w:themeFillShade="F2"/>
          </w:tcPr>
          <w:p w14:paraId="678C4C8C" w14:textId="2FE61448" w:rsidR="00FC37A0" w:rsidRPr="00D30C65" w:rsidRDefault="00FC37A0" w:rsidP="00C61E69">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17.7%</w:t>
            </w:r>
          </w:p>
        </w:tc>
        <w:tc>
          <w:tcPr>
            <w:tcW w:w="897" w:type="dxa"/>
            <w:shd w:val="clear" w:color="auto" w:fill="F2F2F2" w:themeFill="background1" w:themeFillShade="F2"/>
          </w:tcPr>
          <w:p w14:paraId="0C617246" w14:textId="598771C1" w:rsidR="00FC37A0" w:rsidRPr="00D30C65" w:rsidRDefault="00FC37A0" w:rsidP="00C61E69">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74.0%</w:t>
            </w:r>
          </w:p>
        </w:tc>
        <w:tc>
          <w:tcPr>
            <w:tcW w:w="2218" w:type="dxa"/>
            <w:shd w:val="clear" w:color="auto" w:fill="F2F2F2" w:themeFill="background1" w:themeFillShade="F2"/>
          </w:tcPr>
          <w:p w14:paraId="1169B1FD" w14:textId="4965BE03" w:rsidR="00FC37A0" w:rsidRPr="00D30C65" w:rsidRDefault="00FC37A0" w:rsidP="00C61E69">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2.0%</w:t>
            </w:r>
          </w:p>
        </w:tc>
        <w:tc>
          <w:tcPr>
            <w:tcW w:w="1296" w:type="dxa"/>
            <w:shd w:val="clear" w:color="auto" w:fill="F2F2F2" w:themeFill="background1" w:themeFillShade="F2"/>
          </w:tcPr>
          <w:p w14:paraId="1EDDE020" w14:textId="6B8322F4" w:rsidR="00FC37A0" w:rsidRPr="00D30C65" w:rsidRDefault="00FC37A0" w:rsidP="00C61E69">
            <w:pPr>
              <w:spacing w:after="80"/>
              <w:jc w:val="center"/>
              <w:cnfStyle w:val="000000000000" w:firstRow="0" w:lastRow="0" w:firstColumn="0" w:lastColumn="0" w:oddVBand="0" w:evenVBand="0" w:oddHBand="0" w:evenHBand="0" w:firstRowFirstColumn="0" w:firstRowLastColumn="0" w:lastRowFirstColumn="0" w:lastRowLastColumn="0"/>
              <w:rPr>
                <w:rFonts w:asciiTheme="minorBidi" w:eastAsia="DengXian" w:hAnsiTheme="minorBidi"/>
                <w:kern w:val="0"/>
                <w14:ligatures w14:val="none"/>
              </w:rPr>
            </w:pPr>
            <w:r w:rsidRPr="00D30C65">
              <w:rPr>
                <w:rFonts w:asciiTheme="minorBidi" w:hAnsiTheme="minorBidi"/>
              </w:rPr>
              <w:t>6.3%</w:t>
            </w:r>
          </w:p>
        </w:tc>
      </w:tr>
    </w:tbl>
    <w:p w14:paraId="2D331AB6" w14:textId="77777777" w:rsidR="00BD2D1F" w:rsidRDefault="00BD2D1F" w:rsidP="006B02DB">
      <w:pPr>
        <w:spacing w:line="259" w:lineRule="auto"/>
        <w:rPr>
          <w:rFonts w:asciiTheme="minorBidi" w:eastAsia="DengXian" w:hAnsiTheme="minorBidi"/>
          <w:kern w:val="0"/>
          <w14:ligatures w14:val="none"/>
        </w:rPr>
      </w:pPr>
    </w:p>
    <w:p w14:paraId="26B6BCC5" w14:textId="77777777" w:rsidR="00C61E69" w:rsidRDefault="00C61E69" w:rsidP="00A248B2">
      <w:pPr>
        <w:spacing w:line="259" w:lineRule="auto"/>
        <w:rPr>
          <w:rFonts w:asciiTheme="minorBidi" w:eastAsia="DengXian" w:hAnsiTheme="minorBidi"/>
          <w:kern w:val="0"/>
          <w:sz w:val="22"/>
          <w:szCs w:val="22"/>
          <w14:ligatures w14:val="none"/>
        </w:rPr>
      </w:pPr>
    </w:p>
    <w:p w14:paraId="2E31D9FF" w14:textId="77777777" w:rsidR="00C61E69" w:rsidRDefault="00C61E69" w:rsidP="00A248B2">
      <w:pPr>
        <w:spacing w:line="259" w:lineRule="auto"/>
        <w:rPr>
          <w:rFonts w:asciiTheme="minorBidi" w:eastAsia="DengXian" w:hAnsiTheme="minorBidi"/>
          <w:kern w:val="0"/>
          <w:sz w:val="22"/>
          <w:szCs w:val="22"/>
          <w14:ligatures w14:val="none"/>
        </w:rPr>
      </w:pPr>
    </w:p>
    <w:p w14:paraId="66355C6C" w14:textId="77777777" w:rsidR="00C61E69" w:rsidRDefault="00C61E69" w:rsidP="005939F8">
      <w:pPr>
        <w:spacing w:after="0" w:line="259" w:lineRule="auto"/>
        <w:rPr>
          <w:rFonts w:asciiTheme="minorBidi" w:eastAsia="DengXian" w:hAnsiTheme="minorBidi"/>
          <w:kern w:val="0"/>
          <w:sz w:val="22"/>
          <w:szCs w:val="22"/>
          <w14:ligatures w14:val="none"/>
        </w:rPr>
      </w:pPr>
    </w:p>
    <w:p w14:paraId="3C360771" w14:textId="6D93EB08" w:rsidR="00362683" w:rsidRDefault="00CF00DF" w:rsidP="00F778BD">
      <w:pPr>
        <w:spacing w:line="276" w:lineRule="auto"/>
        <w:rPr>
          <w:rFonts w:asciiTheme="minorBidi" w:eastAsia="DengXian" w:hAnsiTheme="minorBidi"/>
          <w:kern w:val="0"/>
          <w:sz w:val="22"/>
          <w:szCs w:val="22"/>
          <w14:ligatures w14:val="none"/>
        </w:rPr>
      </w:pPr>
      <w:r w:rsidRPr="00B86CD1">
        <w:rPr>
          <w:rFonts w:asciiTheme="minorBidi" w:eastAsia="DengXian" w:hAnsiTheme="minorBidi"/>
          <w:kern w:val="0"/>
          <w:sz w:val="22"/>
          <w:szCs w:val="22"/>
          <w14:ligatures w14:val="none"/>
        </w:rPr>
        <w:t>These improvements</w:t>
      </w:r>
      <w:r w:rsidR="00CD0F12" w:rsidRPr="00B86CD1">
        <w:rPr>
          <w:rFonts w:asciiTheme="minorBidi" w:eastAsia="DengXian" w:hAnsiTheme="minorBidi"/>
          <w:kern w:val="0"/>
          <w:sz w:val="22"/>
          <w:szCs w:val="22"/>
          <w14:ligatures w14:val="none"/>
        </w:rPr>
        <w:t xml:space="preserve"> </w:t>
      </w:r>
      <w:r w:rsidR="00A61BC5" w:rsidRPr="00B86CD1">
        <w:rPr>
          <w:rFonts w:asciiTheme="minorBidi" w:eastAsia="DengXian" w:hAnsiTheme="minorBidi"/>
          <w:kern w:val="0"/>
          <w:sz w:val="22"/>
          <w:szCs w:val="22"/>
          <w14:ligatures w14:val="none"/>
        </w:rPr>
        <w:t>have led to</w:t>
      </w:r>
      <w:r w:rsidRPr="00B86CD1">
        <w:rPr>
          <w:rFonts w:asciiTheme="minorBidi" w:eastAsia="DengXian" w:hAnsiTheme="minorBidi"/>
          <w:kern w:val="0"/>
          <w:sz w:val="22"/>
          <w:szCs w:val="22"/>
          <w14:ligatures w14:val="none"/>
        </w:rPr>
        <w:t xml:space="preserve"> </w:t>
      </w:r>
      <w:r w:rsidR="00C22740">
        <w:rPr>
          <w:rFonts w:asciiTheme="minorBidi" w:eastAsia="DengXian" w:hAnsiTheme="minorBidi"/>
          <w:kern w:val="0"/>
          <w:sz w:val="22"/>
          <w:szCs w:val="22"/>
          <w14:ligatures w14:val="none"/>
        </w:rPr>
        <w:t>fuller disclosure and thereby enhanced the effectiveness of our statistical reporting and trend analysis with regards to</w:t>
      </w:r>
      <w:r w:rsidR="002D3A37" w:rsidRPr="00B86CD1">
        <w:rPr>
          <w:rFonts w:asciiTheme="minorBidi" w:eastAsia="DengXian" w:hAnsiTheme="minorBidi"/>
          <w:kern w:val="0"/>
          <w:sz w:val="22"/>
          <w:szCs w:val="22"/>
          <w14:ligatures w14:val="none"/>
        </w:rPr>
        <w:t xml:space="preserve"> </w:t>
      </w:r>
      <w:r w:rsidRPr="00B86CD1">
        <w:rPr>
          <w:rFonts w:asciiTheme="minorBidi" w:eastAsia="DengXian" w:hAnsiTheme="minorBidi"/>
          <w:kern w:val="0"/>
          <w:sz w:val="22"/>
          <w:szCs w:val="22"/>
          <w14:ligatures w14:val="none"/>
        </w:rPr>
        <w:t>equality</w:t>
      </w:r>
      <w:r w:rsidR="005D67B4">
        <w:rPr>
          <w:rFonts w:asciiTheme="minorBidi" w:eastAsia="DengXian" w:hAnsiTheme="minorBidi"/>
          <w:kern w:val="0"/>
          <w:sz w:val="22"/>
          <w:szCs w:val="22"/>
          <w14:ligatures w14:val="none"/>
        </w:rPr>
        <w:t>-</w:t>
      </w:r>
      <w:r w:rsidR="00C22740">
        <w:rPr>
          <w:rFonts w:asciiTheme="minorBidi" w:eastAsia="DengXian" w:hAnsiTheme="minorBidi"/>
          <w:kern w:val="0"/>
          <w:sz w:val="22"/>
          <w:szCs w:val="22"/>
          <w14:ligatures w14:val="none"/>
        </w:rPr>
        <w:t xml:space="preserve">related </w:t>
      </w:r>
      <w:r w:rsidRPr="00B86CD1">
        <w:rPr>
          <w:rFonts w:asciiTheme="minorBidi" w:eastAsia="DengXian" w:hAnsiTheme="minorBidi"/>
          <w:kern w:val="0"/>
          <w:sz w:val="22"/>
          <w:szCs w:val="22"/>
          <w14:ligatures w14:val="none"/>
        </w:rPr>
        <w:t>data</w:t>
      </w:r>
      <w:r w:rsidR="00A61BC5" w:rsidRPr="00B86CD1">
        <w:rPr>
          <w:rFonts w:asciiTheme="minorBidi" w:eastAsia="DengXian" w:hAnsiTheme="minorBidi"/>
          <w:kern w:val="0"/>
          <w:sz w:val="22"/>
          <w:szCs w:val="22"/>
          <w14:ligatures w14:val="none"/>
        </w:rPr>
        <w:t xml:space="preserve"> which</w:t>
      </w:r>
      <w:r w:rsidR="005D67B4">
        <w:rPr>
          <w:rFonts w:asciiTheme="minorBidi" w:eastAsia="DengXian" w:hAnsiTheme="minorBidi"/>
          <w:kern w:val="0"/>
          <w:sz w:val="22"/>
          <w:szCs w:val="22"/>
          <w14:ligatures w14:val="none"/>
        </w:rPr>
        <w:t>,</w:t>
      </w:r>
      <w:r w:rsidRPr="00B86CD1">
        <w:rPr>
          <w:rFonts w:asciiTheme="minorBidi" w:eastAsia="DengXian" w:hAnsiTheme="minorBidi"/>
          <w:kern w:val="0"/>
          <w:sz w:val="22"/>
          <w:szCs w:val="22"/>
          <w14:ligatures w14:val="none"/>
        </w:rPr>
        <w:t xml:space="preserve"> </w:t>
      </w:r>
      <w:r w:rsidR="00C22740">
        <w:rPr>
          <w:rFonts w:asciiTheme="minorBidi" w:eastAsia="DengXian" w:hAnsiTheme="minorBidi"/>
          <w:kern w:val="0"/>
          <w:sz w:val="22"/>
          <w:szCs w:val="22"/>
          <w14:ligatures w14:val="none"/>
        </w:rPr>
        <w:t>in turn</w:t>
      </w:r>
      <w:r w:rsidR="005D67B4">
        <w:rPr>
          <w:rFonts w:asciiTheme="minorBidi" w:eastAsia="DengXian" w:hAnsiTheme="minorBidi"/>
          <w:kern w:val="0"/>
          <w:sz w:val="22"/>
          <w:szCs w:val="22"/>
          <w14:ligatures w14:val="none"/>
        </w:rPr>
        <w:t>,</w:t>
      </w:r>
      <w:r w:rsidR="00C22740">
        <w:rPr>
          <w:rFonts w:asciiTheme="minorBidi" w:eastAsia="DengXian" w:hAnsiTheme="minorBidi"/>
          <w:kern w:val="0"/>
          <w:sz w:val="22"/>
          <w:szCs w:val="22"/>
          <w14:ligatures w14:val="none"/>
        </w:rPr>
        <w:t xml:space="preserve"> has supported the institution in the</w:t>
      </w:r>
      <w:r w:rsidRPr="00B86CD1">
        <w:rPr>
          <w:rFonts w:asciiTheme="minorBidi" w:eastAsia="DengXian" w:hAnsiTheme="minorBidi"/>
          <w:kern w:val="0"/>
          <w:sz w:val="22"/>
          <w:szCs w:val="22"/>
          <w14:ligatures w14:val="none"/>
        </w:rPr>
        <w:t xml:space="preserve"> </w:t>
      </w:r>
      <w:r w:rsidR="00CF58D4" w:rsidRPr="00B86CD1">
        <w:rPr>
          <w:rFonts w:asciiTheme="minorBidi" w:eastAsia="DengXian" w:hAnsiTheme="minorBidi"/>
          <w:kern w:val="0"/>
          <w:sz w:val="22"/>
          <w:szCs w:val="22"/>
          <w14:ligatures w14:val="none"/>
        </w:rPr>
        <w:t>impleme</w:t>
      </w:r>
      <w:r w:rsidR="009F16D7" w:rsidRPr="00B86CD1">
        <w:rPr>
          <w:rFonts w:asciiTheme="minorBidi" w:eastAsia="DengXian" w:hAnsiTheme="minorBidi"/>
          <w:kern w:val="0"/>
          <w:sz w:val="22"/>
          <w:szCs w:val="22"/>
          <w14:ligatures w14:val="none"/>
        </w:rPr>
        <w:t>n</w:t>
      </w:r>
      <w:r w:rsidR="00CF58D4" w:rsidRPr="00B86CD1">
        <w:rPr>
          <w:rFonts w:asciiTheme="minorBidi" w:eastAsia="DengXian" w:hAnsiTheme="minorBidi"/>
          <w:kern w:val="0"/>
          <w:sz w:val="22"/>
          <w:szCs w:val="22"/>
          <w14:ligatures w14:val="none"/>
        </w:rPr>
        <w:t>t</w:t>
      </w:r>
      <w:r w:rsidR="001514DC" w:rsidRPr="00B86CD1">
        <w:rPr>
          <w:rFonts w:asciiTheme="minorBidi" w:eastAsia="DengXian" w:hAnsiTheme="minorBidi"/>
          <w:kern w:val="0"/>
          <w:sz w:val="22"/>
          <w:szCs w:val="22"/>
          <w14:ligatures w14:val="none"/>
        </w:rPr>
        <w:t>ation of</w:t>
      </w:r>
      <w:r w:rsidR="00CF58D4" w:rsidRPr="00B86CD1">
        <w:rPr>
          <w:rFonts w:asciiTheme="minorBidi" w:eastAsia="DengXian" w:hAnsiTheme="minorBidi"/>
          <w:kern w:val="0"/>
          <w:sz w:val="22"/>
          <w:szCs w:val="22"/>
          <w14:ligatures w14:val="none"/>
        </w:rPr>
        <w:t xml:space="preserve"> </w:t>
      </w:r>
      <w:r w:rsidR="00C22740">
        <w:rPr>
          <w:rFonts w:asciiTheme="minorBidi" w:eastAsia="DengXian" w:hAnsiTheme="minorBidi"/>
          <w:kern w:val="0"/>
          <w:sz w:val="22"/>
          <w:szCs w:val="22"/>
          <w14:ligatures w14:val="none"/>
        </w:rPr>
        <w:t xml:space="preserve">our obligations regarding </w:t>
      </w:r>
      <w:r w:rsidR="00CF58D4" w:rsidRPr="00B86CD1">
        <w:rPr>
          <w:rFonts w:asciiTheme="minorBidi" w:eastAsia="DengXian" w:hAnsiTheme="minorBidi"/>
          <w:kern w:val="0"/>
          <w:sz w:val="22"/>
          <w:szCs w:val="22"/>
          <w14:ligatures w14:val="none"/>
        </w:rPr>
        <w:t>specific equality duties</w:t>
      </w:r>
      <w:r w:rsidR="00037A99" w:rsidRPr="00B86CD1">
        <w:rPr>
          <w:rFonts w:asciiTheme="minorBidi" w:eastAsia="DengXian" w:hAnsiTheme="minorBidi"/>
          <w:kern w:val="0"/>
          <w:sz w:val="22"/>
          <w:szCs w:val="22"/>
          <w14:ligatures w14:val="none"/>
        </w:rPr>
        <w:t>. Enhance</w:t>
      </w:r>
      <w:r w:rsidR="00AE5E11" w:rsidRPr="00B86CD1">
        <w:rPr>
          <w:rFonts w:asciiTheme="minorBidi" w:eastAsia="DengXian" w:hAnsiTheme="minorBidi"/>
          <w:kern w:val="0"/>
          <w:sz w:val="22"/>
          <w:szCs w:val="22"/>
          <w14:ligatures w14:val="none"/>
        </w:rPr>
        <w:t>d</w:t>
      </w:r>
      <w:r w:rsidR="00037A99" w:rsidRPr="00B86CD1">
        <w:rPr>
          <w:rFonts w:asciiTheme="minorBidi" w:eastAsia="DengXian" w:hAnsiTheme="minorBidi"/>
          <w:kern w:val="0"/>
          <w:sz w:val="22"/>
          <w:szCs w:val="22"/>
          <w14:ligatures w14:val="none"/>
        </w:rPr>
        <w:t xml:space="preserve"> </w:t>
      </w:r>
      <w:r w:rsidR="004858CA" w:rsidRPr="00B86CD1">
        <w:rPr>
          <w:rFonts w:asciiTheme="minorBidi" w:eastAsia="DengXian" w:hAnsiTheme="minorBidi"/>
          <w:kern w:val="0"/>
          <w:sz w:val="22"/>
          <w:szCs w:val="22"/>
          <w14:ligatures w14:val="none"/>
        </w:rPr>
        <w:t>equality monitoring data</w:t>
      </w:r>
      <w:r w:rsidR="00AE5E11" w:rsidRPr="00B86CD1">
        <w:rPr>
          <w:rFonts w:asciiTheme="minorBidi" w:eastAsia="DengXian" w:hAnsiTheme="minorBidi"/>
          <w:kern w:val="0"/>
          <w:sz w:val="22"/>
          <w:szCs w:val="22"/>
          <w14:ligatures w14:val="none"/>
        </w:rPr>
        <w:t>, for example,</w:t>
      </w:r>
      <w:r w:rsidR="00FA4F31" w:rsidRPr="00B86CD1">
        <w:rPr>
          <w:rFonts w:asciiTheme="minorBidi" w:eastAsia="DengXian" w:hAnsiTheme="minorBidi"/>
          <w:kern w:val="0"/>
          <w:sz w:val="22"/>
          <w:szCs w:val="22"/>
          <w14:ligatures w14:val="none"/>
        </w:rPr>
        <w:t xml:space="preserve"> </w:t>
      </w:r>
      <w:r w:rsidR="00CB4313">
        <w:rPr>
          <w:rFonts w:asciiTheme="minorBidi" w:eastAsia="DengXian" w:hAnsiTheme="minorBidi"/>
          <w:kern w:val="0"/>
          <w:sz w:val="22"/>
          <w:szCs w:val="22"/>
          <w14:ligatures w14:val="none"/>
        </w:rPr>
        <w:t>has improved the extent to which meaningful trend analysis is possible and has therefor</w:t>
      </w:r>
      <w:r w:rsidR="003B3A17">
        <w:rPr>
          <w:rFonts w:asciiTheme="minorBidi" w:eastAsia="DengXian" w:hAnsiTheme="minorBidi"/>
          <w:kern w:val="0"/>
          <w:sz w:val="22"/>
          <w:szCs w:val="22"/>
          <w14:ligatures w14:val="none"/>
        </w:rPr>
        <w:t>e</w:t>
      </w:r>
      <w:r w:rsidR="00CB4313">
        <w:rPr>
          <w:rFonts w:asciiTheme="minorBidi" w:eastAsia="DengXian" w:hAnsiTheme="minorBidi"/>
          <w:kern w:val="0"/>
          <w:sz w:val="22"/>
          <w:szCs w:val="22"/>
          <w14:ligatures w14:val="none"/>
        </w:rPr>
        <w:t xml:space="preserve"> enabled more</w:t>
      </w:r>
      <w:r w:rsidR="001E56EA" w:rsidRPr="00B86CD1">
        <w:rPr>
          <w:rFonts w:asciiTheme="minorBidi" w:eastAsia="DengXian" w:hAnsiTheme="minorBidi"/>
          <w:kern w:val="0"/>
          <w:sz w:val="22"/>
          <w:szCs w:val="22"/>
          <w14:ligatures w14:val="none"/>
        </w:rPr>
        <w:t xml:space="preserve"> </w:t>
      </w:r>
      <w:r w:rsidR="00CF58D4" w:rsidRPr="00B86CD1">
        <w:rPr>
          <w:rFonts w:asciiTheme="minorBidi" w:eastAsia="DengXian" w:hAnsiTheme="minorBidi"/>
          <w:kern w:val="0"/>
          <w:sz w:val="22"/>
          <w:szCs w:val="22"/>
          <w14:ligatures w14:val="none"/>
        </w:rPr>
        <w:t xml:space="preserve">informed assessment </w:t>
      </w:r>
      <w:r w:rsidR="007515CF" w:rsidRPr="00B86CD1">
        <w:rPr>
          <w:rFonts w:asciiTheme="minorBidi" w:eastAsia="DengXian" w:hAnsiTheme="minorBidi"/>
          <w:kern w:val="0"/>
          <w:sz w:val="22"/>
          <w:szCs w:val="22"/>
          <w14:ligatures w14:val="none"/>
        </w:rPr>
        <w:t>of equality</w:t>
      </w:r>
      <w:r w:rsidR="00CF58D4" w:rsidRPr="00B86CD1">
        <w:rPr>
          <w:rFonts w:asciiTheme="minorBidi" w:eastAsia="DengXian" w:hAnsiTheme="minorBidi"/>
          <w:kern w:val="0"/>
          <w:sz w:val="22"/>
          <w:szCs w:val="22"/>
          <w14:ligatures w14:val="none"/>
        </w:rPr>
        <w:t xml:space="preserve"> </w:t>
      </w:r>
      <w:r w:rsidR="005E0B21" w:rsidRPr="00B86CD1">
        <w:rPr>
          <w:rFonts w:asciiTheme="minorBidi" w:eastAsia="DengXian" w:hAnsiTheme="minorBidi"/>
          <w:kern w:val="0"/>
          <w:sz w:val="22"/>
          <w:szCs w:val="22"/>
          <w14:ligatures w14:val="none"/>
        </w:rPr>
        <w:t>impact</w:t>
      </w:r>
      <w:r w:rsidR="00FA4F31" w:rsidRPr="00B86CD1">
        <w:rPr>
          <w:rFonts w:asciiTheme="minorBidi" w:eastAsia="DengXian" w:hAnsiTheme="minorBidi"/>
          <w:kern w:val="0"/>
          <w:sz w:val="22"/>
          <w:szCs w:val="22"/>
          <w14:ligatures w14:val="none"/>
        </w:rPr>
        <w:t>s</w:t>
      </w:r>
      <w:r w:rsidR="00CF58D4" w:rsidRPr="00B86CD1">
        <w:rPr>
          <w:rFonts w:asciiTheme="minorBidi" w:eastAsia="DengXian" w:hAnsiTheme="minorBidi"/>
          <w:kern w:val="0"/>
          <w:sz w:val="22"/>
          <w:szCs w:val="22"/>
          <w14:ligatures w14:val="none"/>
        </w:rPr>
        <w:t xml:space="preserve"> of policy decisions and processes </w:t>
      </w:r>
      <w:r w:rsidR="00CB4313">
        <w:rPr>
          <w:rFonts w:asciiTheme="minorBidi" w:eastAsia="DengXian" w:hAnsiTheme="minorBidi"/>
          <w:kern w:val="0"/>
          <w:sz w:val="22"/>
          <w:szCs w:val="22"/>
          <w14:ligatures w14:val="none"/>
        </w:rPr>
        <w:t xml:space="preserve">with respect to </w:t>
      </w:r>
      <w:r w:rsidR="00CF58D4" w:rsidRPr="00B86CD1">
        <w:rPr>
          <w:rFonts w:asciiTheme="minorBidi" w:eastAsia="DengXian" w:hAnsiTheme="minorBidi"/>
          <w:kern w:val="0"/>
          <w:sz w:val="22"/>
          <w:szCs w:val="22"/>
          <w14:ligatures w14:val="none"/>
        </w:rPr>
        <w:t xml:space="preserve">protected characteristic </w:t>
      </w:r>
      <w:r w:rsidR="001E56EA" w:rsidRPr="00B86CD1">
        <w:rPr>
          <w:rFonts w:asciiTheme="minorBidi" w:eastAsia="DengXian" w:hAnsiTheme="minorBidi"/>
          <w:kern w:val="0"/>
          <w:sz w:val="22"/>
          <w:szCs w:val="22"/>
          <w14:ligatures w14:val="none"/>
        </w:rPr>
        <w:t>groups</w:t>
      </w:r>
      <w:r w:rsidR="005E0B21" w:rsidRPr="00B86CD1">
        <w:rPr>
          <w:rFonts w:asciiTheme="minorBidi" w:eastAsia="DengXian" w:hAnsiTheme="minorBidi"/>
          <w:kern w:val="0"/>
          <w:sz w:val="22"/>
          <w:szCs w:val="22"/>
          <w14:ligatures w14:val="none"/>
        </w:rPr>
        <w:t xml:space="preserve">. Additionally, </w:t>
      </w:r>
      <w:r w:rsidR="00CB4313">
        <w:rPr>
          <w:rFonts w:asciiTheme="minorBidi" w:eastAsia="DengXian" w:hAnsiTheme="minorBidi"/>
          <w:kern w:val="0"/>
          <w:sz w:val="22"/>
          <w:szCs w:val="22"/>
          <w14:ligatures w14:val="none"/>
        </w:rPr>
        <w:t>the University has greater confidence in our</w:t>
      </w:r>
      <w:r w:rsidR="00F70A1C" w:rsidRPr="00B86CD1">
        <w:rPr>
          <w:rFonts w:asciiTheme="minorBidi" w:eastAsia="DengXian" w:hAnsiTheme="minorBidi"/>
          <w:kern w:val="0"/>
          <w:sz w:val="22"/>
          <w:szCs w:val="22"/>
          <w14:ligatures w14:val="none"/>
        </w:rPr>
        <w:t xml:space="preserve"> equality pay gap reporting and </w:t>
      </w:r>
      <w:r w:rsidR="00CB4313">
        <w:rPr>
          <w:rFonts w:asciiTheme="minorBidi" w:eastAsia="DengXian" w:hAnsiTheme="minorBidi"/>
          <w:kern w:val="0"/>
          <w:sz w:val="22"/>
          <w:szCs w:val="22"/>
          <w14:ligatures w14:val="none"/>
        </w:rPr>
        <w:t xml:space="preserve">action planning, and the associated </w:t>
      </w:r>
      <w:r w:rsidR="005E0B21" w:rsidRPr="00B86CD1">
        <w:rPr>
          <w:rFonts w:asciiTheme="minorBidi" w:eastAsia="DengXian" w:hAnsiTheme="minorBidi"/>
          <w:kern w:val="0"/>
          <w:sz w:val="22"/>
          <w:szCs w:val="22"/>
          <w14:ligatures w14:val="none"/>
        </w:rPr>
        <w:t>targeted interventions</w:t>
      </w:r>
      <w:r w:rsidR="00F70A1C" w:rsidRPr="00B86CD1">
        <w:rPr>
          <w:rFonts w:asciiTheme="minorBidi" w:eastAsia="DengXian" w:hAnsiTheme="minorBidi"/>
          <w:kern w:val="0"/>
          <w:sz w:val="22"/>
          <w:szCs w:val="22"/>
          <w14:ligatures w14:val="none"/>
        </w:rPr>
        <w:t xml:space="preserve">. </w:t>
      </w:r>
    </w:p>
    <w:p w14:paraId="3EE6DEF9" w14:textId="1DB1D6F7" w:rsidR="005939F8" w:rsidRPr="00610461" w:rsidRDefault="00C365C6" w:rsidP="005939F8">
      <w:pPr>
        <w:spacing w:after="120" w:line="276" w:lineRule="auto"/>
        <w:rPr>
          <w:rFonts w:asciiTheme="minorBidi" w:eastAsia="DengXian" w:hAnsiTheme="minorBidi"/>
          <w:color w:val="0F9ED5" w:themeColor="accent4"/>
          <w:kern w:val="0"/>
          <w:sz w:val="22"/>
          <w:szCs w:val="22"/>
          <w14:ligatures w14:val="none"/>
        </w:rPr>
      </w:pPr>
      <w:r w:rsidRPr="00B86CD1">
        <w:rPr>
          <w:rFonts w:asciiTheme="minorBidi" w:eastAsia="DengXian" w:hAnsiTheme="minorBidi"/>
          <w:kern w:val="0"/>
          <w:sz w:val="22"/>
          <w:szCs w:val="22"/>
          <w14:ligatures w14:val="none"/>
        </w:rPr>
        <w:t>Detailed</w:t>
      </w:r>
      <w:r w:rsidR="00696307" w:rsidRPr="00B86CD1">
        <w:rPr>
          <w:rFonts w:asciiTheme="minorBidi" w:eastAsia="DengXian" w:hAnsiTheme="minorBidi"/>
          <w:kern w:val="0"/>
          <w:sz w:val="22"/>
          <w:szCs w:val="22"/>
          <w14:ligatures w14:val="none"/>
        </w:rPr>
        <w:t xml:space="preserve"> p</w:t>
      </w:r>
      <w:r w:rsidR="006F74EC" w:rsidRPr="006F74EC">
        <w:rPr>
          <w:rFonts w:asciiTheme="minorBidi" w:eastAsia="DengXian" w:hAnsiTheme="minorBidi"/>
          <w:kern w:val="0"/>
          <w:sz w:val="22"/>
          <w:szCs w:val="22"/>
          <w14:ligatures w14:val="none"/>
        </w:rPr>
        <w:t>rogress in relation to all Equality Outcomes 20</w:t>
      </w:r>
      <w:r w:rsidR="005F1933" w:rsidRPr="00B86CD1">
        <w:rPr>
          <w:rFonts w:asciiTheme="minorBidi" w:eastAsia="DengXian" w:hAnsiTheme="minorBidi"/>
          <w:kern w:val="0"/>
          <w:sz w:val="22"/>
          <w:szCs w:val="22"/>
          <w14:ligatures w14:val="none"/>
        </w:rPr>
        <w:t>21</w:t>
      </w:r>
      <w:r w:rsidR="00900424" w:rsidRPr="00B86CD1">
        <w:rPr>
          <w:rFonts w:asciiTheme="minorBidi" w:eastAsia="DengXian" w:hAnsiTheme="minorBidi"/>
          <w:kern w:val="0"/>
          <w:sz w:val="22"/>
          <w:szCs w:val="22"/>
          <w14:ligatures w14:val="none"/>
        </w:rPr>
        <w:t>-2025</w:t>
      </w:r>
      <w:r w:rsidR="005F1933" w:rsidRPr="006F74EC">
        <w:rPr>
          <w:rFonts w:asciiTheme="minorBidi" w:eastAsia="DengXian" w:hAnsiTheme="minorBidi"/>
          <w:kern w:val="0"/>
          <w:sz w:val="22"/>
          <w:szCs w:val="22"/>
          <w14:ligatures w14:val="none"/>
        </w:rPr>
        <w:t xml:space="preserve"> </w:t>
      </w:r>
      <w:r w:rsidR="006F74EC" w:rsidRPr="006F74EC">
        <w:rPr>
          <w:rFonts w:asciiTheme="minorBidi" w:eastAsia="DengXian" w:hAnsiTheme="minorBidi"/>
          <w:kern w:val="0"/>
          <w:sz w:val="22"/>
          <w:szCs w:val="22"/>
          <w14:ligatures w14:val="none"/>
        </w:rPr>
        <w:t xml:space="preserve">is outlined in </w:t>
      </w:r>
      <w:hyperlink w:anchor="_Appendix_A:_Equality" w:history="1">
        <w:r w:rsidR="00BE3A4C" w:rsidRPr="00DE0C5D">
          <w:rPr>
            <w:rStyle w:val="Hyperlink"/>
            <w:rFonts w:asciiTheme="minorBidi" w:eastAsia="DengXian" w:hAnsiTheme="minorBidi"/>
            <w:b/>
            <w:bCs/>
            <w:kern w:val="0"/>
            <w:sz w:val="22"/>
            <w:szCs w:val="22"/>
            <w14:ligatures w14:val="none"/>
          </w:rPr>
          <w:t>A</w:t>
        </w:r>
        <w:r w:rsidR="006F74EC" w:rsidRPr="00DE0C5D">
          <w:rPr>
            <w:rStyle w:val="Hyperlink"/>
            <w:rFonts w:asciiTheme="minorBidi" w:eastAsia="DengXian" w:hAnsiTheme="minorBidi"/>
            <w:b/>
            <w:bCs/>
            <w:kern w:val="0"/>
            <w:sz w:val="22"/>
            <w:szCs w:val="22"/>
            <w14:ligatures w14:val="none"/>
          </w:rPr>
          <w:t>ppendix A</w:t>
        </w:r>
        <w:r w:rsidR="00C6601F" w:rsidRPr="00DE0C5D">
          <w:rPr>
            <w:rStyle w:val="Hyperlink"/>
            <w:rFonts w:asciiTheme="minorBidi" w:eastAsia="DengXian" w:hAnsiTheme="minorBidi"/>
            <w:b/>
            <w:bCs/>
            <w:kern w:val="0"/>
            <w:sz w:val="22"/>
            <w:szCs w:val="22"/>
            <w14:ligatures w14:val="none"/>
          </w:rPr>
          <w:t>.</w:t>
        </w:r>
      </w:hyperlink>
    </w:p>
    <w:p w14:paraId="4DB321E4" w14:textId="007017ED" w:rsidR="006F74EC" w:rsidRPr="00C365C6" w:rsidRDefault="006F74EC" w:rsidP="0069285B">
      <w:pPr>
        <w:pStyle w:val="Heading2"/>
        <w:rPr>
          <w:rFonts w:asciiTheme="minorBidi" w:hAnsiTheme="minorBidi" w:cstheme="minorBidi"/>
          <w:b/>
          <w:bCs/>
          <w:color w:val="0A2F41" w:themeColor="accent1" w:themeShade="80"/>
        </w:rPr>
      </w:pPr>
      <w:r w:rsidRPr="00C365C6">
        <w:rPr>
          <w:rFonts w:asciiTheme="minorBidi" w:hAnsiTheme="minorBidi" w:cstheme="minorBidi"/>
          <w:b/>
          <w:bCs/>
          <w:color w:val="0A2F41" w:themeColor="accent1" w:themeShade="80"/>
        </w:rPr>
        <w:t xml:space="preserve">2. </w:t>
      </w:r>
      <w:r w:rsidR="00E602B1" w:rsidRPr="00C365C6">
        <w:rPr>
          <w:rFonts w:asciiTheme="minorBidi" w:hAnsiTheme="minorBidi" w:cstheme="minorBidi"/>
          <w:b/>
          <w:bCs/>
          <w:color w:val="0A2F41" w:themeColor="accent1" w:themeShade="80"/>
        </w:rPr>
        <w:t>Equality Outcomes 2025</w:t>
      </w:r>
      <w:r w:rsidR="00D934E3" w:rsidRPr="00C365C6">
        <w:rPr>
          <w:rFonts w:asciiTheme="minorBidi" w:hAnsiTheme="minorBidi" w:cstheme="minorBidi"/>
          <w:b/>
          <w:bCs/>
          <w:color w:val="0A2F41" w:themeColor="accent1" w:themeShade="80"/>
        </w:rPr>
        <w:t xml:space="preserve"> – </w:t>
      </w:r>
      <w:r w:rsidR="00E602B1" w:rsidRPr="00C365C6">
        <w:rPr>
          <w:rFonts w:asciiTheme="minorBidi" w:hAnsiTheme="minorBidi" w:cstheme="minorBidi"/>
          <w:b/>
          <w:bCs/>
          <w:color w:val="0A2F41" w:themeColor="accent1" w:themeShade="80"/>
        </w:rPr>
        <w:t>2029</w:t>
      </w:r>
    </w:p>
    <w:p w14:paraId="32D8E3BF" w14:textId="73A09E16" w:rsidR="006F74EC" w:rsidRPr="00C365C6" w:rsidRDefault="006F74EC" w:rsidP="0069285B">
      <w:pPr>
        <w:pStyle w:val="Heading3"/>
        <w:rPr>
          <w:rFonts w:asciiTheme="minorBidi" w:hAnsiTheme="minorBidi" w:cstheme="minorBidi"/>
          <w:b/>
          <w:bCs/>
          <w:color w:val="0A2F41" w:themeColor="accent1" w:themeShade="80"/>
        </w:rPr>
      </w:pPr>
      <w:r w:rsidRPr="00C365C6">
        <w:rPr>
          <w:rFonts w:asciiTheme="minorBidi" w:hAnsiTheme="minorBidi" w:cstheme="minorBidi"/>
          <w:b/>
          <w:bCs/>
          <w:color w:val="0A2F41" w:themeColor="accent1" w:themeShade="80"/>
        </w:rPr>
        <w:t>2.</w:t>
      </w:r>
      <w:r w:rsidR="00C5139F" w:rsidRPr="00C365C6">
        <w:rPr>
          <w:rFonts w:asciiTheme="minorBidi" w:hAnsiTheme="minorBidi" w:cstheme="minorBidi"/>
          <w:b/>
          <w:bCs/>
          <w:color w:val="0A2F41" w:themeColor="accent1" w:themeShade="80"/>
        </w:rPr>
        <w:t>1</w:t>
      </w:r>
      <w:r w:rsidRPr="00C365C6">
        <w:rPr>
          <w:rFonts w:asciiTheme="minorBidi" w:hAnsiTheme="minorBidi" w:cstheme="minorBidi"/>
          <w:b/>
          <w:bCs/>
          <w:color w:val="0A2F41" w:themeColor="accent1" w:themeShade="80"/>
        </w:rPr>
        <w:t xml:space="preserve"> </w:t>
      </w:r>
      <w:r w:rsidR="00BE46C7">
        <w:rPr>
          <w:rFonts w:asciiTheme="minorBidi" w:hAnsiTheme="minorBidi" w:cstheme="minorBidi"/>
          <w:b/>
          <w:bCs/>
          <w:color w:val="0A2F41" w:themeColor="accent1" w:themeShade="80"/>
        </w:rPr>
        <w:t>Internal and External Influences</w:t>
      </w:r>
    </w:p>
    <w:p w14:paraId="55F368AC" w14:textId="18952C82" w:rsidR="00D31074" w:rsidRPr="00B86CD1" w:rsidRDefault="009150FC" w:rsidP="00F778BD">
      <w:pPr>
        <w:spacing w:line="276" w:lineRule="auto"/>
        <w:rPr>
          <w:rFonts w:asciiTheme="minorBidi" w:eastAsia="DengXian" w:hAnsiTheme="minorBidi"/>
          <w:kern w:val="0"/>
          <w:sz w:val="22"/>
          <w:szCs w:val="22"/>
          <w14:ligatures w14:val="none"/>
        </w:rPr>
      </w:pPr>
      <w:r>
        <w:rPr>
          <w:rFonts w:asciiTheme="minorBidi" w:eastAsia="DengXian" w:hAnsiTheme="minorBidi"/>
          <w:kern w:val="0"/>
          <w:sz w:val="22"/>
          <w:szCs w:val="22"/>
          <w14:ligatures w14:val="none"/>
        </w:rPr>
        <w:t>A</w:t>
      </w:r>
      <w:r w:rsidR="006F74EC" w:rsidRPr="006F74EC">
        <w:rPr>
          <w:rFonts w:asciiTheme="minorBidi" w:eastAsia="DengXian" w:hAnsiTheme="minorBidi"/>
          <w:kern w:val="0"/>
          <w:sz w:val="22"/>
          <w:szCs w:val="22"/>
          <w14:ligatures w14:val="none"/>
        </w:rPr>
        <w:t xml:space="preserve"> range of </w:t>
      </w:r>
      <w:r w:rsidR="00D934E3" w:rsidRPr="00B86CD1">
        <w:rPr>
          <w:rFonts w:asciiTheme="minorBidi" w:eastAsia="DengXian" w:hAnsiTheme="minorBidi"/>
          <w:kern w:val="0"/>
          <w:sz w:val="22"/>
          <w:szCs w:val="22"/>
          <w14:ligatures w14:val="none"/>
        </w:rPr>
        <w:t xml:space="preserve">internal and </w:t>
      </w:r>
      <w:r w:rsidR="006F74EC" w:rsidRPr="006F74EC">
        <w:rPr>
          <w:rFonts w:asciiTheme="minorBidi" w:eastAsia="DengXian" w:hAnsiTheme="minorBidi"/>
          <w:kern w:val="0"/>
          <w:sz w:val="22"/>
          <w:szCs w:val="22"/>
          <w14:ligatures w14:val="none"/>
        </w:rPr>
        <w:t>external influences</w:t>
      </w:r>
      <w:r>
        <w:rPr>
          <w:rFonts w:asciiTheme="minorBidi" w:eastAsia="DengXian" w:hAnsiTheme="minorBidi"/>
          <w:kern w:val="0"/>
          <w:sz w:val="22"/>
          <w:szCs w:val="22"/>
          <w14:ligatures w14:val="none"/>
        </w:rPr>
        <w:t xml:space="preserve"> </w:t>
      </w:r>
      <w:r w:rsidR="006F74EC" w:rsidRPr="006F74EC">
        <w:rPr>
          <w:rFonts w:asciiTheme="minorBidi" w:eastAsia="DengXian" w:hAnsiTheme="minorBidi"/>
          <w:kern w:val="0"/>
          <w:sz w:val="22"/>
          <w:szCs w:val="22"/>
          <w14:ligatures w14:val="none"/>
        </w:rPr>
        <w:t>shape</w:t>
      </w:r>
      <w:r w:rsidR="00830A3B" w:rsidRPr="00B86CD1">
        <w:rPr>
          <w:rFonts w:asciiTheme="minorBidi" w:eastAsia="DengXian" w:hAnsiTheme="minorBidi"/>
          <w:kern w:val="0"/>
          <w:sz w:val="22"/>
          <w:szCs w:val="22"/>
          <w14:ligatures w14:val="none"/>
        </w:rPr>
        <w:t xml:space="preserve"> and inform</w:t>
      </w:r>
      <w:r w:rsidR="006F74EC" w:rsidRPr="006F74EC">
        <w:rPr>
          <w:rFonts w:asciiTheme="minorBidi" w:eastAsia="DengXian" w:hAnsiTheme="minorBidi"/>
          <w:kern w:val="0"/>
          <w:sz w:val="22"/>
          <w:szCs w:val="22"/>
          <w14:ligatures w14:val="none"/>
        </w:rPr>
        <w:t xml:space="preserve"> our strategic </w:t>
      </w:r>
      <w:r w:rsidR="008A79A7" w:rsidRPr="006F74EC">
        <w:rPr>
          <w:rFonts w:asciiTheme="minorBidi" w:eastAsia="DengXian" w:hAnsiTheme="minorBidi"/>
          <w:kern w:val="0"/>
          <w:sz w:val="22"/>
          <w:szCs w:val="22"/>
          <w14:ligatures w14:val="none"/>
        </w:rPr>
        <w:t>approach</w:t>
      </w:r>
      <w:r w:rsidR="008A79A7">
        <w:rPr>
          <w:rFonts w:asciiTheme="minorBidi" w:eastAsia="DengXian" w:hAnsiTheme="minorBidi"/>
          <w:kern w:val="0"/>
          <w:sz w:val="22"/>
          <w:szCs w:val="22"/>
          <w14:ligatures w14:val="none"/>
        </w:rPr>
        <w:t xml:space="preserve"> to </w:t>
      </w:r>
      <w:r w:rsidR="00950166">
        <w:rPr>
          <w:rFonts w:asciiTheme="minorBidi" w:eastAsia="DengXian" w:hAnsiTheme="minorBidi"/>
          <w:kern w:val="0"/>
          <w:sz w:val="22"/>
          <w:szCs w:val="22"/>
          <w14:ligatures w14:val="none"/>
        </w:rPr>
        <w:t xml:space="preserve">equality </w:t>
      </w:r>
      <w:r w:rsidR="006F74EC" w:rsidRPr="006F74EC">
        <w:rPr>
          <w:rFonts w:asciiTheme="minorBidi" w:eastAsia="DengXian" w:hAnsiTheme="minorBidi"/>
          <w:kern w:val="0"/>
          <w:sz w:val="22"/>
          <w:szCs w:val="22"/>
          <w14:ligatures w14:val="none"/>
        </w:rPr>
        <w:t xml:space="preserve">and </w:t>
      </w:r>
      <w:r w:rsidR="008A79A7">
        <w:rPr>
          <w:rFonts w:asciiTheme="minorBidi" w:eastAsia="DengXian" w:hAnsiTheme="minorBidi"/>
          <w:kern w:val="0"/>
          <w:sz w:val="22"/>
          <w:szCs w:val="22"/>
          <w14:ligatures w14:val="none"/>
        </w:rPr>
        <w:t xml:space="preserve">our </w:t>
      </w:r>
      <w:r w:rsidR="006F74EC" w:rsidRPr="006F74EC">
        <w:rPr>
          <w:rFonts w:asciiTheme="minorBidi" w:eastAsia="DengXian" w:hAnsiTheme="minorBidi"/>
          <w:kern w:val="0"/>
          <w:sz w:val="22"/>
          <w:szCs w:val="22"/>
          <w14:ligatures w14:val="none"/>
        </w:rPr>
        <w:t xml:space="preserve">Equality Outcomes. </w:t>
      </w:r>
      <w:r w:rsidR="00736CD1" w:rsidRPr="00B86CD1">
        <w:rPr>
          <w:rFonts w:asciiTheme="minorBidi" w:eastAsia="DengXian" w:hAnsiTheme="minorBidi"/>
          <w:kern w:val="0"/>
          <w:sz w:val="22"/>
          <w:szCs w:val="22"/>
          <w14:ligatures w14:val="none"/>
        </w:rPr>
        <w:t xml:space="preserve">These include our equality </w:t>
      </w:r>
      <w:r w:rsidR="00C41315">
        <w:rPr>
          <w:rFonts w:asciiTheme="minorBidi" w:eastAsia="DengXian" w:hAnsiTheme="minorBidi"/>
          <w:kern w:val="0"/>
          <w:sz w:val="22"/>
          <w:szCs w:val="22"/>
          <w14:ligatures w14:val="none"/>
        </w:rPr>
        <w:t xml:space="preserve">data </w:t>
      </w:r>
      <w:r w:rsidR="00736CD1" w:rsidRPr="00B86CD1">
        <w:rPr>
          <w:rFonts w:asciiTheme="minorBidi" w:eastAsia="DengXian" w:hAnsiTheme="minorBidi"/>
          <w:kern w:val="0"/>
          <w:sz w:val="22"/>
          <w:szCs w:val="22"/>
          <w14:ligatures w14:val="none"/>
        </w:rPr>
        <w:t>monitoring</w:t>
      </w:r>
      <w:r w:rsidR="00C41315">
        <w:rPr>
          <w:rFonts w:asciiTheme="minorBidi" w:eastAsia="DengXian" w:hAnsiTheme="minorBidi"/>
          <w:kern w:val="0"/>
          <w:sz w:val="22"/>
          <w:szCs w:val="22"/>
          <w14:ligatures w14:val="none"/>
        </w:rPr>
        <w:t xml:space="preserve"> report</w:t>
      </w:r>
      <w:r w:rsidR="009F30B3">
        <w:rPr>
          <w:rFonts w:asciiTheme="minorBidi" w:eastAsia="DengXian" w:hAnsiTheme="minorBidi"/>
          <w:kern w:val="0"/>
          <w:sz w:val="22"/>
          <w:szCs w:val="22"/>
          <w14:ligatures w14:val="none"/>
        </w:rPr>
        <w:t xml:space="preserve">, </w:t>
      </w:r>
      <w:r w:rsidR="00441B9B">
        <w:rPr>
          <w:rFonts w:asciiTheme="minorBidi" w:eastAsia="DengXian" w:hAnsiTheme="minorBidi"/>
          <w:kern w:val="0"/>
          <w:sz w:val="22"/>
          <w:szCs w:val="22"/>
          <w14:ligatures w14:val="none"/>
        </w:rPr>
        <w:t xml:space="preserve">student data analytics, </w:t>
      </w:r>
      <w:r w:rsidR="009F30B3">
        <w:rPr>
          <w:rFonts w:asciiTheme="minorBidi" w:eastAsia="DengXian" w:hAnsiTheme="minorBidi"/>
          <w:kern w:val="0"/>
          <w:sz w:val="22"/>
          <w:szCs w:val="22"/>
          <w14:ligatures w14:val="none"/>
        </w:rPr>
        <w:t xml:space="preserve">issues raised </w:t>
      </w:r>
      <w:r w:rsidR="00CB4313">
        <w:rPr>
          <w:rFonts w:asciiTheme="minorBidi" w:eastAsia="DengXian" w:hAnsiTheme="minorBidi"/>
          <w:kern w:val="0"/>
          <w:sz w:val="22"/>
          <w:szCs w:val="22"/>
          <w14:ligatures w14:val="none"/>
        </w:rPr>
        <w:t xml:space="preserve">through our colleague </w:t>
      </w:r>
      <w:r w:rsidR="009F30B3">
        <w:rPr>
          <w:rFonts w:asciiTheme="minorBidi" w:eastAsia="DengXian" w:hAnsiTheme="minorBidi"/>
          <w:kern w:val="0"/>
          <w:sz w:val="22"/>
          <w:szCs w:val="22"/>
          <w14:ligatures w14:val="none"/>
        </w:rPr>
        <w:t>and student equality networks</w:t>
      </w:r>
      <w:r w:rsidR="00D35C0D">
        <w:rPr>
          <w:rFonts w:asciiTheme="minorBidi" w:eastAsia="DengXian" w:hAnsiTheme="minorBidi"/>
          <w:kern w:val="0"/>
          <w:sz w:val="22"/>
          <w:szCs w:val="22"/>
          <w14:ligatures w14:val="none"/>
        </w:rPr>
        <w:t xml:space="preserve"> and </w:t>
      </w:r>
      <w:r w:rsidR="00CB4313">
        <w:rPr>
          <w:rFonts w:asciiTheme="minorBidi" w:eastAsia="DengXian" w:hAnsiTheme="minorBidi"/>
          <w:kern w:val="0"/>
          <w:sz w:val="22"/>
          <w:szCs w:val="22"/>
          <w14:ligatures w14:val="none"/>
        </w:rPr>
        <w:t xml:space="preserve">related </w:t>
      </w:r>
      <w:r w:rsidR="00D35C0D">
        <w:rPr>
          <w:rFonts w:asciiTheme="minorBidi" w:eastAsia="DengXian" w:hAnsiTheme="minorBidi"/>
          <w:kern w:val="0"/>
          <w:sz w:val="22"/>
          <w:szCs w:val="22"/>
          <w14:ligatures w14:val="none"/>
        </w:rPr>
        <w:t xml:space="preserve">equality groups, </w:t>
      </w:r>
      <w:r w:rsidR="00D11284" w:rsidRPr="00B86CD1">
        <w:rPr>
          <w:rFonts w:asciiTheme="minorBidi" w:eastAsia="DengXian" w:hAnsiTheme="minorBidi"/>
          <w:kern w:val="0"/>
          <w:sz w:val="22"/>
          <w:szCs w:val="22"/>
          <w14:ligatures w14:val="none"/>
        </w:rPr>
        <w:t>colleague and student experience survey</w:t>
      </w:r>
      <w:r w:rsidR="00D35C0D">
        <w:rPr>
          <w:rFonts w:asciiTheme="minorBidi" w:eastAsia="DengXian" w:hAnsiTheme="minorBidi"/>
          <w:kern w:val="0"/>
          <w:sz w:val="22"/>
          <w:szCs w:val="22"/>
          <w14:ligatures w14:val="none"/>
        </w:rPr>
        <w:t xml:space="preserve"> results </w:t>
      </w:r>
      <w:r w:rsidR="003E77B0">
        <w:rPr>
          <w:rFonts w:asciiTheme="minorBidi" w:eastAsia="DengXian" w:hAnsiTheme="minorBidi"/>
          <w:kern w:val="0"/>
          <w:sz w:val="22"/>
          <w:szCs w:val="22"/>
          <w14:ligatures w14:val="none"/>
        </w:rPr>
        <w:t xml:space="preserve">and other feedback </w:t>
      </w:r>
      <w:r w:rsidR="00CB4313">
        <w:rPr>
          <w:rFonts w:asciiTheme="minorBidi" w:eastAsia="DengXian" w:hAnsiTheme="minorBidi"/>
          <w:kern w:val="0"/>
          <w:sz w:val="22"/>
          <w:szCs w:val="22"/>
          <w14:ligatures w14:val="none"/>
        </w:rPr>
        <w:t xml:space="preserve">obtained </w:t>
      </w:r>
      <w:r w:rsidR="003E77B0">
        <w:rPr>
          <w:rFonts w:asciiTheme="minorBidi" w:eastAsia="DengXian" w:hAnsiTheme="minorBidi"/>
          <w:kern w:val="0"/>
          <w:sz w:val="22"/>
          <w:szCs w:val="22"/>
          <w14:ligatures w14:val="none"/>
        </w:rPr>
        <w:t>through online reporting tools and processes.</w:t>
      </w:r>
      <w:r w:rsidR="003D54D5">
        <w:rPr>
          <w:rFonts w:asciiTheme="minorBidi" w:eastAsia="DengXian" w:hAnsiTheme="minorBidi"/>
          <w:kern w:val="0"/>
          <w:sz w:val="22"/>
          <w:szCs w:val="22"/>
          <w14:ligatures w14:val="none"/>
        </w:rPr>
        <w:t xml:space="preserve"> </w:t>
      </w:r>
      <w:r w:rsidR="00CB4313">
        <w:rPr>
          <w:rFonts w:asciiTheme="minorBidi" w:eastAsia="DengXian" w:hAnsiTheme="minorBidi"/>
          <w:kern w:val="0"/>
          <w:sz w:val="22"/>
          <w:szCs w:val="22"/>
          <w14:ligatures w14:val="none"/>
        </w:rPr>
        <w:t xml:space="preserve">Further, our plans and actions </w:t>
      </w:r>
      <w:r w:rsidR="00FD1851">
        <w:rPr>
          <w:rFonts w:asciiTheme="minorBidi" w:eastAsia="DengXian" w:hAnsiTheme="minorBidi"/>
          <w:kern w:val="0"/>
          <w:sz w:val="22"/>
          <w:szCs w:val="22"/>
          <w14:ligatures w14:val="none"/>
        </w:rPr>
        <w:t xml:space="preserve">are </w:t>
      </w:r>
      <w:r w:rsidR="00CB4313">
        <w:rPr>
          <w:rFonts w:asciiTheme="minorBidi" w:eastAsia="DengXian" w:hAnsiTheme="minorBidi"/>
          <w:kern w:val="0"/>
          <w:sz w:val="22"/>
          <w:szCs w:val="22"/>
          <w14:ligatures w14:val="none"/>
        </w:rPr>
        <w:t xml:space="preserve">similarly </w:t>
      </w:r>
      <w:r w:rsidR="00FD1851">
        <w:rPr>
          <w:rFonts w:asciiTheme="minorBidi" w:eastAsia="DengXian" w:hAnsiTheme="minorBidi"/>
          <w:kern w:val="0"/>
          <w:sz w:val="22"/>
          <w:szCs w:val="22"/>
          <w14:ligatures w14:val="none"/>
        </w:rPr>
        <w:t>informed by guidance</w:t>
      </w:r>
      <w:r w:rsidR="007F1494">
        <w:rPr>
          <w:rFonts w:asciiTheme="minorBidi" w:eastAsia="DengXian" w:hAnsiTheme="minorBidi"/>
          <w:kern w:val="0"/>
          <w:sz w:val="22"/>
          <w:szCs w:val="22"/>
          <w14:ligatures w14:val="none"/>
        </w:rPr>
        <w:t xml:space="preserve"> from</w:t>
      </w:r>
      <w:r w:rsidR="00D11284" w:rsidRPr="00B86CD1">
        <w:rPr>
          <w:rFonts w:asciiTheme="minorBidi" w:eastAsia="DengXian" w:hAnsiTheme="minorBidi"/>
          <w:kern w:val="0"/>
          <w:sz w:val="22"/>
          <w:szCs w:val="22"/>
          <w14:ligatures w14:val="none"/>
        </w:rPr>
        <w:t xml:space="preserve"> </w:t>
      </w:r>
      <w:r w:rsidR="00E90719">
        <w:rPr>
          <w:rFonts w:asciiTheme="minorBidi" w:eastAsia="DengXian" w:hAnsiTheme="minorBidi"/>
          <w:kern w:val="0"/>
          <w:sz w:val="22"/>
          <w:szCs w:val="22"/>
          <w14:ligatures w14:val="none"/>
        </w:rPr>
        <w:t xml:space="preserve">Equality and Human Rights Commission (EHRC) </w:t>
      </w:r>
      <w:r w:rsidR="00B06100">
        <w:rPr>
          <w:rFonts w:asciiTheme="minorBidi" w:eastAsia="DengXian" w:hAnsiTheme="minorBidi"/>
          <w:kern w:val="0"/>
          <w:sz w:val="22"/>
          <w:szCs w:val="22"/>
          <w14:ligatures w14:val="none"/>
        </w:rPr>
        <w:t>on setting equality outcomes</w:t>
      </w:r>
      <w:r w:rsidR="000B09E3">
        <w:rPr>
          <w:rFonts w:asciiTheme="minorBidi" w:eastAsia="DengXian" w:hAnsiTheme="minorBidi"/>
          <w:kern w:val="0"/>
          <w:sz w:val="22"/>
          <w:szCs w:val="22"/>
          <w14:ligatures w14:val="none"/>
        </w:rPr>
        <w:t xml:space="preserve"> as well as </w:t>
      </w:r>
      <w:r w:rsidR="00941776">
        <w:rPr>
          <w:rFonts w:asciiTheme="minorBidi" w:eastAsia="DengXian" w:hAnsiTheme="minorBidi"/>
          <w:kern w:val="0"/>
          <w:sz w:val="22"/>
          <w:szCs w:val="22"/>
          <w14:ligatures w14:val="none"/>
        </w:rPr>
        <w:t xml:space="preserve">sector-level </w:t>
      </w:r>
      <w:r w:rsidR="003030FC">
        <w:rPr>
          <w:rFonts w:asciiTheme="minorBidi" w:eastAsia="DengXian" w:hAnsiTheme="minorBidi"/>
          <w:kern w:val="0"/>
          <w:sz w:val="22"/>
          <w:szCs w:val="22"/>
          <w14:ligatures w14:val="none"/>
        </w:rPr>
        <w:t xml:space="preserve">research and </w:t>
      </w:r>
      <w:r w:rsidR="00941776">
        <w:rPr>
          <w:rFonts w:asciiTheme="minorBidi" w:eastAsia="DengXian" w:hAnsiTheme="minorBidi"/>
          <w:kern w:val="0"/>
          <w:sz w:val="22"/>
          <w:szCs w:val="22"/>
          <w14:ligatures w14:val="none"/>
        </w:rPr>
        <w:t>reports</w:t>
      </w:r>
      <w:r w:rsidR="000854FA">
        <w:rPr>
          <w:rFonts w:asciiTheme="minorBidi" w:eastAsia="DengXian" w:hAnsiTheme="minorBidi"/>
          <w:kern w:val="0"/>
          <w:sz w:val="22"/>
          <w:szCs w:val="22"/>
          <w14:ligatures w14:val="none"/>
        </w:rPr>
        <w:t xml:space="preserve"> </w:t>
      </w:r>
      <w:r w:rsidR="000E2916">
        <w:rPr>
          <w:rFonts w:asciiTheme="minorBidi" w:eastAsia="DengXian" w:hAnsiTheme="minorBidi"/>
          <w:kern w:val="0"/>
          <w:sz w:val="22"/>
          <w:szCs w:val="22"/>
          <w14:ligatures w14:val="none"/>
        </w:rPr>
        <w:t xml:space="preserve">on </w:t>
      </w:r>
      <w:r w:rsidR="00DF338D">
        <w:rPr>
          <w:rFonts w:asciiTheme="minorBidi" w:eastAsia="DengXian" w:hAnsiTheme="minorBidi"/>
          <w:kern w:val="0"/>
          <w:sz w:val="22"/>
          <w:szCs w:val="22"/>
          <w14:ligatures w14:val="none"/>
        </w:rPr>
        <w:t>common equality challenges.</w:t>
      </w:r>
    </w:p>
    <w:p w14:paraId="7AC63AEC" w14:textId="64B2F935" w:rsidR="005563ED" w:rsidRDefault="00F15A11" w:rsidP="005939F8">
      <w:pPr>
        <w:spacing w:after="0" w:line="276" w:lineRule="auto"/>
        <w:rPr>
          <w:rFonts w:asciiTheme="minorBidi" w:eastAsia="Calibri" w:hAnsiTheme="minorBidi"/>
          <w:kern w:val="0"/>
          <w:sz w:val="22"/>
          <w:szCs w:val="22"/>
          <w:lang w:eastAsia="en-US"/>
          <w14:ligatures w14:val="none"/>
        </w:rPr>
      </w:pPr>
      <w:r w:rsidRPr="00B86CD1">
        <w:rPr>
          <w:rFonts w:asciiTheme="minorBidi" w:eastAsia="Calibri" w:hAnsiTheme="minorBidi"/>
          <w:kern w:val="0"/>
          <w:sz w:val="22"/>
          <w:szCs w:val="22"/>
          <w:lang w:eastAsia="en-US"/>
          <w14:ligatures w14:val="none"/>
        </w:rPr>
        <w:t xml:space="preserve">The </w:t>
      </w:r>
      <w:r w:rsidR="00AA23CF" w:rsidRPr="00B86CD1">
        <w:rPr>
          <w:rFonts w:asciiTheme="minorBidi" w:eastAsia="Calibri" w:hAnsiTheme="minorBidi"/>
          <w:kern w:val="0"/>
          <w:sz w:val="22"/>
          <w:szCs w:val="22"/>
          <w:lang w:eastAsia="en-US"/>
          <w14:ligatures w14:val="none"/>
        </w:rPr>
        <w:t>most significant</w:t>
      </w:r>
      <w:r w:rsidRPr="00B86CD1">
        <w:rPr>
          <w:rFonts w:asciiTheme="minorBidi" w:eastAsia="Calibri" w:hAnsiTheme="minorBidi"/>
          <w:kern w:val="0"/>
          <w:sz w:val="22"/>
          <w:szCs w:val="22"/>
          <w:lang w:eastAsia="en-US"/>
          <w14:ligatures w14:val="none"/>
        </w:rPr>
        <w:t xml:space="preserve"> factor which has shaped </w:t>
      </w:r>
      <w:r w:rsidR="00F32F5D" w:rsidRPr="00B86CD1">
        <w:rPr>
          <w:rFonts w:asciiTheme="minorBidi" w:eastAsia="Calibri" w:hAnsiTheme="minorBidi"/>
          <w:kern w:val="0"/>
          <w:sz w:val="22"/>
          <w:szCs w:val="22"/>
          <w:lang w:eastAsia="en-US"/>
          <w14:ligatures w14:val="none"/>
        </w:rPr>
        <w:t>Equality Outcomes 2025</w:t>
      </w:r>
      <w:r w:rsidR="00E050C0">
        <w:rPr>
          <w:rFonts w:asciiTheme="minorBidi" w:eastAsia="Calibri" w:hAnsiTheme="minorBidi"/>
          <w:kern w:val="0"/>
          <w:sz w:val="22"/>
          <w:szCs w:val="22"/>
          <w:lang w:eastAsia="en-US"/>
          <w14:ligatures w14:val="none"/>
        </w:rPr>
        <w:t xml:space="preserve"> – </w:t>
      </w:r>
      <w:r w:rsidR="00F32F5D" w:rsidRPr="00B86CD1">
        <w:rPr>
          <w:rFonts w:asciiTheme="minorBidi" w:eastAsia="Calibri" w:hAnsiTheme="minorBidi"/>
          <w:kern w:val="0"/>
          <w:sz w:val="22"/>
          <w:szCs w:val="22"/>
          <w:lang w:eastAsia="en-US"/>
          <w14:ligatures w14:val="none"/>
        </w:rPr>
        <w:t>2029</w:t>
      </w:r>
      <w:r w:rsidRPr="00B86CD1">
        <w:rPr>
          <w:rFonts w:asciiTheme="minorBidi" w:eastAsia="Calibri" w:hAnsiTheme="minorBidi"/>
          <w:kern w:val="0"/>
          <w:sz w:val="22"/>
          <w:szCs w:val="22"/>
          <w:lang w:eastAsia="en-US"/>
          <w14:ligatures w14:val="none"/>
        </w:rPr>
        <w:t xml:space="preserve"> has been the</w:t>
      </w:r>
      <w:r w:rsidR="00E421FE" w:rsidRPr="00B86CD1">
        <w:rPr>
          <w:rFonts w:asciiTheme="minorBidi" w:eastAsia="Calibri" w:hAnsiTheme="minorBidi"/>
          <w:kern w:val="0"/>
          <w:sz w:val="22"/>
          <w:szCs w:val="22"/>
          <w:lang w:eastAsia="en-US"/>
          <w14:ligatures w14:val="none"/>
        </w:rPr>
        <w:t xml:space="preserve"> Memorandum of Understanding</w:t>
      </w:r>
      <w:r w:rsidRPr="00B86CD1">
        <w:rPr>
          <w:rFonts w:asciiTheme="minorBidi" w:eastAsia="Calibri" w:hAnsiTheme="minorBidi"/>
          <w:kern w:val="0"/>
          <w:sz w:val="22"/>
          <w:szCs w:val="22"/>
          <w:lang w:eastAsia="en-US"/>
          <w14:ligatures w14:val="none"/>
        </w:rPr>
        <w:t xml:space="preserve"> </w:t>
      </w:r>
      <w:r w:rsidR="00E421FE" w:rsidRPr="00B86CD1">
        <w:rPr>
          <w:rFonts w:asciiTheme="minorBidi" w:eastAsia="Calibri" w:hAnsiTheme="minorBidi"/>
          <w:kern w:val="0"/>
          <w:sz w:val="22"/>
          <w:szCs w:val="22"/>
          <w:lang w:eastAsia="en-US"/>
          <w14:ligatures w14:val="none"/>
        </w:rPr>
        <w:t>(</w:t>
      </w:r>
      <w:r w:rsidRPr="00B86CD1">
        <w:rPr>
          <w:rFonts w:asciiTheme="minorBidi" w:eastAsia="Calibri" w:hAnsiTheme="minorBidi"/>
          <w:kern w:val="0"/>
          <w:sz w:val="22"/>
          <w:szCs w:val="22"/>
          <w:lang w:eastAsia="en-US"/>
          <w14:ligatures w14:val="none"/>
        </w:rPr>
        <w:t>MOU</w:t>
      </w:r>
      <w:r w:rsidR="00E421FE" w:rsidRPr="00B86CD1">
        <w:rPr>
          <w:rFonts w:asciiTheme="minorBidi" w:eastAsia="Calibri" w:hAnsiTheme="minorBidi"/>
          <w:kern w:val="0"/>
          <w:sz w:val="22"/>
          <w:szCs w:val="22"/>
          <w:lang w:eastAsia="en-US"/>
          <w14:ligatures w14:val="none"/>
        </w:rPr>
        <w:t>)</w:t>
      </w:r>
      <w:r w:rsidRPr="00B86CD1">
        <w:rPr>
          <w:rFonts w:asciiTheme="minorBidi" w:eastAsia="Calibri" w:hAnsiTheme="minorBidi"/>
          <w:kern w:val="0"/>
          <w:sz w:val="22"/>
          <w:szCs w:val="22"/>
          <w:lang w:eastAsia="en-US"/>
          <w14:ligatures w14:val="none"/>
        </w:rPr>
        <w:t xml:space="preserve"> </w:t>
      </w:r>
      <w:r w:rsidR="004D4B49">
        <w:rPr>
          <w:rFonts w:asciiTheme="minorBidi" w:eastAsia="Calibri" w:hAnsiTheme="minorBidi"/>
          <w:kern w:val="0"/>
          <w:sz w:val="22"/>
          <w:szCs w:val="22"/>
          <w:lang w:eastAsia="en-US"/>
          <w14:ligatures w14:val="none"/>
        </w:rPr>
        <w:t>established between</w:t>
      </w:r>
      <w:r w:rsidRPr="00B86CD1">
        <w:rPr>
          <w:rFonts w:asciiTheme="minorBidi" w:eastAsia="Calibri" w:hAnsiTheme="minorBidi"/>
          <w:kern w:val="0"/>
          <w:sz w:val="22"/>
          <w:szCs w:val="22"/>
          <w:lang w:eastAsia="en-US"/>
          <w14:ligatures w14:val="none"/>
        </w:rPr>
        <w:t xml:space="preserve"> EHRC and</w:t>
      </w:r>
      <w:r w:rsidR="00E90719">
        <w:rPr>
          <w:rFonts w:asciiTheme="minorBidi" w:eastAsia="Calibri" w:hAnsiTheme="minorBidi"/>
          <w:kern w:val="0"/>
          <w:sz w:val="22"/>
          <w:szCs w:val="22"/>
          <w:lang w:eastAsia="en-US"/>
          <w14:ligatures w14:val="none"/>
        </w:rPr>
        <w:t xml:space="preserve"> the Scottish Funding Council</w:t>
      </w:r>
      <w:r w:rsidRPr="00B86CD1">
        <w:rPr>
          <w:rFonts w:asciiTheme="minorBidi" w:eastAsia="Calibri" w:hAnsiTheme="minorBidi"/>
          <w:kern w:val="0"/>
          <w:sz w:val="22"/>
          <w:szCs w:val="22"/>
          <w:lang w:eastAsia="en-US"/>
          <w14:ligatures w14:val="none"/>
        </w:rPr>
        <w:t xml:space="preserve"> </w:t>
      </w:r>
      <w:r w:rsidR="00E90719">
        <w:rPr>
          <w:rFonts w:asciiTheme="minorBidi" w:eastAsia="Calibri" w:hAnsiTheme="minorBidi"/>
          <w:kern w:val="0"/>
          <w:sz w:val="22"/>
          <w:szCs w:val="22"/>
          <w:lang w:eastAsia="en-US"/>
          <w14:ligatures w14:val="none"/>
        </w:rPr>
        <w:t>(</w:t>
      </w:r>
      <w:r w:rsidRPr="00B86CD1">
        <w:rPr>
          <w:rFonts w:asciiTheme="minorBidi" w:eastAsia="Calibri" w:hAnsiTheme="minorBidi"/>
          <w:kern w:val="0"/>
          <w:sz w:val="22"/>
          <w:szCs w:val="22"/>
          <w:lang w:eastAsia="en-US"/>
          <w14:ligatures w14:val="none"/>
        </w:rPr>
        <w:t>SFC</w:t>
      </w:r>
      <w:r w:rsidR="00E90719">
        <w:rPr>
          <w:rFonts w:asciiTheme="minorBidi" w:eastAsia="Calibri" w:hAnsiTheme="minorBidi"/>
          <w:kern w:val="0"/>
          <w:sz w:val="22"/>
          <w:szCs w:val="22"/>
          <w:lang w:eastAsia="en-US"/>
          <w14:ligatures w14:val="none"/>
        </w:rPr>
        <w:t>)</w:t>
      </w:r>
      <w:r w:rsidR="00766B81">
        <w:rPr>
          <w:rFonts w:asciiTheme="minorBidi" w:eastAsia="Calibri" w:hAnsiTheme="minorBidi"/>
          <w:kern w:val="0"/>
          <w:sz w:val="22"/>
          <w:szCs w:val="22"/>
          <w:lang w:eastAsia="en-US"/>
          <w14:ligatures w14:val="none"/>
        </w:rPr>
        <w:t xml:space="preserve">. In </w:t>
      </w:r>
      <w:r w:rsidR="00C14A48">
        <w:rPr>
          <w:rFonts w:asciiTheme="minorBidi" w:eastAsia="Calibri" w:hAnsiTheme="minorBidi"/>
          <w:kern w:val="0"/>
          <w:sz w:val="22"/>
          <w:szCs w:val="22"/>
          <w:lang w:eastAsia="en-US"/>
          <w14:ligatures w14:val="none"/>
        </w:rPr>
        <w:t>20</w:t>
      </w:r>
      <w:r w:rsidR="00E31C21">
        <w:rPr>
          <w:rFonts w:asciiTheme="minorBidi" w:eastAsia="Calibri" w:hAnsiTheme="minorBidi"/>
          <w:kern w:val="0"/>
          <w:sz w:val="22"/>
          <w:szCs w:val="22"/>
          <w:lang w:eastAsia="en-US"/>
          <w14:ligatures w14:val="none"/>
        </w:rPr>
        <w:t>20</w:t>
      </w:r>
      <w:r w:rsidR="00766B81">
        <w:rPr>
          <w:rFonts w:asciiTheme="minorBidi" w:eastAsia="Calibri" w:hAnsiTheme="minorBidi"/>
          <w:kern w:val="0"/>
          <w:sz w:val="22"/>
          <w:szCs w:val="22"/>
          <w:lang w:eastAsia="en-US"/>
          <w14:ligatures w14:val="none"/>
        </w:rPr>
        <w:t xml:space="preserve">, EHRC and SFC </w:t>
      </w:r>
      <w:r w:rsidR="006F3E0C">
        <w:rPr>
          <w:rFonts w:asciiTheme="minorBidi" w:eastAsia="Calibri" w:hAnsiTheme="minorBidi"/>
          <w:kern w:val="0"/>
          <w:sz w:val="22"/>
          <w:szCs w:val="22"/>
          <w:lang w:eastAsia="en-US"/>
          <w14:ligatures w14:val="none"/>
        </w:rPr>
        <w:t>developed, agreed and published a joint MOU and action plan, with the aim of</w:t>
      </w:r>
      <w:r w:rsidR="00A043DC">
        <w:rPr>
          <w:rFonts w:asciiTheme="minorBidi" w:eastAsia="Calibri" w:hAnsiTheme="minorBidi"/>
          <w:kern w:val="0"/>
          <w:sz w:val="22"/>
          <w:szCs w:val="22"/>
          <w:lang w:eastAsia="en-US"/>
          <w14:ligatures w14:val="none"/>
        </w:rPr>
        <w:t xml:space="preserve"> tackling </w:t>
      </w:r>
      <w:r w:rsidR="00DE75D0">
        <w:rPr>
          <w:rFonts w:asciiTheme="minorBidi" w:eastAsia="Calibri" w:hAnsiTheme="minorBidi"/>
          <w:kern w:val="0"/>
          <w:sz w:val="22"/>
          <w:szCs w:val="22"/>
          <w:lang w:eastAsia="en-US"/>
          <w14:ligatures w14:val="none"/>
        </w:rPr>
        <w:t>significant</w:t>
      </w:r>
      <w:r w:rsidR="00A043DC">
        <w:rPr>
          <w:rFonts w:asciiTheme="minorBidi" w:eastAsia="Calibri" w:hAnsiTheme="minorBidi"/>
          <w:kern w:val="0"/>
          <w:sz w:val="22"/>
          <w:szCs w:val="22"/>
          <w:lang w:eastAsia="en-US"/>
          <w14:ligatures w14:val="none"/>
        </w:rPr>
        <w:t xml:space="preserve"> societal </w:t>
      </w:r>
      <w:r w:rsidR="00DE75D0">
        <w:rPr>
          <w:rFonts w:asciiTheme="minorBidi" w:eastAsia="Calibri" w:hAnsiTheme="minorBidi"/>
          <w:kern w:val="0"/>
          <w:sz w:val="22"/>
          <w:szCs w:val="22"/>
          <w:lang w:eastAsia="en-US"/>
          <w14:ligatures w14:val="none"/>
        </w:rPr>
        <w:t>inequalities through sector-specific National Equality Outcomes (NEOs).</w:t>
      </w:r>
      <w:r w:rsidR="00766B81">
        <w:rPr>
          <w:rFonts w:asciiTheme="minorBidi" w:eastAsia="Calibri" w:hAnsiTheme="minorBidi"/>
          <w:kern w:val="0"/>
          <w:sz w:val="22"/>
          <w:szCs w:val="22"/>
          <w:lang w:eastAsia="en-US"/>
          <w14:ligatures w14:val="none"/>
        </w:rPr>
        <w:t xml:space="preserve"> This arrangement</w:t>
      </w:r>
      <w:r w:rsidR="00DE75D0">
        <w:rPr>
          <w:rFonts w:asciiTheme="minorBidi" w:eastAsia="Calibri" w:hAnsiTheme="minorBidi"/>
          <w:kern w:val="0"/>
          <w:sz w:val="22"/>
          <w:szCs w:val="22"/>
          <w:lang w:eastAsia="en-US"/>
          <w14:ligatures w14:val="none"/>
        </w:rPr>
        <w:t xml:space="preserve"> </w:t>
      </w:r>
      <w:r w:rsidR="004E57F4">
        <w:rPr>
          <w:rFonts w:asciiTheme="minorBidi" w:eastAsia="Calibri" w:hAnsiTheme="minorBidi"/>
          <w:kern w:val="0"/>
          <w:sz w:val="22"/>
          <w:szCs w:val="22"/>
          <w:lang w:eastAsia="en-US"/>
          <w14:ligatures w14:val="none"/>
        </w:rPr>
        <w:t xml:space="preserve">resulted in </w:t>
      </w:r>
      <w:r w:rsidR="002E6D28" w:rsidRPr="00B86CD1">
        <w:rPr>
          <w:rFonts w:asciiTheme="minorBidi" w:eastAsia="Calibri" w:hAnsiTheme="minorBidi"/>
          <w:kern w:val="0"/>
          <w:sz w:val="22"/>
          <w:szCs w:val="22"/>
          <w:lang w:eastAsia="en-US"/>
          <w14:ligatures w14:val="none"/>
        </w:rPr>
        <w:t>1</w:t>
      </w:r>
      <w:r w:rsidR="004F6B46">
        <w:rPr>
          <w:rFonts w:asciiTheme="minorBidi" w:eastAsia="Calibri" w:hAnsiTheme="minorBidi"/>
          <w:kern w:val="0"/>
          <w:sz w:val="22"/>
          <w:szCs w:val="22"/>
          <w:lang w:eastAsia="en-US"/>
          <w14:ligatures w14:val="none"/>
        </w:rPr>
        <w:t>7</w:t>
      </w:r>
      <w:r w:rsidR="002E6D28" w:rsidRPr="00B86CD1">
        <w:rPr>
          <w:rFonts w:asciiTheme="minorBidi" w:eastAsia="Calibri" w:hAnsiTheme="minorBidi"/>
          <w:kern w:val="0"/>
          <w:sz w:val="22"/>
          <w:szCs w:val="22"/>
          <w:lang w:eastAsia="en-US"/>
          <w14:ligatures w14:val="none"/>
        </w:rPr>
        <w:t xml:space="preserve"> </w:t>
      </w:r>
      <w:r w:rsidR="00660561">
        <w:rPr>
          <w:rFonts w:asciiTheme="minorBidi" w:eastAsia="Calibri" w:hAnsiTheme="minorBidi"/>
          <w:kern w:val="0"/>
          <w:sz w:val="22"/>
          <w:szCs w:val="22"/>
          <w:lang w:eastAsia="en-US"/>
          <w14:ligatures w14:val="none"/>
        </w:rPr>
        <w:t>NEOs</w:t>
      </w:r>
      <w:r w:rsidR="004E57F4">
        <w:rPr>
          <w:rFonts w:asciiTheme="minorBidi" w:eastAsia="Calibri" w:hAnsiTheme="minorBidi"/>
          <w:kern w:val="0"/>
          <w:sz w:val="22"/>
          <w:szCs w:val="22"/>
          <w:lang w:eastAsia="en-US"/>
          <w14:ligatures w14:val="none"/>
        </w:rPr>
        <w:t xml:space="preserve"> prescribed</w:t>
      </w:r>
      <w:r w:rsidR="00E43765" w:rsidRPr="00B86CD1">
        <w:rPr>
          <w:rFonts w:asciiTheme="minorBidi" w:eastAsia="Calibri" w:hAnsiTheme="minorBidi"/>
          <w:kern w:val="0"/>
          <w:sz w:val="22"/>
          <w:szCs w:val="22"/>
          <w:lang w:eastAsia="en-US"/>
          <w14:ligatures w14:val="none"/>
        </w:rPr>
        <w:t xml:space="preserve"> by SFC for the tertiary</w:t>
      </w:r>
      <w:r w:rsidR="004F6B46">
        <w:rPr>
          <w:rFonts w:asciiTheme="minorBidi" w:eastAsia="Calibri" w:hAnsiTheme="minorBidi"/>
          <w:kern w:val="0"/>
          <w:sz w:val="22"/>
          <w:szCs w:val="22"/>
          <w:lang w:eastAsia="en-US"/>
          <w14:ligatures w14:val="none"/>
        </w:rPr>
        <w:t xml:space="preserve"> education</w:t>
      </w:r>
      <w:r w:rsidR="00E43765" w:rsidRPr="00B86CD1">
        <w:rPr>
          <w:rFonts w:asciiTheme="minorBidi" w:eastAsia="Calibri" w:hAnsiTheme="minorBidi"/>
          <w:kern w:val="0"/>
          <w:sz w:val="22"/>
          <w:szCs w:val="22"/>
          <w:lang w:eastAsia="en-US"/>
          <w14:ligatures w14:val="none"/>
        </w:rPr>
        <w:t xml:space="preserve"> sector</w:t>
      </w:r>
      <w:r w:rsidR="004F6B46">
        <w:rPr>
          <w:rFonts w:asciiTheme="minorBidi" w:eastAsia="Calibri" w:hAnsiTheme="minorBidi"/>
          <w:kern w:val="0"/>
          <w:sz w:val="22"/>
          <w:szCs w:val="22"/>
          <w:lang w:eastAsia="en-US"/>
          <w14:ligatures w14:val="none"/>
        </w:rPr>
        <w:t xml:space="preserve"> (16 for Higher Education Institut</w:t>
      </w:r>
      <w:r w:rsidR="00EA2E24">
        <w:rPr>
          <w:rFonts w:asciiTheme="minorBidi" w:eastAsia="Calibri" w:hAnsiTheme="minorBidi"/>
          <w:kern w:val="0"/>
          <w:sz w:val="22"/>
          <w:szCs w:val="22"/>
          <w:lang w:eastAsia="en-US"/>
          <w14:ligatures w14:val="none"/>
        </w:rPr>
        <w:t>ion</w:t>
      </w:r>
      <w:r w:rsidR="004F6B46">
        <w:rPr>
          <w:rFonts w:asciiTheme="minorBidi" w:eastAsia="Calibri" w:hAnsiTheme="minorBidi"/>
          <w:kern w:val="0"/>
          <w:sz w:val="22"/>
          <w:szCs w:val="22"/>
          <w:lang w:eastAsia="en-US"/>
          <w14:ligatures w14:val="none"/>
        </w:rPr>
        <w:t>s (HEIs)</w:t>
      </w:r>
      <w:r w:rsidR="00F77DCF">
        <w:rPr>
          <w:rFonts w:asciiTheme="minorBidi" w:eastAsia="Calibri" w:hAnsiTheme="minorBidi"/>
          <w:kern w:val="0"/>
          <w:sz w:val="22"/>
          <w:szCs w:val="22"/>
          <w:lang w:eastAsia="en-US"/>
          <w14:ligatures w14:val="none"/>
        </w:rPr>
        <w:t xml:space="preserve"> to address</w:t>
      </w:r>
      <w:r w:rsidR="00470781">
        <w:rPr>
          <w:rFonts w:asciiTheme="minorBidi" w:eastAsia="Calibri" w:hAnsiTheme="minorBidi"/>
          <w:kern w:val="0"/>
          <w:sz w:val="22"/>
          <w:szCs w:val="22"/>
          <w:lang w:eastAsia="en-US"/>
          <w14:ligatures w14:val="none"/>
        </w:rPr>
        <w:t xml:space="preserve"> </w:t>
      </w:r>
      <w:r w:rsidR="00CB4313">
        <w:rPr>
          <w:rFonts w:asciiTheme="minorBidi" w:eastAsia="Calibri" w:hAnsiTheme="minorBidi"/>
          <w:kern w:val="0"/>
          <w:sz w:val="22"/>
          <w:szCs w:val="22"/>
          <w:lang w:eastAsia="en-US"/>
          <w14:ligatures w14:val="none"/>
        </w:rPr>
        <w:t>those outcomes</w:t>
      </w:r>
      <w:r w:rsidR="00470781">
        <w:rPr>
          <w:rFonts w:asciiTheme="minorBidi" w:eastAsia="Calibri" w:hAnsiTheme="minorBidi"/>
          <w:kern w:val="0"/>
          <w:sz w:val="22"/>
          <w:szCs w:val="22"/>
          <w:lang w:eastAsia="en-US"/>
          <w14:ligatures w14:val="none"/>
        </w:rPr>
        <w:t xml:space="preserve"> </w:t>
      </w:r>
      <w:r w:rsidR="005939F8">
        <w:rPr>
          <w:rFonts w:asciiTheme="minorBidi" w:eastAsia="Calibri" w:hAnsiTheme="minorBidi"/>
          <w:kern w:val="0"/>
          <w:sz w:val="22"/>
          <w:szCs w:val="22"/>
          <w:lang w:eastAsia="en-US"/>
          <w14:ligatures w14:val="none"/>
        </w:rPr>
        <w:t>identified as</w:t>
      </w:r>
      <w:r w:rsidR="00F77DCF">
        <w:rPr>
          <w:rFonts w:asciiTheme="minorBidi" w:eastAsia="Calibri" w:hAnsiTheme="minorBidi"/>
          <w:kern w:val="0"/>
          <w:sz w:val="22"/>
          <w:szCs w:val="22"/>
          <w:lang w:eastAsia="en-US"/>
          <w14:ligatures w14:val="none"/>
        </w:rPr>
        <w:t xml:space="preserve"> </w:t>
      </w:r>
      <w:r w:rsidR="00470781">
        <w:rPr>
          <w:rFonts w:asciiTheme="minorBidi" w:eastAsia="Calibri" w:hAnsiTheme="minorBidi"/>
          <w:kern w:val="0"/>
          <w:sz w:val="22"/>
          <w:szCs w:val="22"/>
          <w:lang w:eastAsia="en-US"/>
          <w14:ligatures w14:val="none"/>
        </w:rPr>
        <w:t>‘Persistent Inequalities’</w:t>
      </w:r>
      <w:r w:rsidR="005939F8">
        <w:rPr>
          <w:rStyle w:val="FootnoteReference"/>
          <w:rFonts w:asciiTheme="minorBidi" w:eastAsia="Calibri" w:hAnsiTheme="minorBidi"/>
          <w:kern w:val="0"/>
          <w:sz w:val="22"/>
          <w:szCs w:val="22"/>
          <w:lang w:eastAsia="en-US"/>
          <w14:ligatures w14:val="none"/>
        </w:rPr>
        <w:footnoteReference w:id="1"/>
      </w:r>
      <w:r w:rsidR="002E6D28" w:rsidRPr="00B86CD1">
        <w:rPr>
          <w:rFonts w:asciiTheme="minorBidi" w:eastAsia="Calibri" w:hAnsiTheme="minorBidi"/>
          <w:kern w:val="0"/>
          <w:sz w:val="22"/>
          <w:szCs w:val="22"/>
          <w:lang w:eastAsia="en-US"/>
          <w14:ligatures w14:val="none"/>
        </w:rPr>
        <w:t>.</w:t>
      </w:r>
      <w:r w:rsidR="007351B0">
        <w:rPr>
          <w:rFonts w:asciiTheme="minorBidi" w:eastAsia="Calibri" w:hAnsiTheme="minorBidi"/>
          <w:kern w:val="0"/>
          <w:sz w:val="22"/>
          <w:szCs w:val="22"/>
          <w:lang w:eastAsia="en-US"/>
          <w14:ligatures w14:val="none"/>
        </w:rPr>
        <w:t xml:space="preserve"> </w:t>
      </w:r>
    </w:p>
    <w:p w14:paraId="53F93D60" w14:textId="77777777" w:rsidR="005939F8" w:rsidRDefault="005939F8" w:rsidP="005939F8">
      <w:pPr>
        <w:spacing w:after="0" w:line="276" w:lineRule="auto"/>
        <w:rPr>
          <w:rFonts w:asciiTheme="minorBidi" w:eastAsia="Calibri" w:hAnsiTheme="minorBidi"/>
          <w:kern w:val="0"/>
          <w:sz w:val="22"/>
          <w:szCs w:val="22"/>
          <w:lang w:eastAsia="en-US"/>
          <w14:ligatures w14:val="none"/>
        </w:rPr>
      </w:pPr>
    </w:p>
    <w:p w14:paraId="014F585F" w14:textId="7888BA6B" w:rsidR="00BE46C7" w:rsidRDefault="00BE46C7" w:rsidP="005939F8">
      <w:pPr>
        <w:pStyle w:val="Heading3"/>
        <w:spacing w:before="0" w:after="0" w:line="276" w:lineRule="auto"/>
        <w:rPr>
          <w:rFonts w:asciiTheme="minorBidi" w:hAnsiTheme="minorBidi" w:cstheme="minorBidi"/>
          <w:b/>
          <w:bCs/>
          <w:color w:val="0A2F41" w:themeColor="accent1" w:themeShade="80"/>
        </w:rPr>
      </w:pPr>
      <w:r w:rsidRPr="00C365C6">
        <w:rPr>
          <w:rFonts w:asciiTheme="minorBidi" w:hAnsiTheme="minorBidi" w:cstheme="minorBidi"/>
          <w:b/>
          <w:bCs/>
          <w:color w:val="0A2F41" w:themeColor="accent1" w:themeShade="80"/>
        </w:rPr>
        <w:t>2.</w:t>
      </w:r>
      <w:r>
        <w:rPr>
          <w:rFonts w:asciiTheme="minorBidi" w:hAnsiTheme="minorBidi" w:cstheme="minorBidi"/>
          <w:b/>
          <w:bCs/>
          <w:color w:val="0A2F41" w:themeColor="accent1" w:themeShade="80"/>
        </w:rPr>
        <w:t>2</w:t>
      </w:r>
      <w:r w:rsidRPr="00C365C6">
        <w:rPr>
          <w:rFonts w:asciiTheme="minorBidi" w:hAnsiTheme="minorBidi" w:cstheme="minorBidi"/>
          <w:b/>
          <w:bCs/>
          <w:color w:val="0A2F41" w:themeColor="accent1" w:themeShade="80"/>
        </w:rPr>
        <w:t xml:space="preserve"> Addressing Persistent Inequalities</w:t>
      </w:r>
    </w:p>
    <w:p w14:paraId="7270099E" w14:textId="77777777" w:rsidR="005939F8" w:rsidRPr="005939F8" w:rsidRDefault="005939F8" w:rsidP="005939F8">
      <w:pPr>
        <w:spacing w:after="0"/>
        <w:rPr>
          <w:sz w:val="2"/>
          <w:szCs w:val="2"/>
        </w:rPr>
      </w:pPr>
    </w:p>
    <w:p w14:paraId="722E2267" w14:textId="5A379C2F" w:rsidR="005939F8" w:rsidRDefault="005939F8" w:rsidP="0075028C">
      <w:pPr>
        <w:spacing w:after="0" w:line="276" w:lineRule="auto"/>
        <w:rPr>
          <w:rFonts w:asciiTheme="minorBidi" w:eastAsia="Calibri" w:hAnsiTheme="minorBidi"/>
          <w:kern w:val="0"/>
          <w:sz w:val="22"/>
          <w:szCs w:val="22"/>
          <w:lang w:eastAsia="en-US"/>
          <w14:ligatures w14:val="none"/>
        </w:rPr>
      </w:pPr>
      <w:r w:rsidRPr="00A43F85">
        <w:rPr>
          <w:rFonts w:asciiTheme="minorBidi" w:eastAsia="Calibri" w:hAnsiTheme="minorBidi"/>
          <w:kern w:val="0"/>
          <w:sz w:val="22"/>
          <w:szCs w:val="22"/>
          <w:lang w:eastAsia="en-US"/>
          <w14:ligatures w14:val="none"/>
        </w:rPr>
        <w:t xml:space="preserve">Many of the NEOs align with the work the University has been </w:t>
      </w:r>
      <w:r w:rsidR="007A4449">
        <w:rPr>
          <w:rFonts w:asciiTheme="minorBidi" w:eastAsia="Calibri" w:hAnsiTheme="minorBidi"/>
          <w:kern w:val="0"/>
          <w:sz w:val="22"/>
          <w:szCs w:val="22"/>
          <w:lang w:eastAsia="en-US"/>
          <w14:ligatures w14:val="none"/>
        </w:rPr>
        <w:t xml:space="preserve">advancing </w:t>
      </w:r>
      <w:r w:rsidRPr="00A43F85">
        <w:rPr>
          <w:rFonts w:asciiTheme="minorBidi" w:eastAsia="Calibri" w:hAnsiTheme="minorBidi"/>
          <w:kern w:val="0"/>
          <w:sz w:val="22"/>
          <w:szCs w:val="22"/>
          <w:lang w:eastAsia="en-US"/>
          <w14:ligatures w14:val="none"/>
        </w:rPr>
        <w:t>through our 2021 – 2025 Equality Outcomes. W</w:t>
      </w:r>
      <w:r w:rsidR="00B03102">
        <w:rPr>
          <w:rFonts w:asciiTheme="minorBidi" w:eastAsia="Calibri" w:hAnsiTheme="minorBidi"/>
          <w:kern w:val="0"/>
          <w:sz w:val="22"/>
          <w:szCs w:val="22"/>
          <w:lang w:eastAsia="en-US"/>
          <w14:ligatures w14:val="none"/>
        </w:rPr>
        <w:t>hilst w</w:t>
      </w:r>
      <w:r w:rsidRPr="00A43F85">
        <w:rPr>
          <w:rFonts w:asciiTheme="minorBidi" w:eastAsia="Calibri" w:hAnsiTheme="minorBidi"/>
          <w:kern w:val="0"/>
          <w:sz w:val="22"/>
          <w:szCs w:val="22"/>
          <w:lang w:eastAsia="en-US"/>
          <w14:ligatures w14:val="none"/>
        </w:rPr>
        <w:t>e have made substantial progress in addressing th</w:t>
      </w:r>
      <w:r w:rsidR="0070715B">
        <w:rPr>
          <w:rFonts w:asciiTheme="minorBidi" w:eastAsia="Calibri" w:hAnsiTheme="minorBidi"/>
          <w:kern w:val="0"/>
          <w:sz w:val="22"/>
          <w:szCs w:val="22"/>
          <w:lang w:eastAsia="en-US"/>
          <w14:ligatures w14:val="none"/>
        </w:rPr>
        <w:t>o</w:t>
      </w:r>
      <w:r w:rsidRPr="00A43F85">
        <w:rPr>
          <w:rFonts w:asciiTheme="minorBidi" w:eastAsia="Calibri" w:hAnsiTheme="minorBidi"/>
          <w:kern w:val="0"/>
          <w:sz w:val="22"/>
          <w:szCs w:val="22"/>
          <w:lang w:eastAsia="en-US"/>
          <w14:ligatures w14:val="none"/>
        </w:rPr>
        <w:t>se</w:t>
      </w:r>
      <w:r w:rsidR="0080244A">
        <w:rPr>
          <w:rFonts w:asciiTheme="minorBidi" w:eastAsia="Calibri" w:hAnsiTheme="minorBidi"/>
          <w:kern w:val="0"/>
          <w:sz w:val="22"/>
          <w:szCs w:val="22"/>
          <w:lang w:eastAsia="en-US"/>
          <w14:ligatures w14:val="none"/>
        </w:rPr>
        <w:t>, t</w:t>
      </w:r>
      <w:r w:rsidR="00CB4313">
        <w:rPr>
          <w:rFonts w:asciiTheme="minorBidi" w:eastAsia="Calibri" w:hAnsiTheme="minorBidi"/>
          <w:kern w:val="0"/>
          <w:sz w:val="22"/>
          <w:szCs w:val="22"/>
          <w:lang w:eastAsia="en-US"/>
          <w14:ligatures w14:val="none"/>
        </w:rPr>
        <w:t>he planned outcomes</w:t>
      </w:r>
      <w:r w:rsidRPr="00A43F85">
        <w:rPr>
          <w:rFonts w:asciiTheme="minorBidi" w:eastAsia="Calibri" w:hAnsiTheme="minorBidi"/>
          <w:kern w:val="0"/>
          <w:sz w:val="22"/>
          <w:szCs w:val="22"/>
          <w:lang w:eastAsia="en-US"/>
          <w14:ligatures w14:val="none"/>
        </w:rPr>
        <w:t xml:space="preserve"> represent some of the most difficult and entrenched inequalities, such as those relating to disability, Gender-Based Violence (GBV) and structural and interpersonal racism. </w:t>
      </w:r>
      <w:r w:rsidR="00CB4313">
        <w:rPr>
          <w:rFonts w:asciiTheme="minorBidi" w:eastAsia="Calibri" w:hAnsiTheme="minorBidi"/>
          <w:kern w:val="0"/>
          <w:sz w:val="22"/>
          <w:szCs w:val="22"/>
          <w:lang w:eastAsia="en-US"/>
          <w14:ligatures w14:val="none"/>
        </w:rPr>
        <w:t>Further, t</w:t>
      </w:r>
      <w:r w:rsidRPr="00A43F85">
        <w:rPr>
          <w:rFonts w:asciiTheme="minorBidi" w:eastAsia="Calibri" w:hAnsiTheme="minorBidi"/>
          <w:kern w:val="0"/>
          <w:sz w:val="22"/>
          <w:szCs w:val="22"/>
          <w:lang w:eastAsia="en-US"/>
          <w14:ligatures w14:val="none"/>
        </w:rPr>
        <w:t xml:space="preserve">hese </w:t>
      </w:r>
      <w:proofErr w:type="gramStart"/>
      <w:r w:rsidR="00CB4313">
        <w:rPr>
          <w:rFonts w:asciiTheme="minorBidi" w:eastAsia="Calibri" w:hAnsiTheme="minorBidi"/>
          <w:kern w:val="0"/>
          <w:sz w:val="22"/>
          <w:szCs w:val="22"/>
          <w:lang w:eastAsia="en-US"/>
          <w14:ligatures w14:val="none"/>
        </w:rPr>
        <w:t>particular issues</w:t>
      </w:r>
      <w:proofErr w:type="gramEnd"/>
      <w:r w:rsidR="00CB4313">
        <w:rPr>
          <w:rFonts w:asciiTheme="minorBidi" w:eastAsia="Calibri" w:hAnsiTheme="minorBidi"/>
          <w:kern w:val="0"/>
          <w:sz w:val="22"/>
          <w:szCs w:val="22"/>
          <w:lang w:eastAsia="en-US"/>
          <w14:ligatures w14:val="none"/>
        </w:rPr>
        <w:t xml:space="preserve"> require a</w:t>
      </w:r>
      <w:r w:rsidRPr="00A43F85">
        <w:rPr>
          <w:rFonts w:asciiTheme="minorBidi" w:eastAsia="Calibri" w:hAnsiTheme="minorBidi"/>
          <w:kern w:val="0"/>
          <w:sz w:val="22"/>
          <w:szCs w:val="22"/>
          <w:lang w:eastAsia="en-US"/>
          <w14:ligatures w14:val="none"/>
        </w:rPr>
        <w:t xml:space="preserve"> long-term </w:t>
      </w:r>
      <w:r w:rsidR="00CB4313">
        <w:rPr>
          <w:rFonts w:asciiTheme="minorBidi" w:eastAsia="Calibri" w:hAnsiTheme="minorBidi"/>
          <w:kern w:val="0"/>
          <w:sz w:val="22"/>
          <w:szCs w:val="22"/>
          <w:lang w:eastAsia="en-US"/>
          <w14:ligatures w14:val="none"/>
        </w:rPr>
        <w:t xml:space="preserve">perspective to </w:t>
      </w:r>
      <w:r w:rsidR="0080244A">
        <w:rPr>
          <w:rFonts w:asciiTheme="minorBidi" w:eastAsia="Calibri" w:hAnsiTheme="minorBidi"/>
          <w:kern w:val="0"/>
          <w:sz w:val="22"/>
          <w:szCs w:val="22"/>
          <w:lang w:eastAsia="en-US"/>
          <w14:ligatures w14:val="none"/>
        </w:rPr>
        <w:t>achieve</w:t>
      </w:r>
      <w:r w:rsidR="00CB4313">
        <w:rPr>
          <w:rFonts w:asciiTheme="minorBidi" w:eastAsia="Calibri" w:hAnsiTheme="minorBidi"/>
          <w:kern w:val="0"/>
          <w:sz w:val="22"/>
          <w:szCs w:val="22"/>
          <w:lang w:eastAsia="en-US"/>
          <w14:ligatures w14:val="none"/>
        </w:rPr>
        <w:t xml:space="preserve"> </w:t>
      </w:r>
      <w:r w:rsidR="001B5647">
        <w:rPr>
          <w:rFonts w:asciiTheme="minorBidi" w:eastAsia="Calibri" w:hAnsiTheme="minorBidi"/>
          <w:kern w:val="0"/>
          <w:sz w:val="22"/>
          <w:szCs w:val="22"/>
          <w:lang w:eastAsia="en-US"/>
          <w14:ligatures w14:val="none"/>
        </w:rPr>
        <w:t>associated</w:t>
      </w:r>
      <w:r w:rsidR="00CB4313">
        <w:rPr>
          <w:rFonts w:asciiTheme="minorBidi" w:eastAsia="Calibri" w:hAnsiTheme="minorBidi"/>
          <w:kern w:val="0"/>
          <w:sz w:val="22"/>
          <w:szCs w:val="22"/>
          <w:lang w:eastAsia="en-US"/>
          <w14:ligatures w14:val="none"/>
        </w:rPr>
        <w:t xml:space="preserve"> </w:t>
      </w:r>
      <w:r w:rsidRPr="00A43F85">
        <w:rPr>
          <w:rFonts w:asciiTheme="minorBidi" w:eastAsia="Calibri" w:hAnsiTheme="minorBidi"/>
          <w:kern w:val="0"/>
          <w:sz w:val="22"/>
          <w:szCs w:val="22"/>
          <w:lang w:eastAsia="en-US"/>
          <w14:ligatures w14:val="none"/>
        </w:rPr>
        <w:t xml:space="preserve">outcomes </w:t>
      </w:r>
      <w:r w:rsidR="00CB4313">
        <w:rPr>
          <w:rFonts w:asciiTheme="minorBidi" w:eastAsia="Calibri" w:hAnsiTheme="minorBidi"/>
          <w:kern w:val="0"/>
          <w:sz w:val="22"/>
          <w:szCs w:val="22"/>
          <w:lang w:eastAsia="en-US"/>
          <w14:ligatures w14:val="none"/>
        </w:rPr>
        <w:t>beyond a single</w:t>
      </w:r>
      <w:r w:rsidRPr="00A43F85">
        <w:rPr>
          <w:rFonts w:asciiTheme="minorBidi" w:eastAsia="Calibri" w:hAnsiTheme="minorBidi"/>
          <w:kern w:val="0"/>
          <w:sz w:val="22"/>
          <w:szCs w:val="22"/>
          <w:lang w:eastAsia="en-US"/>
          <w14:ligatures w14:val="none"/>
        </w:rPr>
        <w:t xml:space="preserve"> reporting cycle </w:t>
      </w:r>
      <w:proofErr w:type="gramStart"/>
      <w:r w:rsidR="0003748C">
        <w:rPr>
          <w:rFonts w:asciiTheme="minorBidi" w:eastAsia="Calibri" w:hAnsiTheme="minorBidi"/>
          <w:kern w:val="0"/>
          <w:sz w:val="22"/>
          <w:szCs w:val="22"/>
          <w:lang w:eastAsia="en-US"/>
          <w14:ligatures w14:val="none"/>
        </w:rPr>
        <w:t>in order to</w:t>
      </w:r>
      <w:proofErr w:type="gramEnd"/>
      <w:r w:rsidR="0003748C">
        <w:rPr>
          <w:rFonts w:asciiTheme="minorBidi" w:eastAsia="Calibri" w:hAnsiTheme="minorBidi"/>
          <w:kern w:val="0"/>
          <w:sz w:val="22"/>
          <w:szCs w:val="22"/>
          <w:lang w:eastAsia="en-US"/>
          <w14:ligatures w14:val="none"/>
        </w:rPr>
        <w:t xml:space="preserve"> effect</w:t>
      </w:r>
      <w:r w:rsidRPr="00A43F85">
        <w:rPr>
          <w:rFonts w:asciiTheme="minorBidi" w:eastAsia="Calibri" w:hAnsiTheme="minorBidi"/>
          <w:kern w:val="0"/>
          <w:sz w:val="22"/>
          <w:szCs w:val="22"/>
          <w:lang w:eastAsia="en-US"/>
          <w14:ligatures w14:val="none"/>
        </w:rPr>
        <w:t xml:space="preserve"> lasting impact</w:t>
      </w:r>
      <w:r w:rsidR="005D6635">
        <w:rPr>
          <w:rFonts w:asciiTheme="minorBidi" w:eastAsia="Calibri" w:hAnsiTheme="minorBidi"/>
          <w:kern w:val="0"/>
          <w:sz w:val="22"/>
          <w:szCs w:val="22"/>
          <w:lang w:eastAsia="en-US"/>
          <w14:ligatures w14:val="none"/>
        </w:rPr>
        <w:t xml:space="preserve">. </w:t>
      </w:r>
      <w:r w:rsidR="00CB4313">
        <w:rPr>
          <w:rFonts w:asciiTheme="minorBidi" w:eastAsia="Calibri" w:hAnsiTheme="minorBidi"/>
          <w:kern w:val="0"/>
          <w:sz w:val="22"/>
          <w:szCs w:val="22"/>
          <w:lang w:eastAsia="en-US"/>
          <w14:ligatures w14:val="none"/>
        </w:rPr>
        <w:t>These are</w:t>
      </w:r>
      <w:r w:rsidR="005D6635">
        <w:rPr>
          <w:rFonts w:asciiTheme="minorBidi" w:eastAsia="Calibri" w:hAnsiTheme="minorBidi"/>
          <w:kern w:val="0"/>
          <w:sz w:val="22"/>
          <w:szCs w:val="22"/>
          <w:lang w:eastAsia="en-US"/>
          <w14:ligatures w14:val="none"/>
        </w:rPr>
        <w:t xml:space="preserve"> continu</w:t>
      </w:r>
      <w:r w:rsidR="00CB4313">
        <w:rPr>
          <w:rFonts w:asciiTheme="minorBidi" w:eastAsia="Calibri" w:hAnsiTheme="minorBidi"/>
          <w:kern w:val="0"/>
          <w:sz w:val="22"/>
          <w:szCs w:val="22"/>
          <w:lang w:eastAsia="en-US"/>
          <w14:ligatures w14:val="none"/>
        </w:rPr>
        <w:t xml:space="preserve">ing outcomes </w:t>
      </w:r>
      <w:r w:rsidR="00B838A6">
        <w:rPr>
          <w:rFonts w:asciiTheme="minorBidi" w:eastAsia="Calibri" w:hAnsiTheme="minorBidi"/>
          <w:kern w:val="0"/>
          <w:sz w:val="22"/>
          <w:szCs w:val="22"/>
          <w:lang w:eastAsia="en-US"/>
          <w14:ligatures w14:val="none"/>
        </w:rPr>
        <w:t>in relation to</w:t>
      </w:r>
      <w:r w:rsidR="0080244A">
        <w:rPr>
          <w:rFonts w:asciiTheme="minorBidi" w:eastAsia="Calibri" w:hAnsiTheme="minorBidi"/>
          <w:kern w:val="0"/>
          <w:sz w:val="22"/>
          <w:szCs w:val="22"/>
          <w:lang w:eastAsia="en-US"/>
          <w14:ligatures w14:val="none"/>
        </w:rPr>
        <w:t xml:space="preserve"> which </w:t>
      </w:r>
      <w:r w:rsidR="00CB4313">
        <w:rPr>
          <w:rFonts w:asciiTheme="minorBidi" w:eastAsia="Calibri" w:hAnsiTheme="minorBidi"/>
          <w:kern w:val="0"/>
          <w:sz w:val="22"/>
          <w:szCs w:val="22"/>
          <w:lang w:eastAsia="en-US"/>
          <w14:ligatures w14:val="none"/>
        </w:rPr>
        <w:t xml:space="preserve">the </w:t>
      </w:r>
      <w:r w:rsidR="00B838A6">
        <w:rPr>
          <w:rFonts w:asciiTheme="minorBidi" w:eastAsia="Calibri" w:hAnsiTheme="minorBidi"/>
          <w:kern w:val="0"/>
          <w:sz w:val="22"/>
          <w:szCs w:val="22"/>
          <w:lang w:eastAsia="en-US"/>
          <w14:ligatures w14:val="none"/>
        </w:rPr>
        <w:lastRenderedPageBreak/>
        <w:t xml:space="preserve">institution has taken the </w:t>
      </w:r>
      <w:r w:rsidR="00CB4313">
        <w:rPr>
          <w:rFonts w:asciiTheme="minorBidi" w:eastAsia="Calibri" w:hAnsiTheme="minorBidi"/>
          <w:kern w:val="0"/>
          <w:sz w:val="22"/>
          <w:szCs w:val="22"/>
          <w:lang w:eastAsia="en-US"/>
          <w14:ligatures w14:val="none"/>
        </w:rPr>
        <w:t>opportunity to update</w:t>
      </w:r>
      <w:r w:rsidR="00B838A6">
        <w:rPr>
          <w:rFonts w:asciiTheme="minorBidi" w:eastAsia="Calibri" w:hAnsiTheme="minorBidi"/>
          <w:kern w:val="0"/>
          <w:sz w:val="22"/>
          <w:szCs w:val="22"/>
          <w:lang w:eastAsia="en-US"/>
          <w14:ligatures w14:val="none"/>
        </w:rPr>
        <w:t xml:space="preserve"> and</w:t>
      </w:r>
      <w:r w:rsidR="00602885">
        <w:rPr>
          <w:rFonts w:asciiTheme="minorBidi" w:eastAsia="Calibri" w:hAnsiTheme="minorBidi"/>
          <w:kern w:val="0"/>
          <w:sz w:val="22"/>
          <w:szCs w:val="22"/>
          <w:lang w:eastAsia="en-US"/>
          <w14:ligatures w14:val="none"/>
        </w:rPr>
        <w:t xml:space="preserve"> revise</w:t>
      </w:r>
      <w:r w:rsidR="00AA78C5">
        <w:rPr>
          <w:rFonts w:asciiTheme="minorBidi" w:eastAsia="Calibri" w:hAnsiTheme="minorBidi"/>
          <w:kern w:val="0"/>
          <w:sz w:val="22"/>
          <w:szCs w:val="22"/>
          <w:lang w:eastAsia="en-US"/>
          <w14:ligatures w14:val="none"/>
        </w:rPr>
        <w:t xml:space="preserve">, </w:t>
      </w:r>
      <w:r w:rsidR="00B838A6">
        <w:rPr>
          <w:rFonts w:asciiTheme="minorBidi" w:eastAsia="Calibri" w:hAnsiTheme="minorBidi"/>
          <w:kern w:val="0"/>
          <w:sz w:val="22"/>
          <w:szCs w:val="22"/>
          <w:lang w:eastAsia="en-US"/>
          <w14:ligatures w14:val="none"/>
        </w:rPr>
        <w:t>tak</w:t>
      </w:r>
      <w:r w:rsidR="0080244A">
        <w:rPr>
          <w:rFonts w:asciiTheme="minorBidi" w:eastAsia="Calibri" w:hAnsiTheme="minorBidi"/>
          <w:kern w:val="0"/>
          <w:sz w:val="22"/>
          <w:szCs w:val="22"/>
          <w:lang w:eastAsia="en-US"/>
          <w14:ligatures w14:val="none"/>
        </w:rPr>
        <w:t xml:space="preserve">ing </w:t>
      </w:r>
      <w:r w:rsidR="00602885">
        <w:rPr>
          <w:rFonts w:asciiTheme="minorBidi" w:eastAsia="Calibri" w:hAnsiTheme="minorBidi"/>
          <w:kern w:val="0"/>
          <w:sz w:val="22"/>
          <w:szCs w:val="22"/>
          <w:lang w:eastAsia="en-US"/>
          <w14:ligatures w14:val="none"/>
        </w:rPr>
        <w:t xml:space="preserve">account </w:t>
      </w:r>
      <w:r w:rsidR="00B838A6">
        <w:rPr>
          <w:rFonts w:asciiTheme="minorBidi" w:eastAsia="Calibri" w:hAnsiTheme="minorBidi"/>
          <w:kern w:val="0"/>
          <w:sz w:val="22"/>
          <w:szCs w:val="22"/>
          <w:lang w:eastAsia="en-US"/>
          <w14:ligatures w14:val="none"/>
        </w:rPr>
        <w:t>of</w:t>
      </w:r>
      <w:r w:rsidR="00602885">
        <w:rPr>
          <w:rFonts w:asciiTheme="minorBidi" w:eastAsia="Calibri" w:hAnsiTheme="minorBidi"/>
          <w:kern w:val="0"/>
          <w:sz w:val="22"/>
          <w:szCs w:val="22"/>
          <w:lang w:eastAsia="en-US"/>
          <w14:ligatures w14:val="none"/>
        </w:rPr>
        <w:t xml:space="preserve"> </w:t>
      </w:r>
      <w:r w:rsidR="0071033C">
        <w:rPr>
          <w:rFonts w:asciiTheme="minorBidi" w:eastAsia="Calibri" w:hAnsiTheme="minorBidi"/>
          <w:kern w:val="0"/>
          <w:sz w:val="22"/>
          <w:szCs w:val="22"/>
          <w:lang w:eastAsia="en-US"/>
          <w14:ligatures w14:val="none"/>
        </w:rPr>
        <w:t>progress</w:t>
      </w:r>
      <w:r w:rsidR="00992E7E">
        <w:rPr>
          <w:rFonts w:asciiTheme="minorBidi" w:eastAsia="Calibri" w:hAnsiTheme="minorBidi"/>
          <w:kern w:val="0"/>
          <w:sz w:val="22"/>
          <w:szCs w:val="22"/>
          <w:lang w:eastAsia="en-US"/>
          <w14:ligatures w14:val="none"/>
        </w:rPr>
        <w:t xml:space="preserve"> </w:t>
      </w:r>
      <w:r w:rsidR="00B838A6">
        <w:rPr>
          <w:rFonts w:asciiTheme="minorBidi" w:eastAsia="Calibri" w:hAnsiTheme="minorBidi"/>
          <w:kern w:val="0"/>
          <w:sz w:val="22"/>
          <w:szCs w:val="22"/>
          <w:lang w:eastAsia="en-US"/>
          <w14:ligatures w14:val="none"/>
        </w:rPr>
        <w:t>to date</w:t>
      </w:r>
      <w:r w:rsidR="00992E7E">
        <w:rPr>
          <w:rFonts w:asciiTheme="minorBidi" w:eastAsia="Calibri" w:hAnsiTheme="minorBidi"/>
          <w:kern w:val="0"/>
          <w:sz w:val="22"/>
          <w:szCs w:val="22"/>
          <w:lang w:eastAsia="en-US"/>
          <w14:ligatures w14:val="none"/>
        </w:rPr>
        <w:t>, institutional learning and</w:t>
      </w:r>
      <w:r w:rsidR="008D3FC7">
        <w:rPr>
          <w:rFonts w:asciiTheme="minorBidi" w:eastAsia="Calibri" w:hAnsiTheme="minorBidi"/>
          <w:kern w:val="0"/>
          <w:sz w:val="22"/>
          <w:szCs w:val="22"/>
          <w:lang w:eastAsia="en-US"/>
          <w14:ligatures w14:val="none"/>
        </w:rPr>
        <w:t xml:space="preserve"> evidence-based identification of </w:t>
      </w:r>
      <w:r w:rsidR="0071033C">
        <w:rPr>
          <w:rFonts w:asciiTheme="minorBidi" w:eastAsia="Calibri" w:hAnsiTheme="minorBidi"/>
          <w:kern w:val="0"/>
          <w:sz w:val="22"/>
          <w:szCs w:val="22"/>
          <w:lang w:eastAsia="en-US"/>
          <w14:ligatures w14:val="none"/>
        </w:rPr>
        <w:t>need.</w:t>
      </w:r>
      <w:r>
        <w:rPr>
          <w:rFonts w:asciiTheme="minorBidi" w:eastAsia="Calibri" w:hAnsiTheme="minorBidi"/>
          <w:kern w:val="0"/>
          <w:sz w:val="22"/>
          <w:szCs w:val="22"/>
          <w:lang w:eastAsia="en-US"/>
          <w14:ligatures w14:val="none"/>
        </w:rPr>
        <w:t xml:space="preserve"> Several NEOs represent </w:t>
      </w:r>
      <w:r w:rsidRPr="008E0A4C">
        <w:rPr>
          <w:rFonts w:asciiTheme="minorBidi" w:eastAsia="Calibri" w:hAnsiTheme="minorBidi"/>
          <w:kern w:val="0"/>
          <w:sz w:val="22"/>
          <w:szCs w:val="22"/>
          <w:lang w:eastAsia="en-US"/>
          <w14:ligatures w14:val="none"/>
        </w:rPr>
        <w:t>additional areas of focus for the University and are incorporated in our updated Equality Outcomes 2025 – 2029.</w:t>
      </w:r>
      <w:r w:rsidRPr="005666B9">
        <w:rPr>
          <w:rFonts w:asciiTheme="minorBidi" w:eastAsia="Calibri" w:hAnsiTheme="minorBidi"/>
          <w:kern w:val="0"/>
          <w:sz w:val="22"/>
          <w:szCs w:val="22"/>
          <w:lang w:eastAsia="en-US"/>
          <w14:ligatures w14:val="none"/>
        </w:rPr>
        <w:t xml:space="preserve"> </w:t>
      </w:r>
      <w:r w:rsidR="0075028C">
        <w:rPr>
          <w:rFonts w:asciiTheme="minorBidi" w:eastAsia="Calibri" w:hAnsiTheme="minorBidi"/>
          <w:kern w:val="0"/>
          <w:sz w:val="22"/>
          <w:szCs w:val="22"/>
          <w:lang w:eastAsia="en-US"/>
          <w14:ligatures w14:val="none"/>
        </w:rPr>
        <w:t>Building a baseline</w:t>
      </w:r>
      <w:r w:rsidR="007E00FE">
        <w:rPr>
          <w:rFonts w:asciiTheme="minorBidi" w:eastAsia="Calibri" w:hAnsiTheme="minorBidi"/>
          <w:kern w:val="0"/>
          <w:sz w:val="22"/>
          <w:szCs w:val="22"/>
          <w:lang w:eastAsia="en-US"/>
          <w14:ligatures w14:val="none"/>
        </w:rPr>
        <w:t xml:space="preserve"> measurement</w:t>
      </w:r>
      <w:r w:rsidR="0075028C">
        <w:rPr>
          <w:rFonts w:asciiTheme="minorBidi" w:eastAsia="Calibri" w:hAnsiTheme="minorBidi"/>
          <w:kern w:val="0"/>
          <w:sz w:val="22"/>
          <w:szCs w:val="22"/>
          <w:lang w:eastAsia="en-US"/>
          <w14:ligatures w14:val="none"/>
        </w:rPr>
        <w:t xml:space="preserve"> for these will form part of an</w:t>
      </w:r>
      <w:r w:rsidR="0075028C" w:rsidRPr="0075028C">
        <w:rPr>
          <w:rFonts w:asciiTheme="minorBidi" w:eastAsia="Calibri" w:hAnsiTheme="minorBidi"/>
          <w:kern w:val="0"/>
          <w:sz w:val="22"/>
          <w:szCs w:val="22"/>
          <w:lang w:eastAsia="en-US"/>
          <w14:ligatures w14:val="none"/>
        </w:rPr>
        <w:t xml:space="preserve"> outcomes framework</w:t>
      </w:r>
      <w:r w:rsidR="0075028C">
        <w:rPr>
          <w:rFonts w:asciiTheme="minorBidi" w:eastAsia="Calibri" w:hAnsiTheme="minorBidi"/>
          <w:kern w:val="0"/>
          <w:sz w:val="22"/>
          <w:szCs w:val="22"/>
          <w:lang w:eastAsia="en-US"/>
          <w14:ligatures w14:val="none"/>
        </w:rPr>
        <w:t xml:space="preserve"> </w:t>
      </w:r>
      <w:r w:rsidR="00B838A6">
        <w:rPr>
          <w:rFonts w:asciiTheme="minorBidi" w:eastAsia="Calibri" w:hAnsiTheme="minorBidi"/>
          <w:kern w:val="0"/>
          <w:sz w:val="22"/>
          <w:szCs w:val="22"/>
          <w:lang w:eastAsia="en-US"/>
          <w14:ligatures w14:val="none"/>
        </w:rPr>
        <w:t xml:space="preserve">currently under </w:t>
      </w:r>
      <w:r w:rsidR="0075028C">
        <w:rPr>
          <w:rFonts w:asciiTheme="minorBidi" w:eastAsia="Calibri" w:hAnsiTheme="minorBidi"/>
          <w:kern w:val="0"/>
          <w:sz w:val="22"/>
          <w:szCs w:val="22"/>
          <w:lang w:eastAsia="en-US"/>
          <w14:ligatures w14:val="none"/>
        </w:rPr>
        <w:t>develop</w:t>
      </w:r>
      <w:r w:rsidR="00B838A6">
        <w:rPr>
          <w:rFonts w:asciiTheme="minorBidi" w:eastAsia="Calibri" w:hAnsiTheme="minorBidi"/>
          <w:kern w:val="0"/>
          <w:sz w:val="22"/>
          <w:szCs w:val="22"/>
          <w:lang w:eastAsia="en-US"/>
          <w14:ligatures w14:val="none"/>
        </w:rPr>
        <w:t>ment in our</w:t>
      </w:r>
      <w:r w:rsidR="0075028C">
        <w:rPr>
          <w:rFonts w:asciiTheme="minorBidi" w:eastAsia="Calibri" w:hAnsiTheme="minorBidi"/>
          <w:kern w:val="0"/>
          <w:sz w:val="22"/>
          <w:szCs w:val="22"/>
          <w:lang w:eastAsia="en-US"/>
          <w14:ligatures w14:val="none"/>
        </w:rPr>
        <w:t xml:space="preserve"> Learning and Teaching S</w:t>
      </w:r>
      <w:r w:rsidR="0075028C" w:rsidRPr="0075028C">
        <w:rPr>
          <w:rFonts w:asciiTheme="minorBidi" w:eastAsia="Calibri" w:hAnsiTheme="minorBidi"/>
          <w:kern w:val="0"/>
          <w:sz w:val="22"/>
          <w:szCs w:val="22"/>
          <w:lang w:eastAsia="en-US"/>
          <w14:ligatures w14:val="none"/>
        </w:rPr>
        <w:t>trategy.</w:t>
      </w:r>
      <w:r w:rsidR="00B838A6">
        <w:rPr>
          <w:rFonts w:asciiTheme="minorBidi" w:eastAsia="Calibri" w:hAnsiTheme="minorBidi"/>
          <w:kern w:val="0"/>
          <w:sz w:val="22"/>
          <w:szCs w:val="22"/>
          <w:lang w:eastAsia="en-US"/>
          <w14:ligatures w14:val="none"/>
        </w:rPr>
        <w:t xml:space="preserve">  </w:t>
      </w:r>
      <w:r w:rsidR="0001740A" w:rsidRPr="008E0A4C">
        <w:rPr>
          <w:rFonts w:asciiTheme="minorBidi" w:eastAsia="Calibri" w:hAnsiTheme="minorBidi"/>
          <w:kern w:val="0"/>
          <w:sz w:val="22"/>
          <w:szCs w:val="22"/>
          <w:lang w:eastAsia="en-US"/>
          <w14:ligatures w14:val="none"/>
        </w:rPr>
        <w:t>The</w:t>
      </w:r>
      <w:r w:rsidR="0001740A">
        <w:rPr>
          <w:rFonts w:asciiTheme="minorBidi" w:eastAsia="Calibri" w:hAnsiTheme="minorBidi"/>
          <w:kern w:val="0"/>
          <w:sz w:val="22"/>
          <w:szCs w:val="22"/>
          <w:lang w:eastAsia="en-US"/>
          <w14:ligatures w14:val="none"/>
        </w:rPr>
        <w:t xml:space="preserve"> University’s</w:t>
      </w:r>
      <w:r w:rsidR="00570142">
        <w:rPr>
          <w:rFonts w:asciiTheme="minorBidi" w:eastAsia="Calibri" w:hAnsiTheme="minorBidi"/>
          <w:kern w:val="0"/>
          <w:sz w:val="22"/>
          <w:szCs w:val="22"/>
          <w:lang w:eastAsia="en-US"/>
          <w14:ligatures w14:val="none"/>
        </w:rPr>
        <w:t xml:space="preserve"> response to each of the NEOs</w:t>
      </w:r>
      <w:r w:rsidR="0001740A">
        <w:rPr>
          <w:rFonts w:asciiTheme="minorBidi" w:eastAsia="Calibri" w:hAnsiTheme="minorBidi"/>
          <w:kern w:val="0"/>
          <w:sz w:val="22"/>
          <w:szCs w:val="22"/>
          <w:lang w:eastAsia="en-US"/>
          <w14:ligatures w14:val="none"/>
        </w:rPr>
        <w:t xml:space="preserve"> is provided in Table 3</w:t>
      </w:r>
      <w:r w:rsidR="00570142">
        <w:rPr>
          <w:rFonts w:asciiTheme="minorBidi" w:eastAsia="Calibri" w:hAnsiTheme="minorBidi"/>
          <w:kern w:val="0"/>
          <w:sz w:val="22"/>
          <w:szCs w:val="22"/>
          <w:lang w:eastAsia="en-US"/>
          <w14:ligatures w14:val="none"/>
        </w:rPr>
        <w:t>.</w:t>
      </w:r>
    </w:p>
    <w:p w14:paraId="7DA94521" w14:textId="77777777" w:rsidR="004F681C" w:rsidRDefault="004F681C" w:rsidP="00C6601F">
      <w:pPr>
        <w:spacing w:after="0"/>
        <w:rPr>
          <w:rFonts w:asciiTheme="minorBidi" w:hAnsiTheme="minorBidi"/>
          <w:b/>
          <w:bCs/>
          <w:sz w:val="20"/>
          <w:szCs w:val="20"/>
        </w:rPr>
      </w:pPr>
    </w:p>
    <w:p w14:paraId="77D9F2CD" w14:textId="12CDD677" w:rsidR="0037531A" w:rsidRPr="0037531A" w:rsidRDefault="00C61E69" w:rsidP="00C6601F">
      <w:pPr>
        <w:spacing w:after="0"/>
        <w:rPr>
          <w:rFonts w:asciiTheme="minorBidi" w:hAnsiTheme="minorBidi"/>
          <w:b/>
          <w:bCs/>
          <w:sz w:val="20"/>
          <w:szCs w:val="20"/>
        </w:rPr>
      </w:pPr>
      <w:r w:rsidRPr="0037531A">
        <w:rPr>
          <w:rFonts w:asciiTheme="minorBidi" w:hAnsiTheme="minorBidi"/>
          <w:b/>
          <w:bCs/>
          <w:sz w:val="20"/>
          <w:szCs w:val="20"/>
        </w:rPr>
        <w:t>Table 3</w:t>
      </w:r>
      <w:r w:rsidR="0037531A" w:rsidRPr="0037531A">
        <w:rPr>
          <w:rFonts w:asciiTheme="minorBidi" w:hAnsiTheme="minorBidi"/>
          <w:b/>
          <w:bCs/>
          <w:sz w:val="20"/>
          <w:szCs w:val="20"/>
        </w:rPr>
        <w:t>: UofG Response to National Equality Outcomes</w:t>
      </w:r>
    </w:p>
    <w:tbl>
      <w:tblPr>
        <w:tblStyle w:val="TableGrid"/>
        <w:tblW w:w="10704" w:type="dxa"/>
        <w:tblLook w:val="04A0" w:firstRow="1" w:lastRow="0" w:firstColumn="1" w:lastColumn="0" w:noHBand="0" w:noVBand="1"/>
      </w:tblPr>
      <w:tblGrid>
        <w:gridCol w:w="1980"/>
        <w:gridCol w:w="8724"/>
      </w:tblGrid>
      <w:tr w:rsidR="00982AF2" w:rsidRPr="00E41A12" w14:paraId="7CEAF73A" w14:textId="77777777" w:rsidTr="00B55502">
        <w:trPr>
          <w:trHeight w:val="528"/>
        </w:trPr>
        <w:tc>
          <w:tcPr>
            <w:tcW w:w="1980" w:type="dxa"/>
            <w:shd w:val="clear" w:color="auto" w:fill="003865"/>
          </w:tcPr>
          <w:p w14:paraId="6B1AF2B6" w14:textId="409A7E88" w:rsidR="00982AF2" w:rsidRPr="00E41A12" w:rsidRDefault="00277129" w:rsidP="006C6665">
            <w:pPr>
              <w:jc w:val="center"/>
              <w:rPr>
                <w:rFonts w:asciiTheme="minorBidi" w:hAnsiTheme="minorBidi"/>
                <w:b/>
                <w:bCs/>
                <w:sz w:val="22"/>
                <w:szCs w:val="22"/>
              </w:rPr>
            </w:pPr>
            <w:r>
              <w:rPr>
                <w:rFonts w:asciiTheme="minorBidi" w:hAnsiTheme="minorBidi"/>
                <w:b/>
                <w:bCs/>
                <w:sz w:val="22"/>
                <w:szCs w:val="22"/>
              </w:rPr>
              <w:t xml:space="preserve">Protected </w:t>
            </w:r>
            <w:r w:rsidR="00982AF2" w:rsidRPr="00E41A12">
              <w:rPr>
                <w:rFonts w:asciiTheme="minorBidi" w:hAnsiTheme="minorBidi"/>
                <w:b/>
                <w:bCs/>
                <w:sz w:val="22"/>
                <w:szCs w:val="22"/>
              </w:rPr>
              <w:t>Characteristic</w:t>
            </w:r>
          </w:p>
        </w:tc>
        <w:tc>
          <w:tcPr>
            <w:tcW w:w="8724" w:type="dxa"/>
            <w:shd w:val="clear" w:color="auto" w:fill="003865"/>
            <w:vAlign w:val="center"/>
          </w:tcPr>
          <w:p w14:paraId="03DE2981" w14:textId="77777777" w:rsidR="00982AF2" w:rsidRPr="00E41A12" w:rsidRDefault="00982AF2" w:rsidP="00B55502">
            <w:pPr>
              <w:jc w:val="center"/>
              <w:rPr>
                <w:rFonts w:asciiTheme="minorBidi" w:hAnsiTheme="minorBidi"/>
                <w:b/>
                <w:bCs/>
                <w:sz w:val="22"/>
                <w:szCs w:val="22"/>
              </w:rPr>
            </w:pPr>
            <w:r w:rsidRPr="00E41A12">
              <w:rPr>
                <w:rFonts w:asciiTheme="minorBidi" w:hAnsiTheme="minorBidi"/>
                <w:b/>
                <w:bCs/>
                <w:sz w:val="22"/>
                <w:szCs w:val="22"/>
              </w:rPr>
              <w:t>National Equality Outcome</w:t>
            </w:r>
          </w:p>
        </w:tc>
      </w:tr>
      <w:tr w:rsidR="00982AF2" w:rsidRPr="00E41A12" w14:paraId="3643F0CF" w14:textId="77777777" w:rsidTr="00B55502">
        <w:trPr>
          <w:trHeight w:val="320"/>
        </w:trPr>
        <w:tc>
          <w:tcPr>
            <w:tcW w:w="1980" w:type="dxa"/>
            <w:shd w:val="clear" w:color="auto" w:fill="003865"/>
          </w:tcPr>
          <w:p w14:paraId="5D1B6334" w14:textId="35D202B2" w:rsidR="00982AF2" w:rsidRPr="00475772" w:rsidRDefault="000F78E2" w:rsidP="006C6665">
            <w:pPr>
              <w:jc w:val="center"/>
              <w:rPr>
                <w:rFonts w:asciiTheme="minorBidi" w:hAnsiTheme="minorBidi"/>
                <w:b/>
                <w:bCs/>
                <w:color w:val="FFFFFF" w:themeColor="background1"/>
                <w:sz w:val="22"/>
                <w:szCs w:val="22"/>
              </w:rPr>
            </w:pPr>
            <w:r w:rsidRPr="00475772">
              <w:rPr>
                <w:rFonts w:asciiTheme="minorBidi" w:hAnsiTheme="minorBidi"/>
                <w:b/>
                <w:bCs/>
                <w:color w:val="FFFFFF" w:themeColor="background1"/>
                <w:sz w:val="22"/>
                <w:szCs w:val="22"/>
              </w:rPr>
              <w:t>1</w:t>
            </w:r>
            <w:r w:rsidRPr="00AB68E6">
              <w:rPr>
                <w:rFonts w:asciiTheme="minorBidi" w:hAnsiTheme="minorBidi"/>
                <w:b/>
                <w:bCs/>
                <w:color w:val="FFFFFF" w:themeColor="background1"/>
                <w:sz w:val="22"/>
                <w:szCs w:val="22"/>
                <w:shd w:val="clear" w:color="auto" w:fill="003865"/>
              </w:rPr>
              <w:t>.</w:t>
            </w:r>
            <w:r w:rsidRPr="00475772">
              <w:rPr>
                <w:rFonts w:asciiTheme="minorBidi" w:hAnsiTheme="minorBidi"/>
                <w:b/>
                <w:bCs/>
                <w:color w:val="FFFFFF" w:themeColor="background1"/>
                <w:sz w:val="22"/>
                <w:szCs w:val="22"/>
              </w:rPr>
              <w:t xml:space="preserve"> </w:t>
            </w:r>
            <w:r w:rsidR="00982AF2" w:rsidRPr="00475772">
              <w:rPr>
                <w:rFonts w:asciiTheme="minorBidi" w:hAnsiTheme="minorBidi"/>
                <w:b/>
                <w:bCs/>
                <w:color w:val="FFFFFF" w:themeColor="background1"/>
                <w:sz w:val="22"/>
                <w:szCs w:val="22"/>
              </w:rPr>
              <w:t>Age</w:t>
            </w:r>
          </w:p>
        </w:tc>
        <w:tc>
          <w:tcPr>
            <w:tcW w:w="8724" w:type="dxa"/>
          </w:tcPr>
          <w:p w14:paraId="7EB9BAE5" w14:textId="08B989F2" w:rsidR="00982AF2" w:rsidRPr="00E41A12" w:rsidRDefault="000F78E2" w:rsidP="006C6665">
            <w:pPr>
              <w:rPr>
                <w:rFonts w:asciiTheme="minorBidi" w:hAnsiTheme="minorBidi"/>
                <w:sz w:val="22"/>
                <w:szCs w:val="22"/>
              </w:rPr>
            </w:pPr>
            <w:r w:rsidRPr="00752E61">
              <w:rPr>
                <w:rFonts w:asciiTheme="minorBidi" w:hAnsiTheme="minorBidi"/>
                <w:b/>
                <w:bCs/>
                <w:sz w:val="22"/>
                <w:szCs w:val="22"/>
              </w:rPr>
              <w:t>1.1</w:t>
            </w:r>
            <w:r w:rsidR="00D62C9B">
              <w:rPr>
                <w:rFonts w:asciiTheme="minorBidi" w:hAnsiTheme="minorBidi"/>
                <w:sz w:val="22"/>
                <w:szCs w:val="22"/>
              </w:rPr>
              <w:t>:</w:t>
            </w:r>
            <w:r w:rsidRPr="00E41A12">
              <w:rPr>
                <w:rFonts w:asciiTheme="minorBidi" w:hAnsiTheme="minorBidi"/>
                <w:sz w:val="22"/>
                <w:szCs w:val="22"/>
              </w:rPr>
              <w:t xml:space="preserve"> </w:t>
            </w:r>
            <w:r w:rsidR="00982AF2" w:rsidRPr="00E41A12">
              <w:rPr>
                <w:rFonts w:asciiTheme="minorBidi" w:hAnsiTheme="minorBidi"/>
                <w:sz w:val="22"/>
                <w:szCs w:val="22"/>
              </w:rPr>
              <w:t>The retention outcomes for university students aged 25 and over will improve.</w:t>
            </w:r>
          </w:p>
        </w:tc>
      </w:tr>
      <w:tr w:rsidR="00C07879" w:rsidRPr="00E41A12" w14:paraId="06539B63" w14:textId="77777777" w:rsidTr="00BB3123">
        <w:trPr>
          <w:trHeight w:val="616"/>
        </w:trPr>
        <w:tc>
          <w:tcPr>
            <w:tcW w:w="10704" w:type="dxa"/>
            <w:gridSpan w:val="2"/>
          </w:tcPr>
          <w:p w14:paraId="18E43861" w14:textId="7FE4EF47" w:rsidR="004F681C" w:rsidRPr="00680CB0" w:rsidRDefault="00106B3C" w:rsidP="00680CB0">
            <w:pPr>
              <w:rPr>
                <w:rFonts w:asciiTheme="minorBidi" w:hAnsiTheme="minorBidi"/>
                <w:b/>
                <w:bCs/>
                <w:sz w:val="22"/>
                <w:szCs w:val="22"/>
              </w:rPr>
            </w:pPr>
            <w:r w:rsidRPr="00F62C92">
              <w:rPr>
                <w:rFonts w:asciiTheme="minorBidi" w:hAnsiTheme="minorBidi"/>
                <w:b/>
                <w:bCs/>
                <w:sz w:val="22"/>
                <w:szCs w:val="22"/>
              </w:rPr>
              <w:t>Response</w:t>
            </w:r>
            <w:r>
              <w:rPr>
                <w:rFonts w:asciiTheme="minorBidi" w:hAnsiTheme="minorBidi"/>
                <w:sz w:val="22"/>
                <w:szCs w:val="22"/>
              </w:rPr>
              <w:t xml:space="preserve">: </w:t>
            </w:r>
            <w:r w:rsidR="007A2F29">
              <w:rPr>
                <w:rFonts w:asciiTheme="minorBidi" w:hAnsiTheme="minorBidi"/>
                <w:sz w:val="22"/>
                <w:szCs w:val="22"/>
              </w:rPr>
              <w:t xml:space="preserve">Initial data review shows that </w:t>
            </w:r>
            <w:r w:rsidR="00632079">
              <w:rPr>
                <w:rFonts w:asciiTheme="minorBidi" w:hAnsiTheme="minorBidi"/>
                <w:sz w:val="22"/>
                <w:szCs w:val="22"/>
              </w:rPr>
              <w:t xml:space="preserve">Scottish domiciled </w:t>
            </w:r>
            <w:r w:rsidR="007A2F29">
              <w:rPr>
                <w:rFonts w:asciiTheme="minorBidi" w:hAnsiTheme="minorBidi"/>
                <w:sz w:val="22"/>
                <w:szCs w:val="22"/>
              </w:rPr>
              <w:t xml:space="preserve">students aged </w:t>
            </w:r>
            <w:r w:rsidR="003E31E0">
              <w:rPr>
                <w:rFonts w:asciiTheme="minorBidi" w:hAnsiTheme="minorBidi"/>
                <w:sz w:val="22"/>
                <w:szCs w:val="22"/>
              </w:rPr>
              <w:t>21-2</w:t>
            </w:r>
            <w:r w:rsidR="00632079">
              <w:rPr>
                <w:rFonts w:asciiTheme="minorBidi" w:hAnsiTheme="minorBidi"/>
                <w:sz w:val="22"/>
                <w:szCs w:val="22"/>
              </w:rPr>
              <w:t>9</w:t>
            </w:r>
            <w:r w:rsidR="003E31E0">
              <w:rPr>
                <w:rFonts w:asciiTheme="minorBidi" w:hAnsiTheme="minorBidi"/>
                <w:sz w:val="22"/>
                <w:szCs w:val="22"/>
              </w:rPr>
              <w:t xml:space="preserve"> and </w:t>
            </w:r>
            <w:r w:rsidR="00632079">
              <w:rPr>
                <w:rFonts w:asciiTheme="minorBidi" w:hAnsiTheme="minorBidi"/>
                <w:sz w:val="22"/>
                <w:szCs w:val="22"/>
              </w:rPr>
              <w:t xml:space="preserve">30+ have higher attrition rates compared to overall UG cohorts. </w:t>
            </w:r>
            <w:r w:rsidR="009436D2">
              <w:rPr>
                <w:rFonts w:asciiTheme="minorBidi" w:hAnsiTheme="minorBidi"/>
                <w:sz w:val="22"/>
                <w:szCs w:val="22"/>
              </w:rPr>
              <w:t>Further data analysis is required to identify</w:t>
            </w:r>
            <w:r w:rsidR="00242CEE">
              <w:rPr>
                <w:rFonts w:asciiTheme="minorBidi" w:hAnsiTheme="minorBidi"/>
                <w:sz w:val="22"/>
                <w:szCs w:val="22"/>
              </w:rPr>
              <w:t xml:space="preserve"> the experience of those in the 25+ age group, as well as to understand the intersecting factors influencing these patterns. This work will form part of a larger suite of student outcome </w:t>
            </w:r>
            <w:r w:rsidR="00B55502">
              <w:rPr>
                <w:rFonts w:asciiTheme="minorBidi" w:hAnsiTheme="minorBidi"/>
                <w:sz w:val="22"/>
                <w:szCs w:val="22"/>
              </w:rPr>
              <w:t xml:space="preserve">review activities and data reporting in line with </w:t>
            </w:r>
            <w:hyperlink w:anchor="_5._Enhance_accessible" w:history="1">
              <w:r w:rsidR="00B55502" w:rsidRPr="00B55502">
                <w:rPr>
                  <w:rStyle w:val="Hyperlink"/>
                  <w:rFonts w:asciiTheme="minorBidi" w:hAnsiTheme="minorBidi"/>
                  <w:b/>
                  <w:bCs/>
                  <w:sz w:val="22"/>
                  <w:szCs w:val="22"/>
                </w:rPr>
                <w:t>Equality Outcome 5.</w:t>
              </w:r>
            </w:hyperlink>
          </w:p>
        </w:tc>
      </w:tr>
      <w:tr w:rsidR="003E6D76" w:rsidRPr="00E41A12" w14:paraId="60FE2EA5" w14:textId="77777777" w:rsidTr="00A42CBE">
        <w:trPr>
          <w:trHeight w:val="2540"/>
        </w:trPr>
        <w:tc>
          <w:tcPr>
            <w:tcW w:w="1980" w:type="dxa"/>
            <w:shd w:val="clear" w:color="auto" w:fill="003865"/>
          </w:tcPr>
          <w:p w14:paraId="3548342C" w14:textId="77777777" w:rsidR="00DF4133" w:rsidRDefault="00DF4133" w:rsidP="003E6D76">
            <w:pPr>
              <w:jc w:val="center"/>
              <w:rPr>
                <w:rFonts w:asciiTheme="minorBidi" w:hAnsiTheme="minorBidi"/>
                <w:b/>
                <w:bCs/>
                <w:sz w:val="22"/>
                <w:szCs w:val="22"/>
              </w:rPr>
            </w:pPr>
          </w:p>
          <w:p w14:paraId="45116613" w14:textId="77777777" w:rsidR="00DF4133" w:rsidRDefault="00DF4133" w:rsidP="003E6D76">
            <w:pPr>
              <w:jc w:val="center"/>
              <w:rPr>
                <w:rFonts w:asciiTheme="minorBidi" w:hAnsiTheme="minorBidi"/>
                <w:b/>
                <w:bCs/>
                <w:sz w:val="22"/>
                <w:szCs w:val="22"/>
              </w:rPr>
            </w:pPr>
          </w:p>
          <w:p w14:paraId="6F32025C" w14:textId="77777777" w:rsidR="00DF4133" w:rsidRDefault="00DF4133" w:rsidP="003E6D76">
            <w:pPr>
              <w:jc w:val="center"/>
              <w:rPr>
                <w:rFonts w:asciiTheme="minorBidi" w:hAnsiTheme="minorBidi"/>
                <w:b/>
                <w:bCs/>
                <w:sz w:val="22"/>
                <w:szCs w:val="22"/>
              </w:rPr>
            </w:pPr>
          </w:p>
          <w:p w14:paraId="236B1A5B" w14:textId="77777777" w:rsidR="00DF4133" w:rsidRDefault="00DF4133" w:rsidP="003E6D76">
            <w:pPr>
              <w:jc w:val="center"/>
              <w:rPr>
                <w:rFonts w:asciiTheme="minorBidi" w:hAnsiTheme="minorBidi"/>
                <w:b/>
                <w:bCs/>
                <w:sz w:val="22"/>
                <w:szCs w:val="22"/>
              </w:rPr>
            </w:pPr>
          </w:p>
          <w:p w14:paraId="7E6DCE9B" w14:textId="6C91760F" w:rsidR="003E6D76" w:rsidRPr="00DF4133" w:rsidRDefault="003E6D76" w:rsidP="003E6D76">
            <w:pPr>
              <w:jc w:val="center"/>
              <w:rPr>
                <w:rFonts w:asciiTheme="minorBidi" w:hAnsiTheme="minorBidi"/>
                <w:b/>
                <w:bCs/>
                <w:sz w:val="22"/>
                <w:szCs w:val="22"/>
              </w:rPr>
            </w:pPr>
            <w:r w:rsidRPr="00DF4133">
              <w:rPr>
                <w:rFonts w:asciiTheme="minorBidi" w:hAnsiTheme="minorBidi"/>
                <w:b/>
                <w:bCs/>
                <w:sz w:val="22"/>
                <w:szCs w:val="22"/>
              </w:rPr>
              <w:t>2. Disability</w:t>
            </w:r>
          </w:p>
        </w:tc>
        <w:tc>
          <w:tcPr>
            <w:tcW w:w="8724" w:type="dxa"/>
          </w:tcPr>
          <w:p w14:paraId="0C1646F2" w14:textId="5123F300" w:rsidR="003E6D76" w:rsidRPr="00D62C9B" w:rsidRDefault="00664146" w:rsidP="003E6D76">
            <w:pPr>
              <w:rPr>
                <w:rFonts w:asciiTheme="minorBidi" w:hAnsiTheme="minorBidi"/>
                <w:sz w:val="22"/>
                <w:szCs w:val="22"/>
              </w:rPr>
            </w:pPr>
            <w:r w:rsidRPr="00752E61">
              <w:rPr>
                <w:rFonts w:asciiTheme="minorBidi" w:hAnsiTheme="minorBidi"/>
                <w:b/>
                <w:bCs/>
                <w:sz w:val="22"/>
                <w:szCs w:val="22"/>
              </w:rPr>
              <w:t>2.1</w:t>
            </w:r>
            <w:r w:rsidR="00D62C9B" w:rsidRPr="00752E61">
              <w:rPr>
                <w:rFonts w:asciiTheme="minorBidi" w:hAnsiTheme="minorBidi"/>
                <w:b/>
                <w:bCs/>
                <w:sz w:val="22"/>
                <w:szCs w:val="22"/>
              </w:rPr>
              <w:t>:</w:t>
            </w:r>
            <w:r w:rsidRPr="00D62C9B">
              <w:rPr>
                <w:rFonts w:asciiTheme="minorBidi" w:hAnsiTheme="minorBidi"/>
                <w:sz w:val="22"/>
                <w:szCs w:val="22"/>
              </w:rPr>
              <w:t xml:space="preserve"> </w:t>
            </w:r>
            <w:r w:rsidR="003E6D76" w:rsidRPr="00D62C9B">
              <w:rPr>
                <w:rFonts w:asciiTheme="minorBidi" w:hAnsiTheme="minorBidi"/>
                <w:sz w:val="22"/>
                <w:szCs w:val="22"/>
              </w:rPr>
              <w:t>The success and retention rates of college and university students who declare a mental health condition will improve.</w:t>
            </w:r>
          </w:p>
          <w:p w14:paraId="4DAC5BE0" w14:textId="77777777" w:rsidR="003E6D76" w:rsidRPr="00A42CBE" w:rsidRDefault="003E6D76" w:rsidP="003E6D76">
            <w:pPr>
              <w:rPr>
                <w:rFonts w:asciiTheme="minorBidi" w:hAnsiTheme="minorBidi"/>
                <w:sz w:val="12"/>
                <w:szCs w:val="12"/>
              </w:rPr>
            </w:pPr>
          </w:p>
          <w:p w14:paraId="684D6F6C" w14:textId="53B71E37" w:rsidR="003E6D76" w:rsidRPr="00D62C9B" w:rsidRDefault="00664146" w:rsidP="003E6D76">
            <w:pPr>
              <w:rPr>
                <w:rFonts w:asciiTheme="minorBidi" w:hAnsiTheme="minorBidi"/>
                <w:sz w:val="22"/>
                <w:szCs w:val="22"/>
              </w:rPr>
            </w:pPr>
            <w:r w:rsidRPr="00752E61">
              <w:rPr>
                <w:rFonts w:asciiTheme="minorBidi" w:hAnsiTheme="minorBidi"/>
                <w:b/>
                <w:bCs/>
                <w:sz w:val="22"/>
                <w:szCs w:val="22"/>
              </w:rPr>
              <w:t>2.2</w:t>
            </w:r>
            <w:r w:rsidR="00D62C9B" w:rsidRPr="00752E61">
              <w:rPr>
                <w:rFonts w:asciiTheme="minorBidi" w:hAnsiTheme="minorBidi"/>
                <w:b/>
                <w:bCs/>
                <w:sz w:val="22"/>
                <w:szCs w:val="22"/>
              </w:rPr>
              <w:t>:</w:t>
            </w:r>
            <w:r w:rsidRPr="00D62C9B">
              <w:rPr>
                <w:rFonts w:asciiTheme="minorBidi" w:hAnsiTheme="minorBidi"/>
                <w:sz w:val="22"/>
                <w:szCs w:val="22"/>
              </w:rPr>
              <w:t xml:space="preserve"> </w:t>
            </w:r>
            <w:r w:rsidR="003E6D76" w:rsidRPr="00D62C9B">
              <w:rPr>
                <w:rFonts w:asciiTheme="minorBidi" w:hAnsiTheme="minorBidi"/>
                <w:sz w:val="22"/>
                <w:szCs w:val="22"/>
              </w:rPr>
              <w:t>Disabled students report feeling satisfied with the overall support and reasonable adjustments received, including from teaching staff, while on their course.</w:t>
            </w:r>
          </w:p>
          <w:p w14:paraId="7DB87446" w14:textId="77777777" w:rsidR="003E6D76" w:rsidRPr="00A42CBE" w:rsidRDefault="003E6D76" w:rsidP="003E6D76">
            <w:pPr>
              <w:rPr>
                <w:rFonts w:asciiTheme="minorBidi" w:hAnsiTheme="minorBidi"/>
                <w:sz w:val="12"/>
                <w:szCs w:val="12"/>
              </w:rPr>
            </w:pPr>
          </w:p>
          <w:p w14:paraId="28518CCE" w14:textId="38C0EEA3" w:rsidR="003E6D76" w:rsidRPr="00D62C9B" w:rsidRDefault="00664146" w:rsidP="003E6D76">
            <w:pPr>
              <w:rPr>
                <w:rFonts w:asciiTheme="minorBidi" w:hAnsiTheme="minorBidi"/>
                <w:sz w:val="22"/>
                <w:szCs w:val="22"/>
              </w:rPr>
            </w:pPr>
            <w:r w:rsidRPr="00752E61">
              <w:rPr>
                <w:rFonts w:asciiTheme="minorBidi" w:hAnsiTheme="minorBidi"/>
                <w:b/>
                <w:bCs/>
                <w:sz w:val="22"/>
                <w:szCs w:val="22"/>
              </w:rPr>
              <w:t>2.3</w:t>
            </w:r>
            <w:r w:rsidR="00D62C9B" w:rsidRPr="00752E61">
              <w:rPr>
                <w:rFonts w:asciiTheme="minorBidi" w:hAnsiTheme="minorBidi"/>
                <w:b/>
                <w:bCs/>
                <w:sz w:val="22"/>
                <w:szCs w:val="22"/>
              </w:rPr>
              <w:t>:</w:t>
            </w:r>
            <w:r w:rsidRPr="00D62C9B">
              <w:rPr>
                <w:rFonts w:asciiTheme="minorBidi" w:hAnsiTheme="minorBidi"/>
                <w:sz w:val="22"/>
                <w:szCs w:val="22"/>
              </w:rPr>
              <w:t xml:space="preserve"> </w:t>
            </w:r>
            <w:r w:rsidR="003E6D76" w:rsidRPr="00D62C9B">
              <w:rPr>
                <w:rFonts w:asciiTheme="minorBidi" w:hAnsiTheme="minorBidi"/>
                <w:sz w:val="22"/>
                <w:szCs w:val="22"/>
              </w:rPr>
              <w:t>Disabled staff and students report feeling safe in the tertiary system.</w:t>
            </w:r>
          </w:p>
          <w:p w14:paraId="5B93798D" w14:textId="77777777" w:rsidR="003E6D76" w:rsidRPr="00A42CBE" w:rsidRDefault="003E6D76" w:rsidP="003E6D76">
            <w:pPr>
              <w:rPr>
                <w:rFonts w:asciiTheme="minorBidi" w:hAnsiTheme="minorBidi"/>
                <w:sz w:val="12"/>
                <w:szCs w:val="12"/>
              </w:rPr>
            </w:pPr>
          </w:p>
          <w:p w14:paraId="559C1C80" w14:textId="401C676E" w:rsidR="003E6D76" w:rsidRPr="00D62C9B" w:rsidRDefault="00664146" w:rsidP="003E6D76">
            <w:pPr>
              <w:rPr>
                <w:rFonts w:asciiTheme="minorBidi" w:hAnsiTheme="minorBidi"/>
                <w:sz w:val="22"/>
                <w:szCs w:val="22"/>
              </w:rPr>
            </w:pPr>
            <w:r w:rsidRPr="00752E61">
              <w:rPr>
                <w:rFonts w:asciiTheme="minorBidi" w:hAnsiTheme="minorBidi"/>
                <w:b/>
                <w:bCs/>
                <w:sz w:val="22"/>
                <w:szCs w:val="22"/>
              </w:rPr>
              <w:t>2.4</w:t>
            </w:r>
            <w:r w:rsidR="00D62C9B" w:rsidRPr="00752E61">
              <w:rPr>
                <w:rFonts w:asciiTheme="minorBidi" w:hAnsiTheme="minorBidi"/>
                <w:b/>
                <w:bCs/>
                <w:sz w:val="22"/>
                <w:szCs w:val="22"/>
              </w:rPr>
              <w:t>:</w:t>
            </w:r>
            <w:r w:rsidRPr="00D62C9B">
              <w:rPr>
                <w:rFonts w:asciiTheme="minorBidi" w:hAnsiTheme="minorBidi"/>
                <w:sz w:val="22"/>
                <w:szCs w:val="22"/>
              </w:rPr>
              <w:t xml:space="preserve"> </w:t>
            </w:r>
            <w:r w:rsidR="003E6D76" w:rsidRPr="00D62C9B">
              <w:rPr>
                <w:rFonts w:asciiTheme="minorBidi" w:hAnsiTheme="minorBidi"/>
                <w:sz w:val="22"/>
                <w:szCs w:val="22"/>
              </w:rPr>
              <w:t>Where representation is not proportionate to the relevant population, increase the representation of disabled staff in the workforce and on college boards and university courts.</w:t>
            </w:r>
          </w:p>
        </w:tc>
      </w:tr>
      <w:tr w:rsidR="00664146" w:rsidRPr="00E41A12" w14:paraId="495D8C0C" w14:textId="77777777" w:rsidTr="00982968">
        <w:trPr>
          <w:trHeight w:val="710"/>
        </w:trPr>
        <w:tc>
          <w:tcPr>
            <w:tcW w:w="10704" w:type="dxa"/>
            <w:gridSpan w:val="2"/>
          </w:tcPr>
          <w:p w14:paraId="57C2A66B" w14:textId="38C6AE1B" w:rsidR="00664146" w:rsidRPr="00E20107" w:rsidRDefault="00F778BD" w:rsidP="00FA2442">
            <w:pPr>
              <w:rPr>
                <w:rFonts w:asciiTheme="minorBidi" w:hAnsiTheme="minorBidi"/>
                <w:sz w:val="22"/>
                <w:szCs w:val="22"/>
              </w:rPr>
            </w:pPr>
            <w:r w:rsidRPr="00F62C92">
              <w:rPr>
                <w:rFonts w:asciiTheme="minorBidi" w:hAnsiTheme="minorBidi"/>
                <w:b/>
                <w:bCs/>
                <w:sz w:val="22"/>
                <w:szCs w:val="22"/>
              </w:rPr>
              <w:t>Response</w:t>
            </w:r>
            <w:r>
              <w:rPr>
                <w:rFonts w:asciiTheme="minorBidi" w:hAnsiTheme="minorBidi"/>
                <w:sz w:val="22"/>
                <w:szCs w:val="22"/>
              </w:rPr>
              <w:t>:</w:t>
            </w:r>
            <w:r w:rsidR="004302A3">
              <w:rPr>
                <w:rFonts w:asciiTheme="minorBidi" w:hAnsiTheme="minorBidi"/>
                <w:sz w:val="22"/>
                <w:szCs w:val="22"/>
              </w:rPr>
              <w:t xml:space="preserve"> </w:t>
            </w:r>
            <w:r w:rsidR="0089332E" w:rsidRPr="00E20107">
              <w:rPr>
                <w:rFonts w:asciiTheme="minorBidi" w:hAnsiTheme="minorBidi"/>
                <w:sz w:val="22"/>
                <w:szCs w:val="22"/>
              </w:rPr>
              <w:t xml:space="preserve">Mental Health Group have recently discussed data on students who report mental health as a factor in their decision to withdraw from studies. Additional </w:t>
            </w:r>
            <w:r w:rsidR="00B802D0" w:rsidRPr="00E20107">
              <w:rPr>
                <w:rFonts w:asciiTheme="minorBidi" w:hAnsiTheme="minorBidi"/>
                <w:sz w:val="22"/>
                <w:szCs w:val="22"/>
              </w:rPr>
              <w:t xml:space="preserve">analysis is required to ascertain retention rates amongst students who declare a mental health condition and action is underway to better understand disability reporting across the student lifecycle, including admissions, </w:t>
            </w:r>
            <w:r w:rsidR="00D2313A" w:rsidRPr="00E20107">
              <w:rPr>
                <w:rFonts w:asciiTheme="minorBidi" w:hAnsiTheme="minorBidi"/>
                <w:sz w:val="22"/>
                <w:szCs w:val="22"/>
              </w:rPr>
              <w:t>enrolment</w:t>
            </w:r>
            <w:r w:rsidR="00B802D0" w:rsidRPr="00E20107">
              <w:rPr>
                <w:rFonts w:asciiTheme="minorBidi" w:hAnsiTheme="minorBidi"/>
                <w:sz w:val="22"/>
                <w:szCs w:val="22"/>
              </w:rPr>
              <w:t xml:space="preserve"> and once on course.</w:t>
            </w:r>
          </w:p>
          <w:p w14:paraId="0C566189" w14:textId="23EFE4C0" w:rsidR="00127715" w:rsidRPr="00E20107" w:rsidRDefault="00E3796F" w:rsidP="00B838A6">
            <w:pPr>
              <w:spacing w:line="276" w:lineRule="auto"/>
              <w:rPr>
                <w:rFonts w:asciiTheme="minorBidi" w:hAnsiTheme="minorBidi"/>
                <w:sz w:val="22"/>
                <w:szCs w:val="22"/>
              </w:rPr>
            </w:pPr>
            <w:r w:rsidRPr="00E20107">
              <w:rPr>
                <w:rFonts w:asciiTheme="minorBidi" w:hAnsiTheme="minorBidi"/>
                <w:sz w:val="22"/>
                <w:szCs w:val="22"/>
              </w:rPr>
              <w:t>The University has devised student and colleague Disability Action Plans following a review of</w:t>
            </w:r>
            <w:r w:rsidR="00C80226" w:rsidRPr="00E20107">
              <w:rPr>
                <w:rFonts w:asciiTheme="minorBidi" w:hAnsiTheme="minorBidi"/>
                <w:sz w:val="22"/>
                <w:szCs w:val="22"/>
              </w:rPr>
              <w:t xml:space="preserve"> student and colleague experience and</w:t>
            </w:r>
            <w:r w:rsidRPr="00E20107">
              <w:rPr>
                <w:rFonts w:asciiTheme="minorBidi" w:hAnsiTheme="minorBidi"/>
                <w:sz w:val="22"/>
                <w:szCs w:val="22"/>
              </w:rPr>
              <w:t xml:space="preserve"> </w:t>
            </w:r>
            <w:r w:rsidR="00C80226" w:rsidRPr="00E20107">
              <w:rPr>
                <w:rFonts w:asciiTheme="minorBidi" w:hAnsiTheme="minorBidi"/>
                <w:sz w:val="22"/>
                <w:szCs w:val="22"/>
              </w:rPr>
              <w:t>disability support provision.</w:t>
            </w:r>
            <w:r w:rsidR="00B838A6">
              <w:rPr>
                <w:rFonts w:asciiTheme="minorBidi" w:hAnsiTheme="minorBidi"/>
                <w:sz w:val="22"/>
                <w:szCs w:val="22"/>
              </w:rPr>
              <w:t xml:space="preserve"> </w:t>
            </w:r>
            <w:r w:rsidR="00F60AD5" w:rsidRPr="00E20107">
              <w:rPr>
                <w:rFonts w:asciiTheme="minorBidi" w:hAnsiTheme="minorBidi"/>
                <w:sz w:val="22"/>
                <w:szCs w:val="22"/>
              </w:rPr>
              <w:t>Our University Court meets legislative requirements on gender representation and has also</w:t>
            </w:r>
            <w:r w:rsidR="00127715" w:rsidRPr="00E20107">
              <w:rPr>
                <w:rFonts w:asciiTheme="minorBidi" w:hAnsiTheme="minorBidi"/>
                <w:sz w:val="22"/>
                <w:szCs w:val="22"/>
              </w:rPr>
              <w:t xml:space="preserve"> improved Minority Ethnic representation from 0 to 4 members since 2021/22.</w:t>
            </w:r>
          </w:p>
          <w:p w14:paraId="44D0E69A" w14:textId="77777777" w:rsidR="00915049" w:rsidRPr="008B1376" w:rsidRDefault="00915049" w:rsidP="008B1376">
            <w:pPr>
              <w:spacing w:line="276" w:lineRule="auto"/>
              <w:rPr>
                <w:rFonts w:asciiTheme="minorBidi" w:hAnsiTheme="minorBidi"/>
                <w:sz w:val="8"/>
                <w:szCs w:val="8"/>
              </w:rPr>
            </w:pPr>
          </w:p>
          <w:p w14:paraId="71439950" w14:textId="0159ECC0" w:rsidR="00D2313A" w:rsidRPr="00E41A12" w:rsidRDefault="006673FC" w:rsidP="008B1376">
            <w:pPr>
              <w:spacing w:line="276" w:lineRule="auto"/>
              <w:rPr>
                <w:rFonts w:asciiTheme="minorBidi" w:hAnsiTheme="minorBidi"/>
                <w:sz w:val="22"/>
                <w:szCs w:val="22"/>
              </w:rPr>
            </w:pPr>
            <w:r>
              <w:rPr>
                <w:rFonts w:asciiTheme="minorBidi" w:hAnsiTheme="minorBidi"/>
                <w:sz w:val="22"/>
                <w:szCs w:val="22"/>
              </w:rPr>
              <w:t xml:space="preserve">These activities and NEOs are addressed in </w:t>
            </w:r>
            <w:hyperlink w:anchor="_1._Embed_a" w:history="1">
              <w:r w:rsidRPr="004A062E">
                <w:rPr>
                  <w:rStyle w:val="Hyperlink"/>
                  <w:rFonts w:asciiTheme="minorBidi" w:hAnsiTheme="minorBidi"/>
                  <w:b/>
                  <w:bCs/>
                  <w:sz w:val="22"/>
                  <w:szCs w:val="22"/>
                </w:rPr>
                <w:t>Equality Outcome 1</w:t>
              </w:r>
            </w:hyperlink>
            <w:r w:rsidR="00FF0286">
              <w:rPr>
                <w:rFonts w:asciiTheme="minorBidi" w:hAnsiTheme="minorBidi"/>
                <w:b/>
                <w:bCs/>
                <w:sz w:val="22"/>
                <w:szCs w:val="22"/>
              </w:rPr>
              <w:t xml:space="preserve"> </w:t>
            </w:r>
            <w:r w:rsidR="00FF0286" w:rsidRPr="00FF0286">
              <w:rPr>
                <w:rFonts w:asciiTheme="minorBidi" w:hAnsiTheme="minorBidi"/>
                <w:sz w:val="22"/>
                <w:szCs w:val="22"/>
              </w:rPr>
              <w:t xml:space="preserve">and </w:t>
            </w:r>
            <w:hyperlink w:anchor="_5._Enhance_accessible" w:history="1">
              <w:r w:rsidR="00FF0286" w:rsidRPr="006C67BB">
                <w:rPr>
                  <w:rStyle w:val="Hyperlink"/>
                  <w:rFonts w:asciiTheme="minorBidi" w:hAnsiTheme="minorBidi"/>
                  <w:b/>
                  <w:bCs/>
                  <w:sz w:val="22"/>
                  <w:szCs w:val="22"/>
                </w:rPr>
                <w:t>Equality Outcome 5.</w:t>
              </w:r>
            </w:hyperlink>
          </w:p>
        </w:tc>
      </w:tr>
      <w:tr w:rsidR="003E6D76" w:rsidRPr="00E41A12" w14:paraId="111569E4" w14:textId="77777777" w:rsidTr="008B1376">
        <w:trPr>
          <w:trHeight w:val="572"/>
        </w:trPr>
        <w:tc>
          <w:tcPr>
            <w:tcW w:w="1980" w:type="dxa"/>
            <w:shd w:val="clear" w:color="auto" w:fill="003865"/>
          </w:tcPr>
          <w:p w14:paraId="1250491C" w14:textId="56703566" w:rsidR="003E6D76" w:rsidRPr="00DF4133" w:rsidRDefault="003E6D76" w:rsidP="003E6D76">
            <w:pPr>
              <w:jc w:val="center"/>
              <w:rPr>
                <w:rFonts w:asciiTheme="minorBidi" w:hAnsiTheme="minorBidi"/>
                <w:b/>
                <w:bCs/>
                <w:sz w:val="22"/>
                <w:szCs w:val="22"/>
              </w:rPr>
            </w:pPr>
            <w:r w:rsidRPr="00DF4133">
              <w:rPr>
                <w:rFonts w:asciiTheme="minorBidi" w:hAnsiTheme="minorBidi"/>
                <w:b/>
                <w:bCs/>
                <w:sz w:val="22"/>
                <w:szCs w:val="22"/>
              </w:rPr>
              <w:t>3. Gender Reassignment</w:t>
            </w:r>
          </w:p>
        </w:tc>
        <w:tc>
          <w:tcPr>
            <w:tcW w:w="8724" w:type="dxa"/>
          </w:tcPr>
          <w:p w14:paraId="2D11707E" w14:textId="057B3D98" w:rsidR="003E6D76" w:rsidRPr="00E41A12" w:rsidRDefault="003E6D76" w:rsidP="003E6D76">
            <w:pPr>
              <w:rPr>
                <w:rFonts w:asciiTheme="minorBidi" w:hAnsiTheme="minorBidi"/>
                <w:sz w:val="22"/>
                <w:szCs w:val="22"/>
              </w:rPr>
            </w:pPr>
            <w:r w:rsidRPr="00752E61">
              <w:rPr>
                <w:rFonts w:asciiTheme="minorBidi" w:hAnsiTheme="minorBidi"/>
                <w:b/>
                <w:bCs/>
                <w:sz w:val="22"/>
                <w:szCs w:val="22"/>
              </w:rPr>
              <w:t>3.1</w:t>
            </w:r>
            <w:r w:rsidR="00D62C9B">
              <w:rPr>
                <w:rFonts w:asciiTheme="minorBidi" w:hAnsiTheme="minorBidi"/>
                <w:sz w:val="22"/>
                <w:szCs w:val="22"/>
              </w:rPr>
              <w:t>:</w:t>
            </w:r>
            <w:r w:rsidRPr="00E41A12">
              <w:rPr>
                <w:rFonts w:asciiTheme="minorBidi" w:hAnsiTheme="minorBidi"/>
                <w:sz w:val="22"/>
                <w:szCs w:val="22"/>
              </w:rPr>
              <w:t xml:space="preserve"> Trans staff and students report feeling safe to be themselves in the tertiary system.</w:t>
            </w:r>
          </w:p>
        </w:tc>
      </w:tr>
      <w:tr w:rsidR="003E6D76" w:rsidRPr="00E41A12" w14:paraId="5BDD3F57" w14:textId="77777777" w:rsidTr="00AC487C">
        <w:trPr>
          <w:trHeight w:val="705"/>
        </w:trPr>
        <w:tc>
          <w:tcPr>
            <w:tcW w:w="10704" w:type="dxa"/>
            <w:gridSpan w:val="2"/>
          </w:tcPr>
          <w:p w14:paraId="3D8B5D2A" w14:textId="45275A1D" w:rsidR="006C3B89" w:rsidRPr="00E20107" w:rsidRDefault="00940E4E" w:rsidP="00B838A6">
            <w:pPr>
              <w:rPr>
                <w:rFonts w:asciiTheme="minorBidi" w:hAnsiTheme="minorBidi"/>
                <w:sz w:val="22"/>
                <w:szCs w:val="22"/>
              </w:rPr>
            </w:pPr>
            <w:r w:rsidRPr="00F62C92">
              <w:rPr>
                <w:rFonts w:asciiTheme="minorBidi" w:hAnsiTheme="minorBidi"/>
                <w:b/>
                <w:bCs/>
                <w:sz w:val="22"/>
                <w:szCs w:val="22"/>
              </w:rPr>
              <w:t>Response</w:t>
            </w:r>
            <w:r>
              <w:rPr>
                <w:rFonts w:asciiTheme="minorBidi" w:hAnsiTheme="minorBidi"/>
                <w:sz w:val="22"/>
                <w:szCs w:val="22"/>
              </w:rPr>
              <w:t xml:space="preserve">: </w:t>
            </w:r>
            <w:r w:rsidR="00534E51" w:rsidRPr="00E20107">
              <w:rPr>
                <w:rFonts w:asciiTheme="minorBidi" w:hAnsiTheme="minorBidi"/>
                <w:sz w:val="22"/>
                <w:szCs w:val="22"/>
              </w:rPr>
              <w:t>The University benefits from thriving staff and student LGBT+ Networks</w:t>
            </w:r>
            <w:r w:rsidR="00F44BAE" w:rsidRPr="00E20107">
              <w:rPr>
                <w:rFonts w:asciiTheme="minorBidi" w:hAnsiTheme="minorBidi"/>
                <w:sz w:val="22"/>
                <w:szCs w:val="22"/>
              </w:rPr>
              <w:t xml:space="preserve">. It reinforces its ambitions to foster an inclusive environment through supported </w:t>
            </w:r>
            <w:r w:rsidR="004341CB" w:rsidRPr="00E20107">
              <w:rPr>
                <w:rFonts w:asciiTheme="minorBidi" w:hAnsiTheme="minorBidi"/>
                <w:sz w:val="22"/>
                <w:szCs w:val="22"/>
              </w:rPr>
              <w:t>commemoration events,</w:t>
            </w:r>
            <w:r w:rsidR="00710C9B">
              <w:rPr>
                <w:rFonts w:asciiTheme="minorBidi" w:hAnsiTheme="minorBidi"/>
                <w:sz w:val="22"/>
                <w:szCs w:val="22"/>
              </w:rPr>
              <w:t xml:space="preserve"> cultural exhibitions and initiatives,</w:t>
            </w:r>
            <w:r w:rsidR="004341CB" w:rsidRPr="00E20107">
              <w:rPr>
                <w:rFonts w:asciiTheme="minorBidi" w:hAnsiTheme="minorBidi"/>
                <w:sz w:val="22"/>
                <w:szCs w:val="22"/>
              </w:rPr>
              <w:t xml:space="preserve"> networking activities and </w:t>
            </w:r>
            <w:r w:rsidR="0042459C" w:rsidRPr="00E20107">
              <w:rPr>
                <w:rFonts w:asciiTheme="minorBidi" w:hAnsiTheme="minorBidi"/>
                <w:sz w:val="22"/>
                <w:szCs w:val="22"/>
              </w:rPr>
              <w:t>university-wide</w:t>
            </w:r>
            <w:r w:rsidR="004341CB" w:rsidRPr="00E20107">
              <w:rPr>
                <w:rFonts w:asciiTheme="minorBidi" w:hAnsiTheme="minorBidi"/>
                <w:sz w:val="22"/>
                <w:szCs w:val="22"/>
              </w:rPr>
              <w:t xml:space="preserve"> communications. We review </w:t>
            </w:r>
            <w:r w:rsidR="00A61ADF" w:rsidRPr="00E20107">
              <w:rPr>
                <w:rFonts w:asciiTheme="minorBidi" w:hAnsiTheme="minorBidi"/>
                <w:sz w:val="22"/>
                <w:szCs w:val="22"/>
              </w:rPr>
              <w:t>online reports for bullying and harassment connected to gender identity</w:t>
            </w:r>
            <w:r w:rsidR="0042459C" w:rsidRPr="00E20107">
              <w:rPr>
                <w:rFonts w:asciiTheme="minorBidi" w:hAnsiTheme="minorBidi"/>
                <w:sz w:val="22"/>
                <w:szCs w:val="22"/>
              </w:rPr>
              <w:t>. W</w:t>
            </w:r>
            <w:r w:rsidR="00A61ADF" w:rsidRPr="00E20107">
              <w:rPr>
                <w:rFonts w:asciiTheme="minorBidi" w:hAnsiTheme="minorBidi"/>
                <w:sz w:val="22"/>
                <w:szCs w:val="22"/>
              </w:rPr>
              <w:t xml:space="preserve">e will </w:t>
            </w:r>
            <w:r w:rsidR="00642456" w:rsidRPr="00E20107">
              <w:rPr>
                <w:rFonts w:asciiTheme="minorBidi" w:hAnsiTheme="minorBidi"/>
                <w:sz w:val="22"/>
                <w:szCs w:val="22"/>
              </w:rPr>
              <w:t>engage with</w:t>
            </w:r>
            <w:r w:rsidR="006C3B89" w:rsidRPr="00E20107">
              <w:rPr>
                <w:rFonts w:asciiTheme="minorBidi" w:hAnsiTheme="minorBidi"/>
                <w:sz w:val="22"/>
                <w:szCs w:val="22"/>
              </w:rPr>
              <w:t xml:space="preserve"> relevant</w:t>
            </w:r>
            <w:r w:rsidR="00642456" w:rsidRPr="00E20107">
              <w:rPr>
                <w:rFonts w:asciiTheme="minorBidi" w:hAnsiTheme="minorBidi"/>
                <w:sz w:val="22"/>
                <w:szCs w:val="22"/>
              </w:rPr>
              <w:t xml:space="preserve"> groups to better understand their campus experience</w:t>
            </w:r>
            <w:r w:rsidR="006C3B89" w:rsidRPr="00E20107">
              <w:rPr>
                <w:rFonts w:asciiTheme="minorBidi" w:hAnsiTheme="minorBidi"/>
                <w:sz w:val="22"/>
                <w:szCs w:val="22"/>
              </w:rPr>
              <w:t>, which anecdotally suggests underreporting</w:t>
            </w:r>
            <w:r w:rsidR="00642456" w:rsidRPr="00E20107">
              <w:rPr>
                <w:rFonts w:asciiTheme="minorBidi" w:hAnsiTheme="minorBidi"/>
                <w:sz w:val="22"/>
                <w:szCs w:val="22"/>
              </w:rPr>
              <w:t xml:space="preserve">. </w:t>
            </w:r>
          </w:p>
          <w:p w14:paraId="66018DED" w14:textId="77777777" w:rsidR="00E20107" w:rsidRDefault="007450BE" w:rsidP="008B1376">
            <w:pPr>
              <w:spacing w:line="276" w:lineRule="auto"/>
              <w:rPr>
                <w:rFonts w:asciiTheme="minorBidi" w:hAnsiTheme="minorBidi"/>
                <w:sz w:val="22"/>
                <w:szCs w:val="22"/>
              </w:rPr>
            </w:pPr>
            <w:r>
              <w:rPr>
                <w:rFonts w:asciiTheme="minorBidi" w:hAnsiTheme="minorBidi"/>
                <w:sz w:val="22"/>
                <w:szCs w:val="22"/>
              </w:rPr>
              <w:t xml:space="preserve">We will </w:t>
            </w:r>
            <w:r w:rsidR="00642456">
              <w:rPr>
                <w:rFonts w:asciiTheme="minorBidi" w:hAnsiTheme="minorBidi"/>
                <w:sz w:val="22"/>
                <w:szCs w:val="22"/>
              </w:rPr>
              <w:t>do this whilst continuing</w:t>
            </w:r>
            <w:r>
              <w:rPr>
                <w:rFonts w:asciiTheme="minorBidi" w:hAnsiTheme="minorBidi"/>
                <w:sz w:val="22"/>
                <w:szCs w:val="22"/>
              </w:rPr>
              <w:t xml:space="preserve"> to ensure a</w:t>
            </w:r>
            <w:r w:rsidR="006B259C">
              <w:rPr>
                <w:rFonts w:asciiTheme="minorBidi" w:hAnsiTheme="minorBidi"/>
                <w:sz w:val="22"/>
                <w:szCs w:val="22"/>
              </w:rPr>
              <w:t xml:space="preserve">n inclusive campus culture for all staff and students working with relevant Networks, Societies and Equality Groups </w:t>
            </w:r>
            <w:r w:rsidR="00B43E79">
              <w:rPr>
                <w:rFonts w:asciiTheme="minorBidi" w:hAnsiTheme="minorBidi"/>
                <w:sz w:val="22"/>
                <w:szCs w:val="22"/>
              </w:rPr>
              <w:t xml:space="preserve">as outlined in </w:t>
            </w:r>
            <w:hyperlink w:anchor="_4._Cultivate_a" w:history="1">
              <w:r w:rsidR="00B43E79" w:rsidRPr="00810DCC">
                <w:rPr>
                  <w:rStyle w:val="Hyperlink"/>
                  <w:rFonts w:asciiTheme="minorBidi" w:hAnsiTheme="minorBidi"/>
                  <w:b/>
                  <w:bCs/>
                  <w:sz w:val="22"/>
                  <w:szCs w:val="22"/>
                </w:rPr>
                <w:t xml:space="preserve">Equality Outcome </w:t>
              </w:r>
              <w:r w:rsidR="009C1228" w:rsidRPr="00810DCC">
                <w:rPr>
                  <w:rStyle w:val="Hyperlink"/>
                  <w:rFonts w:asciiTheme="minorBidi" w:hAnsiTheme="minorBidi"/>
                  <w:b/>
                  <w:bCs/>
                  <w:sz w:val="22"/>
                  <w:szCs w:val="22"/>
                </w:rPr>
                <w:t>4</w:t>
              </w:r>
              <w:r w:rsidR="00B43E79" w:rsidRPr="00810DCC">
                <w:rPr>
                  <w:rStyle w:val="Hyperlink"/>
                  <w:rFonts w:asciiTheme="minorBidi" w:hAnsiTheme="minorBidi"/>
                  <w:b/>
                  <w:bCs/>
                  <w:sz w:val="22"/>
                  <w:szCs w:val="22"/>
                </w:rPr>
                <w:t>.</w:t>
              </w:r>
            </w:hyperlink>
            <w:r w:rsidR="00B43E79">
              <w:rPr>
                <w:rFonts w:asciiTheme="minorBidi" w:hAnsiTheme="minorBidi"/>
                <w:sz w:val="22"/>
                <w:szCs w:val="22"/>
              </w:rPr>
              <w:t xml:space="preserve"> </w:t>
            </w:r>
          </w:p>
          <w:p w14:paraId="39891AFD" w14:textId="442A6E76" w:rsidR="00A42CBE" w:rsidRPr="008B1376" w:rsidRDefault="00A42CBE" w:rsidP="00A42CBE">
            <w:pPr>
              <w:rPr>
                <w:rFonts w:asciiTheme="minorBidi" w:hAnsiTheme="minorBidi"/>
                <w:sz w:val="10"/>
                <w:szCs w:val="10"/>
              </w:rPr>
            </w:pPr>
          </w:p>
        </w:tc>
      </w:tr>
      <w:tr w:rsidR="00375DE3" w:rsidRPr="00E41A12" w14:paraId="2A36C928" w14:textId="77777777" w:rsidTr="00AB68E6">
        <w:trPr>
          <w:trHeight w:val="687"/>
        </w:trPr>
        <w:tc>
          <w:tcPr>
            <w:tcW w:w="1980" w:type="dxa"/>
            <w:shd w:val="clear" w:color="auto" w:fill="003865"/>
          </w:tcPr>
          <w:p w14:paraId="401D0EA2" w14:textId="77777777" w:rsidR="00DF4133" w:rsidRPr="00475772" w:rsidRDefault="00DF4133" w:rsidP="00A42CBE">
            <w:pPr>
              <w:jc w:val="center"/>
              <w:rPr>
                <w:rFonts w:asciiTheme="minorBidi" w:hAnsiTheme="minorBidi"/>
                <w:b/>
                <w:bCs/>
                <w:color w:val="FFFFFF" w:themeColor="background1"/>
                <w:sz w:val="22"/>
                <w:szCs w:val="22"/>
              </w:rPr>
            </w:pPr>
          </w:p>
          <w:p w14:paraId="35FFFC2E" w14:textId="77777777" w:rsidR="00DF4133" w:rsidRPr="00475772" w:rsidRDefault="00DF4133" w:rsidP="00A42CBE">
            <w:pPr>
              <w:jc w:val="center"/>
              <w:rPr>
                <w:rFonts w:asciiTheme="minorBidi" w:hAnsiTheme="minorBidi"/>
                <w:b/>
                <w:bCs/>
                <w:color w:val="FFFFFF" w:themeColor="background1"/>
                <w:sz w:val="22"/>
                <w:szCs w:val="22"/>
              </w:rPr>
            </w:pPr>
          </w:p>
          <w:p w14:paraId="475F8B53" w14:textId="77777777" w:rsidR="00DF4133" w:rsidRPr="00475772" w:rsidRDefault="00DF4133" w:rsidP="00A42CBE">
            <w:pPr>
              <w:jc w:val="center"/>
              <w:rPr>
                <w:rFonts w:asciiTheme="minorBidi" w:hAnsiTheme="minorBidi"/>
                <w:b/>
                <w:bCs/>
                <w:color w:val="FFFFFF" w:themeColor="background1"/>
                <w:sz w:val="22"/>
                <w:szCs w:val="22"/>
              </w:rPr>
            </w:pPr>
          </w:p>
          <w:p w14:paraId="7D15075B" w14:textId="77777777" w:rsidR="00DF4133" w:rsidRPr="00475772" w:rsidRDefault="00DF4133" w:rsidP="00A42CBE">
            <w:pPr>
              <w:jc w:val="center"/>
              <w:rPr>
                <w:rFonts w:asciiTheme="minorBidi" w:hAnsiTheme="minorBidi"/>
                <w:b/>
                <w:bCs/>
                <w:color w:val="FFFFFF" w:themeColor="background1"/>
                <w:sz w:val="22"/>
                <w:szCs w:val="22"/>
              </w:rPr>
            </w:pPr>
          </w:p>
          <w:p w14:paraId="5BB7DCB1" w14:textId="77777777" w:rsidR="00DF4133" w:rsidRPr="00475772" w:rsidRDefault="00DF4133" w:rsidP="00A42CBE">
            <w:pPr>
              <w:jc w:val="center"/>
              <w:rPr>
                <w:rFonts w:asciiTheme="minorBidi" w:hAnsiTheme="minorBidi"/>
                <w:b/>
                <w:bCs/>
                <w:color w:val="FFFFFF" w:themeColor="background1"/>
                <w:sz w:val="22"/>
                <w:szCs w:val="22"/>
              </w:rPr>
            </w:pPr>
          </w:p>
          <w:p w14:paraId="7D8C1AAE" w14:textId="2AC8281E" w:rsidR="00375DE3" w:rsidRPr="00475772" w:rsidRDefault="00375DE3" w:rsidP="00A42CBE">
            <w:pPr>
              <w:jc w:val="center"/>
              <w:rPr>
                <w:rFonts w:asciiTheme="minorBidi" w:hAnsiTheme="minorBidi"/>
                <w:b/>
                <w:bCs/>
                <w:color w:val="FFFFFF" w:themeColor="background1"/>
                <w:sz w:val="22"/>
                <w:szCs w:val="22"/>
                <w:highlight w:val="yellow"/>
              </w:rPr>
            </w:pPr>
            <w:r w:rsidRPr="00475772">
              <w:rPr>
                <w:rFonts w:asciiTheme="minorBidi" w:hAnsiTheme="minorBidi"/>
                <w:b/>
                <w:bCs/>
                <w:color w:val="FFFFFF" w:themeColor="background1"/>
                <w:sz w:val="22"/>
                <w:szCs w:val="22"/>
              </w:rPr>
              <w:t>4. Race</w:t>
            </w:r>
          </w:p>
        </w:tc>
        <w:tc>
          <w:tcPr>
            <w:tcW w:w="8724" w:type="dxa"/>
          </w:tcPr>
          <w:p w14:paraId="24ED1D2B" w14:textId="54A348E5" w:rsidR="00375DE3" w:rsidRPr="00E41A12" w:rsidRDefault="00375DE3" w:rsidP="00A42CBE">
            <w:pPr>
              <w:rPr>
                <w:rFonts w:asciiTheme="minorBidi" w:hAnsiTheme="minorBidi"/>
                <w:sz w:val="22"/>
                <w:szCs w:val="22"/>
              </w:rPr>
            </w:pPr>
            <w:r w:rsidRPr="00752E61">
              <w:rPr>
                <w:rFonts w:asciiTheme="minorBidi" w:hAnsiTheme="minorBidi"/>
                <w:b/>
                <w:bCs/>
                <w:sz w:val="22"/>
                <w:szCs w:val="22"/>
              </w:rPr>
              <w:t>4.1</w:t>
            </w:r>
            <w:r w:rsidR="00D62C9B">
              <w:rPr>
                <w:rFonts w:asciiTheme="minorBidi" w:hAnsiTheme="minorBidi"/>
                <w:sz w:val="22"/>
                <w:szCs w:val="22"/>
              </w:rPr>
              <w:t>:</w:t>
            </w:r>
            <w:r>
              <w:rPr>
                <w:rFonts w:asciiTheme="minorBidi" w:hAnsiTheme="minorBidi"/>
                <w:sz w:val="22"/>
                <w:szCs w:val="22"/>
              </w:rPr>
              <w:t xml:space="preserve"> </w:t>
            </w:r>
            <w:r w:rsidRPr="00E41A12">
              <w:rPr>
                <w:rFonts w:asciiTheme="minorBidi" w:hAnsiTheme="minorBidi"/>
                <w:sz w:val="22"/>
                <w:szCs w:val="22"/>
              </w:rPr>
              <w:t>Staff and students feel supported and safe and are confident that complaints of harassment or bias on the grounds of race will be dealt with appropriately because complaints procedures are fit for purpose and offer effective redress.</w:t>
            </w:r>
          </w:p>
          <w:p w14:paraId="3784B956" w14:textId="77777777" w:rsidR="00375DE3" w:rsidRPr="00A42CBE" w:rsidRDefault="00375DE3" w:rsidP="00A42CBE">
            <w:pPr>
              <w:rPr>
                <w:rFonts w:asciiTheme="minorBidi" w:hAnsiTheme="minorBidi"/>
                <w:sz w:val="14"/>
                <w:szCs w:val="14"/>
              </w:rPr>
            </w:pPr>
          </w:p>
          <w:p w14:paraId="79C6F35A" w14:textId="1A67080C" w:rsidR="00375DE3" w:rsidRPr="00E41A12" w:rsidRDefault="00375DE3" w:rsidP="00A42CBE">
            <w:pPr>
              <w:rPr>
                <w:rFonts w:asciiTheme="minorBidi" w:hAnsiTheme="minorBidi"/>
                <w:sz w:val="22"/>
                <w:szCs w:val="22"/>
              </w:rPr>
            </w:pPr>
            <w:r w:rsidRPr="00752E61">
              <w:rPr>
                <w:rFonts w:asciiTheme="minorBidi" w:hAnsiTheme="minorBidi"/>
                <w:b/>
                <w:bCs/>
                <w:sz w:val="22"/>
                <w:szCs w:val="22"/>
              </w:rPr>
              <w:t>4.2</w:t>
            </w:r>
            <w:r w:rsidR="00D62C9B" w:rsidRPr="00752E61">
              <w:rPr>
                <w:rFonts w:asciiTheme="minorBidi" w:hAnsiTheme="minorBidi"/>
                <w:b/>
                <w:bCs/>
                <w:sz w:val="22"/>
                <w:szCs w:val="22"/>
              </w:rPr>
              <w:t>:</w:t>
            </w:r>
            <w:r>
              <w:rPr>
                <w:rFonts w:asciiTheme="minorBidi" w:hAnsiTheme="minorBidi"/>
                <w:sz w:val="22"/>
                <w:szCs w:val="22"/>
              </w:rPr>
              <w:t xml:space="preserve"> </w:t>
            </w:r>
            <w:r w:rsidRPr="00E41A12">
              <w:rPr>
                <w:rFonts w:asciiTheme="minorBidi" w:hAnsiTheme="minorBidi"/>
                <w:sz w:val="22"/>
                <w:szCs w:val="22"/>
              </w:rPr>
              <w:t>Institutions should also have regard to attainment levels by racial group and ensure that their curriculum is diverse and anti-racist.</w:t>
            </w:r>
          </w:p>
          <w:p w14:paraId="6072BF1A" w14:textId="77777777" w:rsidR="00375DE3" w:rsidRPr="00A42CBE" w:rsidRDefault="00375DE3" w:rsidP="00A42CBE">
            <w:pPr>
              <w:rPr>
                <w:rFonts w:asciiTheme="minorBidi" w:hAnsiTheme="minorBidi"/>
                <w:sz w:val="12"/>
                <w:szCs w:val="12"/>
              </w:rPr>
            </w:pPr>
          </w:p>
          <w:p w14:paraId="2D1A2894" w14:textId="58776C07" w:rsidR="00375DE3" w:rsidRPr="00E41A12" w:rsidRDefault="00375DE3" w:rsidP="00A42CBE">
            <w:pPr>
              <w:rPr>
                <w:rFonts w:asciiTheme="minorBidi" w:hAnsiTheme="minorBidi"/>
                <w:sz w:val="22"/>
                <w:szCs w:val="22"/>
              </w:rPr>
            </w:pPr>
            <w:r w:rsidRPr="00752E61">
              <w:rPr>
                <w:rFonts w:asciiTheme="minorBidi" w:hAnsiTheme="minorBidi"/>
                <w:b/>
                <w:bCs/>
                <w:sz w:val="22"/>
                <w:szCs w:val="22"/>
              </w:rPr>
              <w:t>4.3</w:t>
            </w:r>
            <w:r w:rsidR="00D62C9B" w:rsidRPr="00752E61">
              <w:rPr>
                <w:rFonts w:asciiTheme="minorBidi" w:hAnsiTheme="minorBidi"/>
                <w:b/>
                <w:bCs/>
                <w:sz w:val="22"/>
                <w:szCs w:val="22"/>
              </w:rPr>
              <w:t>:</w:t>
            </w:r>
            <w:r>
              <w:rPr>
                <w:rFonts w:asciiTheme="minorBidi" w:hAnsiTheme="minorBidi"/>
                <w:sz w:val="22"/>
                <w:szCs w:val="22"/>
              </w:rPr>
              <w:t xml:space="preserve"> </w:t>
            </w:r>
            <w:r w:rsidRPr="00E41A12">
              <w:rPr>
                <w:rFonts w:asciiTheme="minorBidi" w:hAnsiTheme="minorBidi"/>
                <w:sz w:val="22"/>
                <w:szCs w:val="22"/>
              </w:rPr>
              <w:t>Where representation is not proportionate to the relevant population, increase the racial diversity of court members and address any racial diversity issues in college boards.</w:t>
            </w:r>
          </w:p>
          <w:p w14:paraId="5F939154" w14:textId="77777777" w:rsidR="00375DE3" w:rsidRPr="00A42CBE" w:rsidRDefault="00375DE3" w:rsidP="00A42CBE">
            <w:pPr>
              <w:rPr>
                <w:rFonts w:asciiTheme="minorBidi" w:hAnsiTheme="minorBidi"/>
                <w:sz w:val="12"/>
                <w:szCs w:val="12"/>
              </w:rPr>
            </w:pPr>
          </w:p>
          <w:p w14:paraId="02E870AA" w14:textId="27BEF177" w:rsidR="00375DE3" w:rsidRPr="005E7814" w:rsidRDefault="00375DE3" w:rsidP="00A42CBE">
            <w:pPr>
              <w:rPr>
                <w:rFonts w:asciiTheme="minorBidi" w:hAnsiTheme="minorBidi"/>
                <w:sz w:val="22"/>
                <w:szCs w:val="22"/>
              </w:rPr>
            </w:pPr>
            <w:r w:rsidRPr="00752E61">
              <w:rPr>
                <w:rFonts w:asciiTheme="minorBidi" w:hAnsiTheme="minorBidi"/>
                <w:b/>
                <w:bCs/>
                <w:sz w:val="22"/>
                <w:szCs w:val="22"/>
              </w:rPr>
              <w:lastRenderedPageBreak/>
              <w:t>4.4</w:t>
            </w:r>
            <w:r w:rsidR="00D62C9B" w:rsidRPr="00752E61">
              <w:rPr>
                <w:rFonts w:asciiTheme="minorBidi" w:hAnsiTheme="minorBidi"/>
                <w:b/>
                <w:bCs/>
                <w:sz w:val="22"/>
                <w:szCs w:val="22"/>
              </w:rPr>
              <w:t>:</w:t>
            </w:r>
            <w:r>
              <w:rPr>
                <w:rFonts w:asciiTheme="minorBidi" w:hAnsiTheme="minorBidi"/>
                <w:sz w:val="22"/>
                <w:szCs w:val="22"/>
              </w:rPr>
              <w:t xml:space="preserve"> </w:t>
            </w:r>
            <w:r w:rsidRPr="00E41A12">
              <w:rPr>
                <w:rFonts w:asciiTheme="minorBidi" w:hAnsiTheme="minorBidi"/>
                <w:sz w:val="22"/>
                <w:szCs w:val="22"/>
              </w:rPr>
              <w:t>Where representation is not proportionate to the relevant population, increase the racial diversity of teaching and non-teaching</w:t>
            </w:r>
            <w:r>
              <w:rPr>
                <w:rFonts w:asciiTheme="minorBidi" w:hAnsiTheme="minorBidi"/>
                <w:sz w:val="22"/>
                <w:szCs w:val="22"/>
              </w:rPr>
              <w:t xml:space="preserve"> </w:t>
            </w:r>
            <w:r w:rsidRPr="00E41A12">
              <w:rPr>
                <w:rFonts w:asciiTheme="minorBidi" w:hAnsiTheme="minorBidi"/>
                <w:sz w:val="22"/>
                <w:szCs w:val="22"/>
              </w:rPr>
              <w:t>staff to align with student representation in the sector.</w:t>
            </w:r>
          </w:p>
        </w:tc>
      </w:tr>
      <w:tr w:rsidR="00EE5044" w:rsidRPr="00E41A12" w14:paraId="5053CEEF" w14:textId="77777777" w:rsidTr="00643894">
        <w:trPr>
          <w:trHeight w:val="687"/>
        </w:trPr>
        <w:tc>
          <w:tcPr>
            <w:tcW w:w="10704" w:type="dxa"/>
            <w:gridSpan w:val="2"/>
          </w:tcPr>
          <w:p w14:paraId="18A3BB1F" w14:textId="0AB4C3EA" w:rsidR="002F3B06" w:rsidRDefault="00EE5044" w:rsidP="00FA2442">
            <w:pPr>
              <w:spacing w:line="276" w:lineRule="auto"/>
              <w:rPr>
                <w:rFonts w:asciiTheme="minorBidi" w:hAnsiTheme="minorBidi"/>
                <w:b/>
                <w:bCs/>
                <w:sz w:val="22"/>
                <w:szCs w:val="22"/>
              </w:rPr>
            </w:pPr>
            <w:r w:rsidRPr="00E20107">
              <w:rPr>
                <w:rFonts w:asciiTheme="minorBidi" w:hAnsiTheme="minorBidi"/>
                <w:b/>
                <w:bCs/>
                <w:sz w:val="22"/>
                <w:szCs w:val="22"/>
              </w:rPr>
              <w:lastRenderedPageBreak/>
              <w:t xml:space="preserve">Response: </w:t>
            </w:r>
            <w:r w:rsidR="0003354F">
              <w:rPr>
                <w:rFonts w:asciiTheme="minorBidi" w:hAnsiTheme="minorBidi"/>
                <w:sz w:val="22"/>
                <w:szCs w:val="22"/>
              </w:rPr>
              <w:t xml:space="preserve">The University’s URTUC Report and Action Plan set out an ambitious and stretching suite of actions to address structural inequalities and interpersonal racism. We have made </w:t>
            </w:r>
            <w:r w:rsidR="009959C2">
              <w:rPr>
                <w:rFonts w:asciiTheme="minorBidi" w:hAnsiTheme="minorBidi"/>
                <w:sz w:val="22"/>
                <w:szCs w:val="22"/>
              </w:rPr>
              <w:t xml:space="preserve">solid progress in implementing these actions, which align with and reach beyond the NEOs </w:t>
            </w:r>
            <w:r w:rsidR="00500CCB">
              <w:rPr>
                <w:rFonts w:asciiTheme="minorBidi" w:hAnsiTheme="minorBidi"/>
                <w:sz w:val="22"/>
                <w:szCs w:val="22"/>
              </w:rPr>
              <w:t xml:space="preserve">4.1-4. We have increased Minority Ethnic colleague representation from 8.6% to 17.7%; improved </w:t>
            </w:r>
            <w:r w:rsidR="003A7F12">
              <w:rPr>
                <w:rFonts w:asciiTheme="minorBidi" w:hAnsiTheme="minorBidi"/>
                <w:sz w:val="22"/>
                <w:szCs w:val="22"/>
              </w:rPr>
              <w:t xml:space="preserve">Minority Ethnic representation on University Court from 0 to 4 members, with </w:t>
            </w:r>
            <w:r w:rsidR="00B838A6">
              <w:rPr>
                <w:rFonts w:asciiTheme="minorBidi" w:hAnsiTheme="minorBidi"/>
                <w:sz w:val="22"/>
                <w:szCs w:val="22"/>
              </w:rPr>
              <w:t xml:space="preserve">an </w:t>
            </w:r>
            <w:r w:rsidR="003A7F12">
              <w:rPr>
                <w:rFonts w:asciiTheme="minorBidi" w:hAnsiTheme="minorBidi"/>
                <w:sz w:val="22"/>
                <w:szCs w:val="22"/>
              </w:rPr>
              <w:t xml:space="preserve">ongoing commitment to increase this representation; </w:t>
            </w:r>
            <w:r w:rsidR="003E69EE">
              <w:rPr>
                <w:rFonts w:asciiTheme="minorBidi" w:hAnsiTheme="minorBidi"/>
                <w:sz w:val="22"/>
                <w:szCs w:val="22"/>
              </w:rPr>
              <w:t>undertaken robust data analysis to identify factors driving the Ethnicity Awarding Gap</w:t>
            </w:r>
            <w:r w:rsidR="00BF1B57">
              <w:rPr>
                <w:rFonts w:asciiTheme="minorBidi" w:hAnsiTheme="minorBidi"/>
                <w:sz w:val="22"/>
                <w:szCs w:val="22"/>
              </w:rPr>
              <w:t>; and embedded Decolonising the Curriculum (</w:t>
            </w:r>
            <w:proofErr w:type="spellStart"/>
            <w:r w:rsidR="00BF1B57">
              <w:rPr>
                <w:rFonts w:asciiTheme="minorBidi" w:hAnsiTheme="minorBidi"/>
                <w:sz w:val="22"/>
                <w:szCs w:val="22"/>
              </w:rPr>
              <w:t>DtC</w:t>
            </w:r>
            <w:proofErr w:type="spellEnd"/>
            <w:r w:rsidR="00BF1B57">
              <w:rPr>
                <w:rFonts w:asciiTheme="minorBidi" w:hAnsiTheme="minorBidi"/>
                <w:sz w:val="22"/>
                <w:szCs w:val="22"/>
              </w:rPr>
              <w:t xml:space="preserve">) strands into our Learning &amp; Teaching Strategy 2020-25, supporting </w:t>
            </w:r>
            <w:r w:rsidR="00457EE5">
              <w:rPr>
                <w:rFonts w:asciiTheme="minorBidi" w:hAnsiTheme="minorBidi"/>
                <w:sz w:val="22"/>
                <w:szCs w:val="22"/>
              </w:rPr>
              <w:t xml:space="preserve">colleague and student co-creation projects and a </w:t>
            </w:r>
            <w:proofErr w:type="spellStart"/>
            <w:r w:rsidR="00457EE5">
              <w:rPr>
                <w:rFonts w:asciiTheme="minorBidi" w:hAnsiTheme="minorBidi"/>
                <w:sz w:val="22"/>
                <w:szCs w:val="22"/>
              </w:rPr>
              <w:t>DtC</w:t>
            </w:r>
            <w:proofErr w:type="spellEnd"/>
            <w:r w:rsidR="00457EE5">
              <w:rPr>
                <w:rFonts w:asciiTheme="minorBidi" w:hAnsiTheme="minorBidi"/>
                <w:sz w:val="22"/>
                <w:szCs w:val="22"/>
              </w:rPr>
              <w:t xml:space="preserve"> Community of Practice. </w:t>
            </w:r>
            <w:r w:rsidR="0051495D">
              <w:rPr>
                <w:rFonts w:asciiTheme="minorBidi" w:hAnsiTheme="minorBidi"/>
                <w:sz w:val="22"/>
                <w:szCs w:val="22"/>
              </w:rPr>
              <w:t xml:space="preserve">We have helped establish a thriving Global Majority Network and improved online reporting mechanisms for racism and racial harassment. </w:t>
            </w:r>
            <w:r w:rsidR="0084442C">
              <w:rPr>
                <w:rFonts w:asciiTheme="minorBidi" w:hAnsiTheme="minorBidi"/>
                <w:sz w:val="22"/>
                <w:szCs w:val="22"/>
              </w:rPr>
              <w:t xml:space="preserve">We continue this work through our URTUC Action Plan as outlined in </w:t>
            </w:r>
            <w:hyperlink w:anchor="_2._Advance_our" w:history="1">
              <w:r w:rsidR="0084442C" w:rsidRPr="0084442C">
                <w:rPr>
                  <w:rStyle w:val="Hyperlink"/>
                  <w:rFonts w:asciiTheme="minorBidi" w:hAnsiTheme="minorBidi"/>
                  <w:b/>
                  <w:bCs/>
                  <w:sz w:val="22"/>
                  <w:szCs w:val="22"/>
                </w:rPr>
                <w:t>Equality Outcome 2.</w:t>
              </w:r>
            </w:hyperlink>
          </w:p>
          <w:p w14:paraId="52A99F5F" w14:textId="25119238" w:rsidR="008B1376" w:rsidRPr="008B1376" w:rsidRDefault="008B1376" w:rsidP="008B1376">
            <w:pPr>
              <w:spacing w:line="276" w:lineRule="auto"/>
              <w:rPr>
                <w:rFonts w:asciiTheme="minorBidi" w:hAnsiTheme="minorBidi"/>
                <w:sz w:val="8"/>
                <w:szCs w:val="8"/>
              </w:rPr>
            </w:pPr>
          </w:p>
        </w:tc>
      </w:tr>
      <w:tr w:rsidR="00375DE3" w:rsidRPr="00E41A12" w14:paraId="30198F23" w14:textId="77777777" w:rsidTr="00AB68E6">
        <w:trPr>
          <w:trHeight w:val="687"/>
        </w:trPr>
        <w:tc>
          <w:tcPr>
            <w:tcW w:w="1980" w:type="dxa"/>
            <w:shd w:val="clear" w:color="auto" w:fill="003865"/>
          </w:tcPr>
          <w:p w14:paraId="47C9804D" w14:textId="7E80D644" w:rsidR="00375DE3" w:rsidRPr="00475772" w:rsidRDefault="00375DE3" w:rsidP="00375DE3">
            <w:pPr>
              <w:jc w:val="center"/>
              <w:rPr>
                <w:rFonts w:asciiTheme="minorBidi" w:hAnsiTheme="minorBidi"/>
                <w:b/>
                <w:bCs/>
                <w:color w:val="FFFFFF" w:themeColor="background1"/>
                <w:sz w:val="22"/>
                <w:szCs w:val="22"/>
              </w:rPr>
            </w:pPr>
            <w:r w:rsidRPr="00475772">
              <w:rPr>
                <w:rFonts w:asciiTheme="minorBidi" w:hAnsiTheme="minorBidi"/>
                <w:b/>
                <w:bCs/>
                <w:sz w:val="22"/>
                <w:szCs w:val="22"/>
              </w:rPr>
              <w:t>5. Religion and Belief</w:t>
            </w:r>
          </w:p>
        </w:tc>
        <w:tc>
          <w:tcPr>
            <w:tcW w:w="8724" w:type="dxa"/>
          </w:tcPr>
          <w:p w14:paraId="184BD43B" w14:textId="5B60F4A2" w:rsidR="00375DE3" w:rsidRPr="00D62C9B" w:rsidRDefault="00375DE3" w:rsidP="00375DE3">
            <w:pPr>
              <w:rPr>
                <w:rFonts w:asciiTheme="minorBidi" w:hAnsiTheme="minorBidi"/>
                <w:sz w:val="22"/>
                <w:szCs w:val="22"/>
              </w:rPr>
            </w:pPr>
            <w:r w:rsidRPr="00FB2D30">
              <w:rPr>
                <w:rFonts w:asciiTheme="minorBidi" w:hAnsiTheme="minorBidi"/>
                <w:b/>
                <w:bCs/>
                <w:sz w:val="22"/>
                <w:szCs w:val="22"/>
              </w:rPr>
              <w:t>5.1</w:t>
            </w:r>
            <w:r w:rsidR="00D62C9B" w:rsidRPr="00FB2D30">
              <w:rPr>
                <w:rFonts w:asciiTheme="minorBidi" w:hAnsiTheme="minorBidi"/>
                <w:b/>
                <w:bCs/>
                <w:sz w:val="22"/>
                <w:szCs w:val="22"/>
              </w:rPr>
              <w:t>:</w:t>
            </w:r>
            <w:r w:rsidRPr="00D62C9B">
              <w:rPr>
                <w:rFonts w:asciiTheme="minorBidi" w:hAnsiTheme="minorBidi"/>
                <w:sz w:val="22"/>
                <w:szCs w:val="22"/>
              </w:rPr>
              <w:t xml:space="preserve"> Students and staff report that they have confidence in institutional report</w:t>
            </w:r>
            <w:r w:rsidR="00B838A6">
              <w:rPr>
                <w:rFonts w:asciiTheme="minorBidi" w:hAnsiTheme="minorBidi"/>
                <w:sz w:val="22"/>
                <w:szCs w:val="22"/>
              </w:rPr>
              <w:t>ing</w:t>
            </w:r>
            <w:r w:rsidRPr="00D62C9B">
              <w:rPr>
                <w:rFonts w:asciiTheme="minorBidi" w:hAnsiTheme="minorBidi"/>
                <w:sz w:val="22"/>
                <w:szCs w:val="22"/>
              </w:rPr>
              <w:t xml:space="preserve"> and support mechanisms because they are fit for purpose.</w:t>
            </w:r>
          </w:p>
        </w:tc>
      </w:tr>
      <w:tr w:rsidR="00375DE3" w:rsidRPr="00E41A12" w14:paraId="0E1E2F94" w14:textId="77777777" w:rsidTr="00EC04B3">
        <w:trPr>
          <w:trHeight w:val="687"/>
        </w:trPr>
        <w:tc>
          <w:tcPr>
            <w:tcW w:w="10704" w:type="dxa"/>
            <w:gridSpan w:val="2"/>
          </w:tcPr>
          <w:p w14:paraId="72C1C136" w14:textId="477CD837" w:rsidR="00375DE3" w:rsidRPr="005E63DD" w:rsidRDefault="00515D89" w:rsidP="008B1376">
            <w:pPr>
              <w:spacing w:line="276" w:lineRule="auto"/>
              <w:rPr>
                <w:rFonts w:asciiTheme="minorBidi" w:hAnsiTheme="minorBidi"/>
                <w:sz w:val="22"/>
                <w:szCs w:val="22"/>
                <w:highlight w:val="yellow"/>
              </w:rPr>
            </w:pPr>
            <w:r w:rsidRPr="005E63DD">
              <w:rPr>
                <w:rFonts w:asciiTheme="minorBidi" w:hAnsiTheme="minorBidi"/>
                <w:b/>
                <w:bCs/>
                <w:sz w:val="22"/>
                <w:szCs w:val="22"/>
              </w:rPr>
              <w:t>Response</w:t>
            </w:r>
            <w:r w:rsidR="00464E37" w:rsidRPr="005E63DD">
              <w:rPr>
                <w:rFonts w:asciiTheme="minorBidi" w:hAnsiTheme="minorBidi"/>
                <w:b/>
                <w:bCs/>
                <w:sz w:val="22"/>
                <w:szCs w:val="22"/>
              </w:rPr>
              <w:t>:</w:t>
            </w:r>
            <w:r w:rsidRPr="005E63DD">
              <w:rPr>
                <w:rFonts w:asciiTheme="minorBidi" w:hAnsiTheme="minorBidi"/>
                <w:b/>
                <w:bCs/>
                <w:sz w:val="22"/>
                <w:szCs w:val="22"/>
              </w:rPr>
              <w:t xml:space="preserve"> </w:t>
            </w:r>
            <w:r w:rsidR="00842C94">
              <w:rPr>
                <w:rFonts w:asciiTheme="minorBidi" w:hAnsiTheme="minorBidi"/>
                <w:sz w:val="22"/>
                <w:szCs w:val="22"/>
              </w:rPr>
              <w:t xml:space="preserve">Analysis of staff and student online reporting tools shows that Religion and Belief is </w:t>
            </w:r>
            <w:r w:rsidR="008F41EB">
              <w:rPr>
                <w:rFonts w:asciiTheme="minorBidi" w:hAnsiTheme="minorBidi"/>
                <w:sz w:val="22"/>
                <w:szCs w:val="22"/>
              </w:rPr>
              <w:t>infrequently cited as a targeting factor for bullying/harassment. This has increased</w:t>
            </w:r>
            <w:r w:rsidR="000C1497">
              <w:rPr>
                <w:rFonts w:asciiTheme="minorBidi" w:hAnsiTheme="minorBidi"/>
                <w:sz w:val="22"/>
                <w:szCs w:val="22"/>
              </w:rPr>
              <w:t xml:space="preserve"> for students</w:t>
            </w:r>
            <w:r w:rsidR="003A14D7">
              <w:rPr>
                <w:rFonts w:asciiTheme="minorBidi" w:hAnsiTheme="minorBidi"/>
                <w:sz w:val="22"/>
                <w:szCs w:val="22"/>
              </w:rPr>
              <w:t>,</w:t>
            </w:r>
            <w:r w:rsidR="008F41EB">
              <w:rPr>
                <w:rFonts w:asciiTheme="minorBidi" w:hAnsiTheme="minorBidi"/>
                <w:sz w:val="22"/>
                <w:szCs w:val="22"/>
              </w:rPr>
              <w:t xml:space="preserve"> though, since 2023. We will </w:t>
            </w:r>
            <w:r w:rsidR="0049626F">
              <w:rPr>
                <w:rFonts w:asciiTheme="minorBidi" w:hAnsiTheme="minorBidi"/>
                <w:sz w:val="22"/>
                <w:szCs w:val="22"/>
              </w:rPr>
              <w:t xml:space="preserve">ensure colleagues and students are supported and empowered to report any experiences and will </w:t>
            </w:r>
            <w:r w:rsidR="00C9433B">
              <w:rPr>
                <w:rFonts w:asciiTheme="minorBidi" w:hAnsiTheme="minorBidi"/>
                <w:sz w:val="22"/>
                <w:szCs w:val="22"/>
              </w:rPr>
              <w:t xml:space="preserve">assess the need </w:t>
            </w:r>
            <w:r w:rsidR="00E31FB8">
              <w:rPr>
                <w:rFonts w:asciiTheme="minorBidi" w:hAnsiTheme="minorBidi"/>
                <w:sz w:val="22"/>
                <w:szCs w:val="22"/>
              </w:rPr>
              <w:t>for</w:t>
            </w:r>
            <w:r w:rsidR="00C9433B">
              <w:rPr>
                <w:rFonts w:asciiTheme="minorBidi" w:hAnsiTheme="minorBidi"/>
                <w:sz w:val="22"/>
                <w:szCs w:val="22"/>
              </w:rPr>
              <w:t xml:space="preserve"> refreshed training within our UofG community</w:t>
            </w:r>
            <w:r w:rsidR="00EB16ED">
              <w:rPr>
                <w:rFonts w:asciiTheme="minorBidi" w:hAnsiTheme="minorBidi"/>
                <w:sz w:val="22"/>
                <w:szCs w:val="22"/>
              </w:rPr>
              <w:t>, particularly</w:t>
            </w:r>
            <w:r w:rsidR="00C9433B">
              <w:rPr>
                <w:rFonts w:asciiTheme="minorBidi" w:hAnsiTheme="minorBidi"/>
                <w:sz w:val="22"/>
                <w:szCs w:val="22"/>
              </w:rPr>
              <w:t xml:space="preserve"> </w:t>
            </w:r>
            <w:r w:rsidR="00E31FB8">
              <w:rPr>
                <w:rFonts w:asciiTheme="minorBidi" w:hAnsiTheme="minorBidi"/>
                <w:sz w:val="22"/>
                <w:szCs w:val="22"/>
              </w:rPr>
              <w:t>on Antisemitism and Islamophobia</w:t>
            </w:r>
            <w:r w:rsidR="00EB16ED">
              <w:rPr>
                <w:rFonts w:asciiTheme="minorBidi" w:hAnsiTheme="minorBidi"/>
                <w:sz w:val="22"/>
                <w:szCs w:val="22"/>
              </w:rPr>
              <w:t xml:space="preserve"> as part of </w:t>
            </w:r>
            <w:hyperlink w:anchor="_4._Cultivate_a" w:history="1">
              <w:r w:rsidR="00EB16ED" w:rsidRPr="00EB16ED">
                <w:rPr>
                  <w:rStyle w:val="Hyperlink"/>
                  <w:rFonts w:asciiTheme="minorBidi" w:hAnsiTheme="minorBidi"/>
                  <w:b/>
                  <w:bCs/>
                  <w:sz w:val="22"/>
                  <w:szCs w:val="22"/>
                </w:rPr>
                <w:t>Equality Outcome 4.</w:t>
              </w:r>
            </w:hyperlink>
            <w:r w:rsidR="00EB16ED">
              <w:rPr>
                <w:rFonts w:asciiTheme="minorBidi" w:hAnsiTheme="minorBidi"/>
                <w:sz w:val="22"/>
                <w:szCs w:val="22"/>
              </w:rPr>
              <w:t xml:space="preserve"> </w:t>
            </w:r>
          </w:p>
        </w:tc>
      </w:tr>
      <w:tr w:rsidR="00375DE3" w:rsidRPr="00E41A12" w14:paraId="3E18EFBA" w14:textId="77777777" w:rsidTr="00AB68E6">
        <w:trPr>
          <w:trHeight w:val="793"/>
        </w:trPr>
        <w:tc>
          <w:tcPr>
            <w:tcW w:w="1980" w:type="dxa"/>
            <w:shd w:val="clear" w:color="auto" w:fill="003865"/>
          </w:tcPr>
          <w:p w14:paraId="2F022BE6" w14:textId="77777777" w:rsidR="00220E2E" w:rsidRDefault="00220E2E" w:rsidP="00220E2E">
            <w:pPr>
              <w:jc w:val="center"/>
              <w:rPr>
                <w:rFonts w:asciiTheme="minorBidi" w:hAnsiTheme="minorBidi"/>
                <w:b/>
                <w:bCs/>
                <w:sz w:val="22"/>
                <w:szCs w:val="22"/>
              </w:rPr>
            </w:pPr>
          </w:p>
          <w:p w14:paraId="199CBAAB" w14:textId="77777777" w:rsidR="00220E2E" w:rsidRDefault="00220E2E" w:rsidP="00220E2E">
            <w:pPr>
              <w:jc w:val="center"/>
              <w:rPr>
                <w:rFonts w:asciiTheme="minorBidi" w:hAnsiTheme="minorBidi"/>
                <w:b/>
                <w:bCs/>
                <w:sz w:val="22"/>
                <w:szCs w:val="22"/>
              </w:rPr>
            </w:pPr>
          </w:p>
          <w:p w14:paraId="3F5D6048" w14:textId="77777777" w:rsidR="00220E2E" w:rsidRDefault="00220E2E" w:rsidP="00220E2E">
            <w:pPr>
              <w:jc w:val="center"/>
              <w:rPr>
                <w:rFonts w:asciiTheme="minorBidi" w:hAnsiTheme="minorBidi"/>
                <w:b/>
                <w:bCs/>
                <w:sz w:val="22"/>
                <w:szCs w:val="22"/>
              </w:rPr>
            </w:pPr>
          </w:p>
          <w:p w14:paraId="45EAC6AC" w14:textId="77777777" w:rsidR="00220E2E" w:rsidRDefault="00220E2E" w:rsidP="00220E2E">
            <w:pPr>
              <w:jc w:val="center"/>
              <w:rPr>
                <w:rFonts w:asciiTheme="minorBidi" w:hAnsiTheme="minorBidi"/>
                <w:b/>
                <w:bCs/>
                <w:sz w:val="22"/>
                <w:szCs w:val="22"/>
              </w:rPr>
            </w:pPr>
          </w:p>
          <w:p w14:paraId="12CFBB22" w14:textId="7C4388FA" w:rsidR="00375DE3" w:rsidRPr="00220E2E" w:rsidRDefault="00375DE3" w:rsidP="00220E2E">
            <w:pPr>
              <w:jc w:val="center"/>
              <w:rPr>
                <w:rFonts w:asciiTheme="minorBidi" w:hAnsiTheme="minorBidi"/>
                <w:b/>
                <w:bCs/>
                <w:sz w:val="22"/>
                <w:szCs w:val="22"/>
              </w:rPr>
            </w:pPr>
            <w:r w:rsidRPr="00220E2E">
              <w:rPr>
                <w:rFonts w:asciiTheme="minorBidi" w:hAnsiTheme="minorBidi"/>
                <w:b/>
                <w:bCs/>
                <w:sz w:val="22"/>
                <w:szCs w:val="22"/>
              </w:rPr>
              <w:t>6. Sex</w:t>
            </w:r>
          </w:p>
        </w:tc>
        <w:tc>
          <w:tcPr>
            <w:tcW w:w="8724" w:type="dxa"/>
          </w:tcPr>
          <w:p w14:paraId="581807AD" w14:textId="3B96D02C" w:rsidR="00375DE3" w:rsidRPr="00D62C9B" w:rsidRDefault="00C85698" w:rsidP="00375DE3">
            <w:pPr>
              <w:rPr>
                <w:rFonts w:asciiTheme="minorBidi" w:hAnsiTheme="minorBidi"/>
                <w:sz w:val="22"/>
                <w:szCs w:val="22"/>
              </w:rPr>
            </w:pPr>
            <w:r w:rsidRPr="00FB2D30">
              <w:rPr>
                <w:rFonts w:asciiTheme="minorBidi" w:hAnsiTheme="minorBidi"/>
                <w:b/>
                <w:bCs/>
                <w:sz w:val="22"/>
                <w:szCs w:val="22"/>
              </w:rPr>
              <w:t>6.1</w:t>
            </w:r>
            <w:r w:rsidR="00D62C9B" w:rsidRPr="00FB2D30">
              <w:rPr>
                <w:rFonts w:asciiTheme="minorBidi" w:hAnsiTheme="minorBidi"/>
                <w:b/>
                <w:bCs/>
                <w:sz w:val="22"/>
                <w:szCs w:val="22"/>
              </w:rPr>
              <w:t>:</w:t>
            </w:r>
            <w:r w:rsidRPr="00D62C9B">
              <w:rPr>
                <w:rFonts w:asciiTheme="minorBidi" w:hAnsiTheme="minorBidi"/>
                <w:sz w:val="22"/>
                <w:szCs w:val="22"/>
              </w:rPr>
              <w:t xml:space="preserve"> </w:t>
            </w:r>
            <w:r w:rsidR="00375DE3" w:rsidRPr="00D62C9B">
              <w:rPr>
                <w:rFonts w:asciiTheme="minorBidi" w:hAnsiTheme="minorBidi"/>
                <w:sz w:val="22"/>
                <w:szCs w:val="22"/>
              </w:rPr>
              <w:t>Staff and students know how to access support about violence, harassment and abuse, report their experience and feel properly supported in doing so because the services are fit for purpose.</w:t>
            </w:r>
          </w:p>
          <w:p w14:paraId="2CEB4BB2" w14:textId="77777777" w:rsidR="00375DE3" w:rsidRPr="00A42CBE" w:rsidRDefault="00375DE3" w:rsidP="00375DE3">
            <w:pPr>
              <w:rPr>
                <w:rFonts w:asciiTheme="minorBidi" w:hAnsiTheme="minorBidi"/>
                <w:sz w:val="12"/>
                <w:szCs w:val="12"/>
              </w:rPr>
            </w:pPr>
          </w:p>
          <w:p w14:paraId="59C3A8F4" w14:textId="7B6C8B9F" w:rsidR="00375DE3" w:rsidRPr="00D62C9B" w:rsidRDefault="00C85698" w:rsidP="00375DE3">
            <w:pPr>
              <w:rPr>
                <w:rFonts w:asciiTheme="minorBidi" w:hAnsiTheme="minorBidi"/>
                <w:sz w:val="22"/>
                <w:szCs w:val="22"/>
              </w:rPr>
            </w:pPr>
            <w:r w:rsidRPr="00FB2D30">
              <w:rPr>
                <w:rFonts w:asciiTheme="minorBidi" w:hAnsiTheme="minorBidi"/>
                <w:b/>
                <w:bCs/>
                <w:sz w:val="22"/>
                <w:szCs w:val="22"/>
              </w:rPr>
              <w:t>6.2</w:t>
            </w:r>
            <w:r w:rsidR="00D62C9B" w:rsidRPr="00FB2D30">
              <w:rPr>
                <w:rFonts w:asciiTheme="minorBidi" w:hAnsiTheme="minorBidi"/>
                <w:b/>
                <w:bCs/>
                <w:sz w:val="22"/>
                <w:szCs w:val="22"/>
              </w:rPr>
              <w:t>:</w:t>
            </w:r>
            <w:r w:rsidRPr="00D62C9B">
              <w:rPr>
                <w:rFonts w:asciiTheme="minorBidi" w:hAnsiTheme="minorBidi"/>
                <w:sz w:val="22"/>
                <w:szCs w:val="22"/>
              </w:rPr>
              <w:t xml:space="preserve"> </w:t>
            </w:r>
            <w:r w:rsidR="00375DE3" w:rsidRPr="00D62C9B">
              <w:rPr>
                <w:rFonts w:asciiTheme="minorBidi" w:hAnsiTheme="minorBidi"/>
                <w:sz w:val="22"/>
                <w:szCs w:val="22"/>
              </w:rPr>
              <w:t>Institutions can evidence approaches that prevent and respond to violence, harassment and abuse.</w:t>
            </w:r>
          </w:p>
          <w:p w14:paraId="1360FD8E" w14:textId="77777777" w:rsidR="00C85698" w:rsidRPr="00A42CBE" w:rsidRDefault="00C85698" w:rsidP="00375DE3">
            <w:pPr>
              <w:rPr>
                <w:rFonts w:asciiTheme="minorBidi" w:hAnsiTheme="minorBidi"/>
                <w:sz w:val="12"/>
                <w:szCs w:val="12"/>
              </w:rPr>
            </w:pPr>
          </w:p>
          <w:p w14:paraId="1C7F08C5" w14:textId="443A0658" w:rsidR="00C85698" w:rsidRPr="00D62C9B" w:rsidRDefault="00C85698" w:rsidP="00D62C9B">
            <w:pPr>
              <w:rPr>
                <w:rFonts w:asciiTheme="minorBidi" w:hAnsiTheme="minorBidi"/>
                <w:sz w:val="22"/>
                <w:szCs w:val="22"/>
              </w:rPr>
            </w:pPr>
            <w:r w:rsidRPr="00FB2D30">
              <w:rPr>
                <w:rFonts w:asciiTheme="minorBidi" w:hAnsiTheme="minorBidi"/>
                <w:b/>
                <w:bCs/>
                <w:sz w:val="22"/>
                <w:szCs w:val="22"/>
              </w:rPr>
              <w:t>6.3</w:t>
            </w:r>
            <w:r w:rsidR="00D62C9B" w:rsidRPr="00FB2D30">
              <w:rPr>
                <w:rFonts w:asciiTheme="minorBidi" w:hAnsiTheme="minorBidi"/>
                <w:b/>
                <w:bCs/>
                <w:sz w:val="22"/>
                <w:szCs w:val="22"/>
              </w:rPr>
              <w:t>:</w:t>
            </w:r>
            <w:r w:rsidRPr="00D62C9B">
              <w:rPr>
                <w:rFonts w:asciiTheme="minorBidi" w:hAnsiTheme="minorBidi"/>
                <w:sz w:val="22"/>
                <w:szCs w:val="22"/>
              </w:rPr>
              <w:t xml:space="preserve"> Men (staff and students) know how to access mental health support (recognising intersectionality within that group).</w:t>
            </w:r>
          </w:p>
          <w:p w14:paraId="423588CF" w14:textId="77777777" w:rsidR="00375DE3" w:rsidRPr="00A42CBE" w:rsidRDefault="00375DE3" w:rsidP="00375DE3">
            <w:pPr>
              <w:rPr>
                <w:rFonts w:asciiTheme="minorBidi" w:hAnsiTheme="minorBidi"/>
                <w:sz w:val="12"/>
                <w:szCs w:val="12"/>
              </w:rPr>
            </w:pPr>
          </w:p>
          <w:p w14:paraId="464AC94A" w14:textId="4F4E1031" w:rsidR="00375DE3" w:rsidRPr="00D62C9B" w:rsidRDefault="00C85698" w:rsidP="00375DE3">
            <w:pPr>
              <w:rPr>
                <w:rFonts w:asciiTheme="minorBidi" w:hAnsiTheme="minorBidi"/>
                <w:sz w:val="22"/>
                <w:szCs w:val="22"/>
              </w:rPr>
            </w:pPr>
            <w:r w:rsidRPr="00FB2D30">
              <w:rPr>
                <w:rFonts w:asciiTheme="minorBidi" w:hAnsiTheme="minorBidi"/>
                <w:b/>
                <w:bCs/>
                <w:sz w:val="22"/>
                <w:szCs w:val="22"/>
              </w:rPr>
              <w:t>6.4</w:t>
            </w:r>
            <w:r w:rsidR="00D62C9B" w:rsidRPr="00FB2D30">
              <w:rPr>
                <w:rFonts w:asciiTheme="minorBidi" w:hAnsiTheme="minorBidi"/>
                <w:b/>
                <w:bCs/>
                <w:sz w:val="22"/>
                <w:szCs w:val="22"/>
              </w:rPr>
              <w:t>:</w:t>
            </w:r>
            <w:r w:rsidR="00D62C9B" w:rsidRPr="00D62C9B">
              <w:rPr>
                <w:rFonts w:asciiTheme="minorBidi" w:hAnsiTheme="minorBidi"/>
                <w:sz w:val="22"/>
                <w:szCs w:val="22"/>
              </w:rPr>
              <w:t xml:space="preserve"> </w:t>
            </w:r>
            <w:r w:rsidR="00375DE3" w:rsidRPr="00D62C9B">
              <w:rPr>
                <w:rFonts w:asciiTheme="minorBidi" w:hAnsiTheme="minorBidi"/>
                <w:sz w:val="22"/>
                <w:szCs w:val="22"/>
              </w:rPr>
              <w:t>Institutions will have regard to significant imbalances on courses and take action to address it.</w:t>
            </w:r>
          </w:p>
        </w:tc>
      </w:tr>
      <w:tr w:rsidR="00375DE3" w:rsidRPr="00E41A12" w14:paraId="2077C1D8" w14:textId="77777777" w:rsidTr="009339B6">
        <w:trPr>
          <w:trHeight w:val="793"/>
        </w:trPr>
        <w:tc>
          <w:tcPr>
            <w:tcW w:w="10704" w:type="dxa"/>
            <w:gridSpan w:val="2"/>
          </w:tcPr>
          <w:p w14:paraId="0024D7CF" w14:textId="7A3D2A5E" w:rsidR="004D4396" w:rsidRPr="00B2102D" w:rsidRDefault="00C46B47" w:rsidP="00B2102D">
            <w:pPr>
              <w:spacing w:line="276" w:lineRule="auto"/>
              <w:rPr>
                <w:rFonts w:asciiTheme="minorBidi" w:hAnsiTheme="minorBidi"/>
                <w:sz w:val="22"/>
                <w:szCs w:val="22"/>
              </w:rPr>
            </w:pPr>
            <w:r w:rsidRPr="005E7814">
              <w:rPr>
                <w:rFonts w:asciiTheme="minorBidi" w:hAnsiTheme="minorBidi"/>
                <w:b/>
                <w:bCs/>
                <w:sz w:val="22"/>
                <w:szCs w:val="22"/>
              </w:rPr>
              <w:t>Response:</w:t>
            </w:r>
            <w:r w:rsidRPr="005E7814">
              <w:rPr>
                <w:rFonts w:asciiTheme="minorBidi" w:hAnsiTheme="minorBidi"/>
                <w:sz w:val="22"/>
                <w:szCs w:val="22"/>
              </w:rPr>
              <w:t xml:space="preserve"> </w:t>
            </w:r>
            <w:r w:rsidR="00FA2442">
              <w:rPr>
                <w:rFonts w:asciiTheme="minorBidi" w:hAnsiTheme="minorBidi"/>
                <w:sz w:val="22"/>
                <w:szCs w:val="22"/>
              </w:rPr>
              <w:t xml:space="preserve"> </w:t>
            </w:r>
            <w:r w:rsidR="00166180">
              <w:rPr>
                <w:rFonts w:asciiTheme="minorBidi" w:hAnsiTheme="minorBidi"/>
                <w:sz w:val="22"/>
                <w:szCs w:val="22"/>
              </w:rPr>
              <w:t xml:space="preserve">Our work to tackle GBV is enacted through the recommendations from the Morag Ross KC Report and </w:t>
            </w:r>
            <w:r w:rsidR="006B7495">
              <w:rPr>
                <w:rFonts w:asciiTheme="minorBidi" w:hAnsiTheme="minorBidi"/>
                <w:sz w:val="22"/>
                <w:szCs w:val="22"/>
              </w:rPr>
              <w:t xml:space="preserve">related GBV Action Plan. </w:t>
            </w:r>
            <w:r w:rsidR="00A00FF6">
              <w:rPr>
                <w:rFonts w:asciiTheme="minorBidi" w:hAnsiTheme="minorBidi"/>
                <w:sz w:val="22"/>
                <w:szCs w:val="22"/>
              </w:rPr>
              <w:t>Male engagement with mental health support is lower for staff and students and is a known societal issue. Support for initiatives such as Andy’s Man Club is in place for staff as well as</w:t>
            </w:r>
            <w:r w:rsidR="004709DA">
              <w:rPr>
                <w:rFonts w:asciiTheme="minorBidi" w:hAnsiTheme="minorBidi"/>
                <w:sz w:val="22"/>
                <w:szCs w:val="22"/>
              </w:rPr>
              <w:t xml:space="preserve"> a Men’s Health Peer Support Group</w:t>
            </w:r>
            <w:r w:rsidR="00A00FF6">
              <w:rPr>
                <w:rFonts w:asciiTheme="minorBidi" w:hAnsiTheme="minorBidi"/>
                <w:sz w:val="22"/>
                <w:szCs w:val="22"/>
              </w:rPr>
              <w:t xml:space="preserve"> for students</w:t>
            </w:r>
            <w:r w:rsidR="004709DA">
              <w:rPr>
                <w:rFonts w:asciiTheme="minorBidi" w:hAnsiTheme="minorBidi"/>
                <w:sz w:val="22"/>
                <w:szCs w:val="22"/>
              </w:rPr>
              <w:t>, which receives supervision support from the University’s CAP team</w:t>
            </w:r>
            <w:r w:rsidR="00A00FF6">
              <w:rPr>
                <w:rFonts w:asciiTheme="minorBidi" w:hAnsiTheme="minorBidi"/>
                <w:sz w:val="22"/>
                <w:szCs w:val="22"/>
              </w:rPr>
              <w:t>.</w:t>
            </w:r>
            <w:r w:rsidR="00B2102D">
              <w:rPr>
                <w:rFonts w:asciiTheme="minorBidi" w:hAnsiTheme="minorBidi"/>
                <w:sz w:val="22"/>
                <w:szCs w:val="22"/>
              </w:rPr>
              <w:t xml:space="preserve"> </w:t>
            </w:r>
            <w:r w:rsidR="00E30CD3" w:rsidRPr="005E7814">
              <w:rPr>
                <w:rFonts w:asciiTheme="minorBidi" w:hAnsiTheme="minorBidi"/>
                <w:sz w:val="22"/>
                <w:szCs w:val="22"/>
              </w:rPr>
              <w:t>Athena Swan</w:t>
            </w:r>
            <w:r w:rsidR="005E7814">
              <w:rPr>
                <w:rFonts w:asciiTheme="minorBidi" w:hAnsiTheme="minorBidi"/>
                <w:sz w:val="22"/>
                <w:szCs w:val="22"/>
              </w:rPr>
              <w:t xml:space="preserve"> is well embedded across the University</w:t>
            </w:r>
            <w:r w:rsidR="00E84079">
              <w:rPr>
                <w:rFonts w:asciiTheme="minorBidi" w:hAnsiTheme="minorBidi"/>
                <w:sz w:val="22"/>
                <w:szCs w:val="22"/>
              </w:rPr>
              <w:t xml:space="preserve"> and tackles gender imbalances on courses at School-level. We will continue to drive the work in these areas relating to Sex under </w:t>
            </w:r>
            <w:hyperlink w:anchor="_1._Embed_a" w:history="1">
              <w:r w:rsidR="00E84079" w:rsidRPr="00A42CBE">
                <w:rPr>
                  <w:rStyle w:val="Hyperlink"/>
                  <w:rFonts w:asciiTheme="minorBidi" w:hAnsiTheme="minorBidi"/>
                  <w:b/>
                  <w:bCs/>
                  <w:sz w:val="22"/>
                  <w:szCs w:val="22"/>
                </w:rPr>
                <w:t>Equality Outcome</w:t>
              </w:r>
              <w:r w:rsidR="00971232" w:rsidRPr="00A42CBE">
                <w:rPr>
                  <w:rStyle w:val="Hyperlink"/>
                  <w:rFonts w:asciiTheme="minorBidi" w:hAnsiTheme="minorBidi"/>
                  <w:b/>
                  <w:bCs/>
                  <w:sz w:val="22"/>
                  <w:szCs w:val="22"/>
                </w:rPr>
                <w:t xml:space="preserve"> 1</w:t>
              </w:r>
            </w:hyperlink>
            <w:r w:rsidR="00971232">
              <w:rPr>
                <w:rFonts w:asciiTheme="minorBidi" w:hAnsiTheme="minorBidi"/>
                <w:sz w:val="22"/>
                <w:szCs w:val="22"/>
              </w:rPr>
              <w:t xml:space="preserve"> and </w:t>
            </w:r>
            <w:hyperlink w:anchor="_3._Build_on" w:history="1">
              <w:r w:rsidR="00971232" w:rsidRPr="00A42CBE">
                <w:rPr>
                  <w:rStyle w:val="Hyperlink"/>
                  <w:rFonts w:asciiTheme="minorBidi" w:hAnsiTheme="minorBidi"/>
                  <w:b/>
                  <w:bCs/>
                  <w:sz w:val="22"/>
                  <w:szCs w:val="22"/>
                </w:rPr>
                <w:t>Equality Outcome 3</w:t>
              </w:r>
            </w:hyperlink>
            <w:r w:rsidR="00971232">
              <w:rPr>
                <w:rFonts w:asciiTheme="minorBidi" w:hAnsiTheme="minorBidi"/>
                <w:sz w:val="22"/>
                <w:szCs w:val="22"/>
              </w:rPr>
              <w:t>.</w:t>
            </w:r>
          </w:p>
        </w:tc>
      </w:tr>
      <w:tr w:rsidR="00375DE3" w:rsidRPr="00E41A12" w14:paraId="1E57F96F" w14:textId="77777777" w:rsidTr="00EB16ED">
        <w:trPr>
          <w:trHeight w:val="615"/>
        </w:trPr>
        <w:tc>
          <w:tcPr>
            <w:tcW w:w="1980" w:type="dxa"/>
            <w:shd w:val="clear" w:color="auto" w:fill="003865"/>
          </w:tcPr>
          <w:p w14:paraId="5DB19639" w14:textId="7FDDD96D" w:rsidR="00375DE3" w:rsidRPr="00710C9B" w:rsidRDefault="00D62C9B" w:rsidP="00375DE3">
            <w:pPr>
              <w:jc w:val="center"/>
              <w:rPr>
                <w:rFonts w:asciiTheme="minorBidi" w:hAnsiTheme="minorBidi"/>
                <w:b/>
                <w:bCs/>
                <w:sz w:val="22"/>
                <w:szCs w:val="22"/>
              </w:rPr>
            </w:pPr>
            <w:r w:rsidRPr="00710C9B">
              <w:rPr>
                <w:rFonts w:asciiTheme="minorBidi" w:hAnsiTheme="minorBidi"/>
                <w:b/>
                <w:bCs/>
                <w:sz w:val="22"/>
                <w:szCs w:val="22"/>
              </w:rPr>
              <w:t>7</w:t>
            </w:r>
            <w:r w:rsidR="00375DE3" w:rsidRPr="00710C9B">
              <w:rPr>
                <w:rFonts w:asciiTheme="minorBidi" w:hAnsiTheme="minorBidi"/>
                <w:b/>
                <w:bCs/>
                <w:sz w:val="22"/>
                <w:szCs w:val="22"/>
              </w:rPr>
              <w:t>. Sexual Orientation</w:t>
            </w:r>
          </w:p>
        </w:tc>
        <w:tc>
          <w:tcPr>
            <w:tcW w:w="8724" w:type="dxa"/>
          </w:tcPr>
          <w:p w14:paraId="3AF684F8" w14:textId="51915BF7" w:rsidR="00375DE3" w:rsidRPr="00E41A12" w:rsidRDefault="00D62C9B" w:rsidP="00375DE3">
            <w:pPr>
              <w:rPr>
                <w:rFonts w:asciiTheme="minorBidi" w:hAnsiTheme="minorBidi"/>
                <w:sz w:val="22"/>
                <w:szCs w:val="22"/>
                <w:highlight w:val="yellow"/>
              </w:rPr>
            </w:pPr>
            <w:r w:rsidRPr="00FB2D30">
              <w:rPr>
                <w:rFonts w:asciiTheme="minorBidi" w:hAnsiTheme="minorBidi"/>
                <w:b/>
                <w:bCs/>
                <w:sz w:val="22"/>
                <w:szCs w:val="22"/>
              </w:rPr>
              <w:t>7</w:t>
            </w:r>
            <w:r w:rsidR="00375DE3" w:rsidRPr="00FB2D30">
              <w:rPr>
                <w:rFonts w:asciiTheme="minorBidi" w:hAnsiTheme="minorBidi"/>
                <w:b/>
                <w:bCs/>
                <w:sz w:val="22"/>
                <w:szCs w:val="22"/>
              </w:rPr>
              <w:t>.1</w:t>
            </w:r>
            <w:r w:rsidR="00FB2D30">
              <w:rPr>
                <w:rFonts w:asciiTheme="minorBidi" w:hAnsiTheme="minorBidi"/>
                <w:sz w:val="22"/>
                <w:szCs w:val="22"/>
              </w:rPr>
              <w:t>:</w:t>
            </w:r>
            <w:r w:rsidR="00375DE3" w:rsidRPr="00E41A12">
              <w:rPr>
                <w:rFonts w:asciiTheme="minorBidi" w:hAnsiTheme="minorBidi"/>
                <w:sz w:val="22"/>
                <w:szCs w:val="22"/>
              </w:rPr>
              <w:t xml:space="preserve"> Lesbian, Gay and Bisexual staff and students report that they feel safe being ‘out’ at university and college.</w:t>
            </w:r>
          </w:p>
        </w:tc>
      </w:tr>
      <w:tr w:rsidR="00375DE3" w:rsidRPr="00E41A12" w14:paraId="381AA014" w14:textId="77777777" w:rsidTr="00190439">
        <w:trPr>
          <w:trHeight w:val="1048"/>
        </w:trPr>
        <w:tc>
          <w:tcPr>
            <w:tcW w:w="10704" w:type="dxa"/>
            <w:gridSpan w:val="2"/>
          </w:tcPr>
          <w:p w14:paraId="5F68EC25" w14:textId="77777777" w:rsidR="00375DE3" w:rsidRPr="00710C9B" w:rsidRDefault="00826602" w:rsidP="00FA016D">
            <w:pPr>
              <w:spacing w:line="276" w:lineRule="auto"/>
              <w:rPr>
                <w:rFonts w:asciiTheme="minorBidi" w:hAnsiTheme="minorBidi"/>
                <w:sz w:val="22"/>
                <w:szCs w:val="22"/>
              </w:rPr>
            </w:pPr>
            <w:r w:rsidRPr="00710C9B">
              <w:rPr>
                <w:rFonts w:asciiTheme="minorBidi" w:hAnsiTheme="minorBidi"/>
                <w:b/>
                <w:bCs/>
                <w:sz w:val="22"/>
                <w:szCs w:val="22"/>
              </w:rPr>
              <w:t>Response</w:t>
            </w:r>
            <w:r w:rsidR="00D66366" w:rsidRPr="00710C9B">
              <w:rPr>
                <w:rFonts w:asciiTheme="minorBidi" w:hAnsiTheme="minorBidi"/>
                <w:b/>
                <w:bCs/>
                <w:sz w:val="22"/>
                <w:szCs w:val="22"/>
              </w:rPr>
              <w:t>:</w:t>
            </w:r>
            <w:r w:rsidR="00D66366" w:rsidRPr="00710C9B">
              <w:rPr>
                <w:rFonts w:asciiTheme="minorBidi" w:hAnsiTheme="minorBidi"/>
                <w:sz w:val="22"/>
                <w:szCs w:val="22"/>
              </w:rPr>
              <w:t xml:space="preserve"> See Response to NEO 3 above.</w:t>
            </w:r>
          </w:p>
          <w:p w14:paraId="368F7224" w14:textId="1ABE1525" w:rsidR="00D66366" w:rsidRPr="00710C9B" w:rsidRDefault="00D66366" w:rsidP="00FA016D">
            <w:pPr>
              <w:spacing w:line="276" w:lineRule="auto"/>
              <w:rPr>
                <w:rFonts w:asciiTheme="minorBidi" w:hAnsiTheme="minorBidi"/>
                <w:sz w:val="22"/>
                <w:szCs w:val="22"/>
              </w:rPr>
            </w:pPr>
            <w:r w:rsidRPr="00710C9B">
              <w:rPr>
                <w:rFonts w:asciiTheme="minorBidi" w:hAnsiTheme="minorBidi"/>
                <w:sz w:val="22"/>
                <w:szCs w:val="22"/>
              </w:rPr>
              <w:t xml:space="preserve">LGB and Trans staff and student experiences are of course distinct and unique to each individual. Our experience is that Trans rights and </w:t>
            </w:r>
            <w:r w:rsidR="00C24A4C" w:rsidRPr="00710C9B">
              <w:rPr>
                <w:rFonts w:asciiTheme="minorBidi" w:hAnsiTheme="minorBidi"/>
                <w:sz w:val="22"/>
                <w:szCs w:val="22"/>
              </w:rPr>
              <w:t>issues are routinely addressed and encompassed within the work of our LGBT+ Networks and Equality Group.</w:t>
            </w:r>
            <w:r w:rsidR="00710C9B" w:rsidRPr="00710C9B">
              <w:rPr>
                <w:rFonts w:asciiTheme="minorBidi" w:hAnsiTheme="minorBidi"/>
                <w:sz w:val="22"/>
                <w:szCs w:val="22"/>
              </w:rPr>
              <w:t xml:space="preserve"> Our activities to support colleagues who share the protected characteristic of Sexual Orientation</w:t>
            </w:r>
            <w:r w:rsidR="00710C9B">
              <w:rPr>
                <w:rFonts w:asciiTheme="minorBidi" w:hAnsiTheme="minorBidi"/>
                <w:sz w:val="22"/>
                <w:szCs w:val="22"/>
              </w:rPr>
              <w:t xml:space="preserve"> therefore aligns in a broad sense with those relating to Gender Reassignment</w:t>
            </w:r>
            <w:r w:rsidR="00710C9B" w:rsidRPr="00710C9B">
              <w:rPr>
                <w:rFonts w:asciiTheme="minorBidi" w:hAnsiTheme="minorBidi"/>
                <w:sz w:val="22"/>
                <w:szCs w:val="22"/>
              </w:rPr>
              <w:t xml:space="preserve"> </w:t>
            </w:r>
            <w:r w:rsidR="00476F01">
              <w:rPr>
                <w:rFonts w:asciiTheme="minorBidi" w:hAnsiTheme="minorBidi"/>
                <w:sz w:val="22"/>
                <w:szCs w:val="22"/>
              </w:rPr>
              <w:t xml:space="preserve">under </w:t>
            </w:r>
            <w:hyperlink w:anchor="_4._Cultivate_a" w:history="1">
              <w:r w:rsidR="00476F01" w:rsidRPr="00FF0286">
                <w:rPr>
                  <w:rStyle w:val="Hyperlink"/>
                  <w:rFonts w:asciiTheme="minorBidi" w:hAnsiTheme="minorBidi"/>
                  <w:b/>
                  <w:bCs/>
                  <w:sz w:val="22"/>
                  <w:szCs w:val="22"/>
                </w:rPr>
                <w:t>Equality Outcome 4.</w:t>
              </w:r>
            </w:hyperlink>
            <w:r w:rsidR="00476F01">
              <w:rPr>
                <w:rFonts w:asciiTheme="minorBidi" w:hAnsiTheme="minorBidi"/>
                <w:sz w:val="22"/>
                <w:szCs w:val="22"/>
              </w:rPr>
              <w:t xml:space="preserve"> </w:t>
            </w:r>
          </w:p>
        </w:tc>
      </w:tr>
    </w:tbl>
    <w:p w14:paraId="5B7A7B46" w14:textId="77777777" w:rsidR="00982AF2" w:rsidRDefault="00982AF2" w:rsidP="006F74EC">
      <w:pPr>
        <w:spacing w:line="259" w:lineRule="auto"/>
        <w:rPr>
          <w:rFonts w:asciiTheme="minorBidi" w:eastAsia="DengXian" w:hAnsiTheme="minorBidi"/>
          <w:kern w:val="0"/>
          <w14:ligatures w14:val="none"/>
        </w:rPr>
      </w:pPr>
    </w:p>
    <w:p w14:paraId="1BDE7FD3" w14:textId="77777777" w:rsidR="007515CF" w:rsidRPr="006F74EC" w:rsidRDefault="007515CF" w:rsidP="006F74EC">
      <w:pPr>
        <w:spacing w:line="259" w:lineRule="auto"/>
        <w:rPr>
          <w:rFonts w:asciiTheme="minorBidi" w:eastAsia="DengXian" w:hAnsiTheme="minorBidi"/>
          <w:kern w:val="0"/>
          <w14:ligatures w14:val="none"/>
        </w:rPr>
      </w:pPr>
    </w:p>
    <w:p w14:paraId="0BA4F5F0" w14:textId="59D50392" w:rsidR="004F156A" w:rsidRPr="0086340E" w:rsidRDefault="00160895" w:rsidP="00160895">
      <w:pPr>
        <w:pStyle w:val="Heading2"/>
        <w:rPr>
          <w:b/>
          <w:bCs/>
          <w:color w:val="0A2F41" w:themeColor="accent1" w:themeShade="80"/>
        </w:rPr>
      </w:pPr>
      <w:r w:rsidRPr="0086340E">
        <w:rPr>
          <w:b/>
          <w:bCs/>
          <w:color w:val="0A2F41" w:themeColor="accent1" w:themeShade="80"/>
        </w:rPr>
        <w:lastRenderedPageBreak/>
        <w:t>3.</w:t>
      </w:r>
      <w:r w:rsidR="004F156A" w:rsidRPr="0086340E">
        <w:rPr>
          <w:b/>
          <w:bCs/>
          <w:color w:val="0A2F41" w:themeColor="accent1" w:themeShade="80"/>
        </w:rPr>
        <w:t xml:space="preserve"> Equality Outcomes 202</w:t>
      </w:r>
      <w:r w:rsidR="00327A76">
        <w:rPr>
          <w:b/>
          <w:bCs/>
          <w:color w:val="0A2F41" w:themeColor="accent1" w:themeShade="80"/>
        </w:rPr>
        <w:t xml:space="preserve">5 – </w:t>
      </w:r>
      <w:r w:rsidR="004F156A" w:rsidRPr="0086340E">
        <w:rPr>
          <w:b/>
          <w:bCs/>
          <w:color w:val="0A2F41" w:themeColor="accent1" w:themeShade="80"/>
        </w:rPr>
        <w:t>202</w:t>
      </w:r>
      <w:r w:rsidR="00327A76">
        <w:rPr>
          <w:b/>
          <w:bCs/>
          <w:color w:val="0A2F41" w:themeColor="accent1" w:themeShade="80"/>
        </w:rPr>
        <w:t>9</w:t>
      </w:r>
    </w:p>
    <w:p w14:paraId="0E3C9C7F" w14:textId="403BB80D" w:rsidR="00617383" w:rsidRPr="003B02D4" w:rsidRDefault="004F156A" w:rsidP="0036787D">
      <w:pPr>
        <w:spacing w:line="259" w:lineRule="auto"/>
        <w:rPr>
          <w:rFonts w:asciiTheme="minorBidi" w:eastAsia="DengXian" w:hAnsiTheme="minorBidi"/>
          <w:kern w:val="0"/>
          <w:sz w:val="22"/>
          <w:szCs w:val="22"/>
          <w14:ligatures w14:val="none"/>
        </w:rPr>
      </w:pPr>
      <w:r w:rsidRPr="003B02D4">
        <w:rPr>
          <w:rFonts w:asciiTheme="minorBidi" w:eastAsia="DengXian" w:hAnsiTheme="minorBidi"/>
          <w:kern w:val="0"/>
          <w:sz w:val="22"/>
          <w:szCs w:val="22"/>
          <w14:ligatures w14:val="none"/>
        </w:rPr>
        <w:t>The table below sets out the University’s Equality Outcomes for 2025-2029.</w:t>
      </w:r>
      <w:r w:rsidR="009C199B">
        <w:rPr>
          <w:rFonts w:asciiTheme="minorBidi" w:eastAsia="DengXian" w:hAnsiTheme="minorBidi"/>
          <w:kern w:val="0"/>
          <w:sz w:val="22"/>
          <w:szCs w:val="22"/>
          <w14:ligatures w14:val="none"/>
        </w:rPr>
        <w:t xml:space="preserve"> These reflect ongoing work to tackle persistent inequalities</w:t>
      </w:r>
      <w:r w:rsidR="00CE6CC4">
        <w:rPr>
          <w:rFonts w:asciiTheme="minorBidi" w:eastAsia="DengXian" w:hAnsiTheme="minorBidi"/>
          <w:kern w:val="0"/>
          <w:sz w:val="22"/>
          <w:szCs w:val="22"/>
          <w14:ligatures w14:val="none"/>
        </w:rPr>
        <w:t>;</w:t>
      </w:r>
      <w:r w:rsidR="00A5037D">
        <w:rPr>
          <w:rFonts w:asciiTheme="minorBidi" w:eastAsia="DengXian" w:hAnsiTheme="minorBidi"/>
          <w:kern w:val="0"/>
          <w:sz w:val="22"/>
          <w:szCs w:val="22"/>
          <w14:ligatures w14:val="none"/>
        </w:rPr>
        <w:t xml:space="preserve"> are </w:t>
      </w:r>
      <w:r w:rsidR="0047235E">
        <w:rPr>
          <w:rFonts w:asciiTheme="minorBidi" w:eastAsia="DengXian" w:hAnsiTheme="minorBidi"/>
          <w:kern w:val="0"/>
          <w:sz w:val="22"/>
          <w:szCs w:val="22"/>
          <w14:ligatures w14:val="none"/>
        </w:rPr>
        <w:t>reprioritised</w:t>
      </w:r>
      <w:r w:rsidR="00A5037D">
        <w:rPr>
          <w:rFonts w:asciiTheme="minorBidi" w:eastAsia="DengXian" w:hAnsiTheme="minorBidi"/>
          <w:kern w:val="0"/>
          <w:sz w:val="22"/>
          <w:szCs w:val="22"/>
          <w14:ligatures w14:val="none"/>
        </w:rPr>
        <w:t xml:space="preserve"> to </w:t>
      </w:r>
      <w:r w:rsidR="0047235E">
        <w:rPr>
          <w:rFonts w:asciiTheme="minorBidi" w:eastAsia="DengXian" w:hAnsiTheme="minorBidi"/>
          <w:kern w:val="0"/>
          <w:sz w:val="22"/>
          <w:szCs w:val="22"/>
          <w14:ligatures w14:val="none"/>
        </w:rPr>
        <w:t>signal areas in which we aim to accelerate the pace of change</w:t>
      </w:r>
      <w:r w:rsidR="00CE6CC4">
        <w:rPr>
          <w:rFonts w:asciiTheme="minorBidi" w:eastAsia="DengXian" w:hAnsiTheme="minorBidi"/>
          <w:kern w:val="0"/>
          <w:sz w:val="22"/>
          <w:szCs w:val="22"/>
          <w14:ligatures w14:val="none"/>
        </w:rPr>
        <w:t xml:space="preserve">; </w:t>
      </w:r>
      <w:r w:rsidR="009C199B">
        <w:rPr>
          <w:rFonts w:asciiTheme="minorBidi" w:eastAsia="DengXian" w:hAnsiTheme="minorBidi"/>
          <w:kern w:val="0"/>
          <w:sz w:val="22"/>
          <w:szCs w:val="22"/>
          <w14:ligatures w14:val="none"/>
        </w:rPr>
        <w:t>and respond to the NEOs as detailed above.</w:t>
      </w:r>
      <w:r w:rsidR="004A6EF2">
        <w:rPr>
          <w:rFonts w:asciiTheme="minorBidi" w:eastAsia="DengXian" w:hAnsiTheme="minorBidi"/>
          <w:kern w:val="0"/>
          <w:sz w:val="22"/>
          <w:szCs w:val="22"/>
          <w14:ligatures w14:val="none"/>
        </w:rPr>
        <w:t xml:space="preserve"> </w:t>
      </w:r>
      <w:r w:rsidR="00B2102D">
        <w:rPr>
          <w:rFonts w:asciiTheme="minorBidi" w:eastAsia="DengXian" w:hAnsiTheme="minorBidi"/>
          <w:kern w:val="0"/>
          <w:sz w:val="22"/>
          <w:szCs w:val="22"/>
          <w14:ligatures w14:val="none"/>
        </w:rPr>
        <w:t>W</w:t>
      </w:r>
      <w:r w:rsidR="004A6EF2">
        <w:rPr>
          <w:rFonts w:asciiTheme="minorBidi" w:eastAsia="DengXian" w:hAnsiTheme="minorBidi"/>
          <w:kern w:val="0"/>
          <w:sz w:val="22"/>
          <w:szCs w:val="22"/>
          <w14:ligatures w14:val="none"/>
        </w:rPr>
        <w:t>e will review progress in 2027 and adjust, revise or add any actions, as appropriate</w:t>
      </w:r>
      <w:r w:rsidR="00B2102D">
        <w:rPr>
          <w:rFonts w:asciiTheme="minorBidi" w:eastAsia="DengXian" w:hAnsiTheme="minorBidi"/>
          <w:kern w:val="0"/>
          <w:sz w:val="22"/>
          <w:szCs w:val="22"/>
          <w14:ligatures w14:val="none"/>
        </w:rPr>
        <w:t>,</w:t>
      </w:r>
      <w:r w:rsidR="00B2102D" w:rsidRPr="00B2102D">
        <w:rPr>
          <w:rFonts w:asciiTheme="minorBidi" w:eastAsia="DengXian" w:hAnsiTheme="minorBidi"/>
          <w:kern w:val="0"/>
          <w:sz w:val="22"/>
          <w:szCs w:val="22"/>
          <w14:ligatures w14:val="none"/>
        </w:rPr>
        <w:t xml:space="preserve"> </w:t>
      </w:r>
      <w:r w:rsidR="00B2102D">
        <w:rPr>
          <w:rFonts w:asciiTheme="minorBidi" w:eastAsia="DengXian" w:hAnsiTheme="minorBidi"/>
          <w:kern w:val="0"/>
          <w:sz w:val="22"/>
          <w:szCs w:val="22"/>
          <w14:ligatures w14:val="none"/>
        </w:rPr>
        <w:t>in line with the requirements of the specific duties</w:t>
      </w:r>
      <w:r w:rsidR="004A6EF2">
        <w:rPr>
          <w:rFonts w:asciiTheme="minorBidi" w:eastAsia="DengXian" w:hAnsiTheme="minorBidi"/>
          <w:kern w:val="0"/>
          <w:sz w:val="22"/>
          <w:szCs w:val="22"/>
          <w14:ligatures w14:val="none"/>
        </w:rPr>
        <w:t>.</w:t>
      </w:r>
      <w:r w:rsidRPr="003B02D4">
        <w:rPr>
          <w:rFonts w:asciiTheme="minorBidi" w:eastAsia="DengXian" w:hAnsiTheme="minorBidi"/>
          <w:kern w:val="0"/>
          <w:sz w:val="22"/>
          <w:szCs w:val="22"/>
          <w14:ligatures w14:val="none"/>
        </w:rPr>
        <w:t xml:space="preserve"> Many of the</w:t>
      </w:r>
      <w:r w:rsidR="004A6EF2">
        <w:rPr>
          <w:rFonts w:asciiTheme="minorBidi" w:eastAsia="DengXian" w:hAnsiTheme="minorBidi"/>
          <w:kern w:val="0"/>
          <w:sz w:val="22"/>
          <w:szCs w:val="22"/>
          <w14:ligatures w14:val="none"/>
        </w:rPr>
        <w:t xml:space="preserve"> Outcomes</w:t>
      </w:r>
      <w:r w:rsidRPr="003B02D4">
        <w:rPr>
          <w:rFonts w:asciiTheme="minorBidi" w:eastAsia="DengXian" w:hAnsiTheme="minorBidi"/>
          <w:kern w:val="0"/>
          <w:sz w:val="22"/>
          <w:szCs w:val="22"/>
          <w14:ligatures w14:val="none"/>
        </w:rPr>
        <w:t xml:space="preserve"> refer to further reports</w:t>
      </w:r>
      <w:r w:rsidR="00CF2DFE">
        <w:rPr>
          <w:rFonts w:asciiTheme="minorBidi" w:eastAsia="DengXian" w:hAnsiTheme="minorBidi"/>
          <w:kern w:val="0"/>
          <w:sz w:val="22"/>
          <w:szCs w:val="22"/>
          <w14:ligatures w14:val="none"/>
        </w:rPr>
        <w:t xml:space="preserve"> or action plans</w:t>
      </w:r>
      <w:r w:rsidR="00B2102D">
        <w:rPr>
          <w:rFonts w:asciiTheme="minorBidi" w:eastAsia="DengXian" w:hAnsiTheme="minorBidi"/>
          <w:kern w:val="0"/>
          <w:sz w:val="22"/>
          <w:szCs w:val="22"/>
          <w14:ligatures w14:val="none"/>
        </w:rPr>
        <w:t xml:space="preserve"> with</w:t>
      </w:r>
      <w:r w:rsidRPr="003B02D4">
        <w:rPr>
          <w:rFonts w:asciiTheme="minorBidi" w:eastAsia="DengXian" w:hAnsiTheme="minorBidi"/>
          <w:kern w:val="0"/>
          <w:sz w:val="22"/>
          <w:szCs w:val="22"/>
          <w14:ligatures w14:val="none"/>
        </w:rPr>
        <w:t xml:space="preserve"> the detail of the action </w:t>
      </w:r>
      <w:r w:rsidR="00985B42">
        <w:rPr>
          <w:rFonts w:asciiTheme="minorBidi" w:eastAsia="DengXian" w:hAnsiTheme="minorBidi"/>
          <w:kern w:val="0"/>
          <w:sz w:val="22"/>
          <w:szCs w:val="22"/>
          <w14:ligatures w14:val="none"/>
        </w:rPr>
        <w:t xml:space="preserve">included </w:t>
      </w:r>
      <w:r w:rsidRPr="003B02D4">
        <w:rPr>
          <w:rFonts w:asciiTheme="minorBidi" w:eastAsia="DengXian" w:hAnsiTheme="minorBidi"/>
          <w:kern w:val="0"/>
          <w:sz w:val="22"/>
          <w:szCs w:val="22"/>
          <w14:ligatures w14:val="none"/>
        </w:rPr>
        <w:t>within these more significant pieces of work.</w:t>
      </w:r>
    </w:p>
    <w:p w14:paraId="4718D014" w14:textId="0DE2483D" w:rsidR="006F74EC" w:rsidRPr="006F74EC" w:rsidRDefault="006F74EC" w:rsidP="00AF0D18">
      <w:pPr>
        <w:spacing w:line="259" w:lineRule="auto"/>
        <w:rPr>
          <w:rFonts w:ascii="Calibri" w:eastAsia="DengXian" w:hAnsi="Calibri" w:cs="Arial"/>
          <w:kern w:val="0"/>
          <w14:ligatures w14:val="none"/>
        </w:rPr>
        <w:sectPr w:rsidR="006F74EC" w:rsidRPr="006F74EC" w:rsidSect="00F7713B">
          <w:footerReference w:type="even" r:id="rId10"/>
          <w:footerReference w:type="default" r:id="rId11"/>
          <w:footerReference w:type="first" r:id="rId12"/>
          <w:pgSz w:w="11906" w:h="16838"/>
          <w:pgMar w:top="720" w:right="991" w:bottom="720" w:left="720" w:header="709" w:footer="709" w:gutter="0"/>
          <w:pgNumType w:start="0"/>
          <w:cols w:space="708"/>
          <w:titlePg/>
          <w:docGrid w:linePitch="360"/>
        </w:sectPr>
      </w:pPr>
    </w:p>
    <w:tbl>
      <w:tblPr>
        <w:tblStyle w:val="TableGrid1"/>
        <w:tblW w:w="0" w:type="auto"/>
        <w:tblInd w:w="0" w:type="dxa"/>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456"/>
        <w:gridCol w:w="4642"/>
        <w:gridCol w:w="1857"/>
        <w:gridCol w:w="5433"/>
      </w:tblGrid>
      <w:tr w:rsidR="006F74EC" w:rsidRPr="00A101A4" w14:paraId="3D810DF4" w14:textId="77777777" w:rsidTr="000A6330">
        <w:trPr>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1DF371E0" w14:textId="77777777" w:rsidR="006F74EC" w:rsidRPr="00700624" w:rsidRDefault="006F74EC" w:rsidP="006F74EC">
            <w:pPr>
              <w:jc w:val="center"/>
              <w:rPr>
                <w:rFonts w:ascii="Arial" w:hAnsi="Arial" w:cs="Arial"/>
                <w:b/>
                <w:color w:val="FFFFFF" w:themeColor="background1"/>
                <w:sz w:val="24"/>
                <w:szCs w:val="24"/>
              </w:rPr>
            </w:pPr>
            <w:bookmarkStart w:id="0" w:name="_Hlk65843970"/>
            <w:r w:rsidRPr="00700624">
              <w:rPr>
                <w:rFonts w:ascii="Arial" w:hAnsi="Arial" w:cs="Arial"/>
                <w:b/>
                <w:color w:val="FFFFFF" w:themeColor="background1"/>
                <w:sz w:val="24"/>
                <w:szCs w:val="24"/>
              </w:rPr>
              <w:lastRenderedPageBreak/>
              <w:t>Equality Outcomes</w:t>
            </w:r>
          </w:p>
          <w:p w14:paraId="1F64535A" w14:textId="037A124D" w:rsidR="006F74EC" w:rsidRPr="00700624" w:rsidRDefault="006F74EC" w:rsidP="006F74EC">
            <w:pPr>
              <w:jc w:val="center"/>
              <w:rPr>
                <w:rFonts w:ascii="Arial" w:eastAsia="Times New Roman" w:hAnsi="Arial" w:cs="Arial"/>
                <w:b/>
                <w:bCs/>
                <w:color w:val="FFFFFF" w:themeColor="background1"/>
                <w:kern w:val="36"/>
                <w:sz w:val="24"/>
                <w:szCs w:val="24"/>
                <w:lang w:eastAsia="en-GB"/>
              </w:rPr>
            </w:pPr>
            <w:r w:rsidRPr="00700624">
              <w:rPr>
                <w:rFonts w:ascii="Arial" w:hAnsi="Arial" w:cs="Arial"/>
                <w:b/>
                <w:color w:val="FFFFFF" w:themeColor="background1"/>
                <w:sz w:val="24"/>
                <w:szCs w:val="24"/>
              </w:rPr>
              <w:t>202</w:t>
            </w:r>
            <w:r w:rsidR="00F8451F" w:rsidRPr="00700624">
              <w:rPr>
                <w:rFonts w:ascii="Arial" w:hAnsi="Arial" w:cs="Arial"/>
                <w:b/>
                <w:color w:val="FFFFFF" w:themeColor="background1"/>
                <w:sz w:val="24"/>
                <w:szCs w:val="24"/>
              </w:rPr>
              <w:t>5</w:t>
            </w:r>
            <w:r w:rsidRPr="00700624">
              <w:rPr>
                <w:rFonts w:ascii="Arial" w:hAnsi="Arial" w:cs="Arial"/>
                <w:b/>
                <w:color w:val="FFFFFF" w:themeColor="background1"/>
                <w:sz w:val="24"/>
                <w:szCs w:val="24"/>
              </w:rPr>
              <w:t>-202</w:t>
            </w:r>
            <w:r w:rsidR="00F8451F" w:rsidRPr="00700624">
              <w:rPr>
                <w:rFonts w:ascii="Arial" w:hAnsi="Arial" w:cs="Arial"/>
                <w:b/>
                <w:color w:val="FFFFFF" w:themeColor="background1"/>
                <w:sz w:val="24"/>
                <w:szCs w:val="24"/>
              </w:rPr>
              <w:t>9</w:t>
            </w:r>
            <w:r w:rsidR="00852EF1" w:rsidRPr="00700624">
              <w:rPr>
                <w:rFonts w:ascii="Arial" w:hAnsi="Arial" w:cs="Arial"/>
                <w:b/>
                <w:color w:val="FFFFFF" w:themeColor="background1"/>
                <w:sz w:val="24"/>
                <w:szCs w:val="24"/>
              </w:rPr>
              <w:t xml:space="preserve"> (Relevant NEOs)</w:t>
            </w:r>
          </w:p>
        </w:tc>
        <w:tc>
          <w:tcPr>
            <w:tcW w:w="4780"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66DE6747" w14:textId="77777777" w:rsidR="006F74EC" w:rsidRPr="00700624" w:rsidRDefault="006F74EC" w:rsidP="006F74EC">
            <w:pPr>
              <w:jc w:val="center"/>
              <w:rPr>
                <w:rFonts w:ascii="Arial" w:eastAsia="Times New Roman" w:hAnsi="Arial" w:cs="Arial"/>
                <w:b/>
                <w:bCs/>
                <w:color w:val="FFFFFF" w:themeColor="background1"/>
                <w:kern w:val="36"/>
                <w:sz w:val="24"/>
                <w:szCs w:val="24"/>
                <w:lang w:eastAsia="en-GB"/>
              </w:rPr>
            </w:pPr>
            <w:r w:rsidRPr="00700624">
              <w:rPr>
                <w:rFonts w:ascii="Arial" w:hAnsi="Arial" w:cs="Arial"/>
                <w:b/>
                <w:color w:val="FFFFFF" w:themeColor="background1"/>
                <w:sz w:val="24"/>
                <w:szCs w:val="24"/>
              </w:rPr>
              <w:t>Action</w:t>
            </w:r>
          </w:p>
        </w:tc>
        <w:tc>
          <w:tcPr>
            <w:tcW w:w="1403"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7D2D08D9" w14:textId="57315DFD" w:rsidR="006F74EC" w:rsidRPr="00700624" w:rsidRDefault="00683F7D" w:rsidP="006F74EC">
            <w:pPr>
              <w:jc w:val="center"/>
              <w:rPr>
                <w:rFonts w:ascii="Arial" w:eastAsia="Times New Roman" w:hAnsi="Arial" w:cs="Arial"/>
                <w:b/>
                <w:bCs/>
                <w:color w:val="FFFFFF" w:themeColor="background1"/>
                <w:kern w:val="36"/>
                <w:sz w:val="24"/>
                <w:szCs w:val="24"/>
                <w:lang w:eastAsia="en-GB"/>
              </w:rPr>
            </w:pPr>
            <w:r w:rsidRPr="00700624">
              <w:rPr>
                <w:rFonts w:ascii="Arial" w:hAnsi="Arial" w:cs="Arial"/>
                <w:b/>
                <w:color w:val="FFFFFF" w:themeColor="background1"/>
                <w:sz w:val="24"/>
                <w:szCs w:val="24"/>
              </w:rPr>
              <w:t>Responsibility</w:t>
            </w:r>
          </w:p>
        </w:tc>
        <w:tc>
          <w:tcPr>
            <w:tcW w:w="5626"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43B968EA" w14:textId="77777777" w:rsidR="006F74EC" w:rsidRPr="00700624" w:rsidRDefault="006F74EC" w:rsidP="006F74EC">
            <w:pPr>
              <w:jc w:val="center"/>
              <w:rPr>
                <w:rFonts w:ascii="Arial" w:hAnsi="Arial" w:cs="Arial"/>
                <w:b/>
                <w:color w:val="FFFFFF" w:themeColor="background1"/>
                <w:sz w:val="24"/>
                <w:szCs w:val="24"/>
              </w:rPr>
            </w:pPr>
            <w:r w:rsidRPr="00700624">
              <w:rPr>
                <w:rFonts w:ascii="Arial" w:hAnsi="Arial" w:cs="Arial"/>
                <w:b/>
                <w:color w:val="FFFFFF" w:themeColor="background1"/>
                <w:sz w:val="24"/>
                <w:szCs w:val="24"/>
              </w:rPr>
              <w:t>Success Measures/Intended Impact</w:t>
            </w:r>
          </w:p>
          <w:p w14:paraId="3AFAAB0E" w14:textId="77777777" w:rsidR="006F74EC" w:rsidRPr="00700624" w:rsidRDefault="006F74EC" w:rsidP="006F74EC">
            <w:pPr>
              <w:jc w:val="center"/>
              <w:rPr>
                <w:rFonts w:ascii="Arial" w:eastAsia="Times New Roman" w:hAnsi="Arial" w:cs="Arial"/>
                <w:b/>
                <w:bCs/>
                <w:color w:val="FFFFFF" w:themeColor="background1"/>
                <w:kern w:val="36"/>
                <w:sz w:val="24"/>
                <w:szCs w:val="24"/>
                <w:lang w:eastAsia="en-GB"/>
              </w:rPr>
            </w:pPr>
          </w:p>
        </w:tc>
      </w:tr>
      <w:tr w:rsidR="004E6291" w:rsidRPr="00A101A4" w14:paraId="1C8A51BA" w14:textId="77777777" w:rsidTr="000A6330">
        <w:trPr>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tcPr>
          <w:p w14:paraId="5418EF2A" w14:textId="7256FAB6" w:rsidR="000811FC" w:rsidRPr="00C522DD" w:rsidRDefault="000811FC" w:rsidP="004A062E">
            <w:pPr>
              <w:pStyle w:val="Heading4"/>
              <w:jc w:val="center"/>
              <w:rPr>
                <w:rFonts w:ascii="Arial" w:hAnsi="Arial" w:cs="Arial"/>
                <w:i w:val="0"/>
                <w:iCs w:val="0"/>
                <w:color w:val="FFFFFF" w:themeColor="background1"/>
                <w:lang w:eastAsia="en-GB"/>
              </w:rPr>
            </w:pPr>
            <w:bookmarkStart w:id="1" w:name="_1._Embed_a"/>
            <w:bookmarkEnd w:id="1"/>
            <w:r w:rsidRPr="00C522DD">
              <w:rPr>
                <w:rFonts w:ascii="Arial" w:hAnsi="Arial" w:cs="Arial"/>
                <w:i w:val="0"/>
                <w:iCs w:val="0"/>
                <w:color w:val="FFFFFF" w:themeColor="background1"/>
                <w:lang w:eastAsia="en-GB"/>
              </w:rPr>
              <w:t xml:space="preserve">1. </w:t>
            </w:r>
            <w:r w:rsidR="00773885" w:rsidRPr="00C522DD">
              <w:rPr>
                <w:rFonts w:ascii="Arial" w:hAnsi="Arial" w:cs="Arial"/>
                <w:i w:val="0"/>
                <w:iCs w:val="0"/>
                <w:color w:val="FFFFFF" w:themeColor="background1"/>
                <w:lang w:eastAsia="en-GB"/>
              </w:rPr>
              <w:t xml:space="preserve">Embed </w:t>
            </w:r>
            <w:r w:rsidR="003354DE" w:rsidRPr="00C522DD">
              <w:rPr>
                <w:rFonts w:ascii="Arial" w:hAnsi="Arial" w:cs="Arial"/>
                <w:i w:val="0"/>
                <w:iCs w:val="0"/>
                <w:color w:val="FFFFFF" w:themeColor="background1"/>
                <w:lang w:eastAsia="en-GB"/>
              </w:rPr>
              <w:t xml:space="preserve">a </w:t>
            </w:r>
            <w:r w:rsidR="00773885" w:rsidRPr="00C522DD">
              <w:rPr>
                <w:rFonts w:ascii="Arial" w:hAnsi="Arial" w:cs="Arial"/>
                <w:i w:val="0"/>
                <w:iCs w:val="0"/>
                <w:color w:val="FFFFFF" w:themeColor="background1"/>
                <w:lang w:eastAsia="en-GB"/>
              </w:rPr>
              <w:t>whole university</w:t>
            </w:r>
            <w:r w:rsidR="004E6291" w:rsidRPr="00C522DD">
              <w:rPr>
                <w:rFonts w:ascii="Arial" w:hAnsi="Arial" w:cs="Arial"/>
                <w:i w:val="0"/>
                <w:iCs w:val="0"/>
                <w:color w:val="FFFFFF" w:themeColor="background1"/>
                <w:lang w:eastAsia="en-GB"/>
              </w:rPr>
              <w:t xml:space="preserve"> approach to </w:t>
            </w:r>
            <w:r w:rsidR="00A00089" w:rsidRPr="00C522DD">
              <w:rPr>
                <w:rFonts w:ascii="Arial" w:hAnsi="Arial" w:cs="Arial"/>
                <w:i w:val="0"/>
                <w:iCs w:val="0"/>
                <w:color w:val="FFFFFF" w:themeColor="background1"/>
                <w:lang w:eastAsia="en-GB"/>
              </w:rPr>
              <w:t xml:space="preserve">addressing barriers to inclusion </w:t>
            </w:r>
            <w:r w:rsidR="00965FB4" w:rsidRPr="00C522DD">
              <w:rPr>
                <w:rFonts w:ascii="Arial" w:hAnsi="Arial" w:cs="Arial"/>
                <w:i w:val="0"/>
                <w:iCs w:val="0"/>
                <w:color w:val="FFFFFF" w:themeColor="background1"/>
                <w:lang w:eastAsia="en-GB"/>
              </w:rPr>
              <w:t>for</w:t>
            </w:r>
            <w:r w:rsidR="004E6291" w:rsidRPr="00C522DD">
              <w:rPr>
                <w:rFonts w:ascii="Arial" w:hAnsi="Arial" w:cs="Arial"/>
                <w:i w:val="0"/>
                <w:iCs w:val="0"/>
                <w:color w:val="FFFFFF" w:themeColor="background1"/>
                <w:lang w:eastAsia="en-GB"/>
              </w:rPr>
              <w:t xml:space="preserve"> disabled people</w:t>
            </w:r>
            <w:r w:rsidR="00965FB4" w:rsidRPr="00C522DD">
              <w:rPr>
                <w:rFonts w:ascii="Arial" w:hAnsi="Arial" w:cs="Arial"/>
                <w:i w:val="0"/>
                <w:iCs w:val="0"/>
                <w:color w:val="FFFFFF" w:themeColor="background1"/>
                <w:lang w:eastAsia="en-GB"/>
              </w:rPr>
              <w:t xml:space="preserve"> ensuring they</w:t>
            </w:r>
            <w:r w:rsidR="004E6291" w:rsidRPr="00C522DD">
              <w:rPr>
                <w:rFonts w:ascii="Arial" w:hAnsi="Arial" w:cs="Arial"/>
                <w:i w:val="0"/>
                <w:iCs w:val="0"/>
                <w:color w:val="FFFFFF" w:themeColor="background1"/>
                <w:lang w:eastAsia="en-GB"/>
              </w:rPr>
              <w:t xml:space="preserve"> can</w:t>
            </w:r>
            <w:r w:rsidR="00773885" w:rsidRPr="00C522DD">
              <w:rPr>
                <w:rFonts w:ascii="Arial" w:hAnsi="Arial" w:cs="Arial"/>
                <w:i w:val="0"/>
                <w:iCs w:val="0"/>
                <w:color w:val="FFFFFF" w:themeColor="background1"/>
                <w:lang w:eastAsia="en-GB"/>
              </w:rPr>
              <w:t xml:space="preserve"> access,</w:t>
            </w:r>
            <w:r w:rsidR="004E6291" w:rsidRPr="00C522DD">
              <w:rPr>
                <w:rFonts w:ascii="Arial" w:hAnsi="Arial" w:cs="Arial"/>
                <w:i w:val="0"/>
                <w:iCs w:val="0"/>
                <w:color w:val="FFFFFF" w:themeColor="background1"/>
                <w:lang w:eastAsia="en-GB"/>
              </w:rPr>
              <w:t xml:space="preserve"> engage </w:t>
            </w:r>
            <w:r w:rsidR="00AA762B" w:rsidRPr="00C522DD">
              <w:rPr>
                <w:rFonts w:ascii="Arial" w:hAnsi="Arial" w:cs="Arial"/>
                <w:i w:val="0"/>
                <w:iCs w:val="0"/>
                <w:color w:val="FFFFFF" w:themeColor="background1"/>
                <w:lang w:eastAsia="en-GB"/>
              </w:rPr>
              <w:t xml:space="preserve">with, </w:t>
            </w:r>
            <w:r w:rsidR="004E6291" w:rsidRPr="00C522DD">
              <w:rPr>
                <w:rFonts w:ascii="Arial" w:hAnsi="Arial" w:cs="Arial"/>
                <w:i w:val="0"/>
                <w:iCs w:val="0"/>
                <w:color w:val="FFFFFF" w:themeColor="background1"/>
                <w:lang w:eastAsia="en-GB"/>
              </w:rPr>
              <w:t>and thrive in campus opportunities.</w:t>
            </w:r>
          </w:p>
          <w:p w14:paraId="3C267D54" w14:textId="77777777" w:rsidR="000811FC" w:rsidRPr="00A101A4" w:rsidRDefault="000811FC" w:rsidP="004E6291">
            <w:pPr>
              <w:jc w:val="center"/>
              <w:rPr>
                <w:rFonts w:ascii="Arial" w:hAnsi="Arial" w:cs="Arial"/>
                <w:b/>
                <w:color w:val="FFFFFF" w:themeColor="background1"/>
              </w:rPr>
            </w:pPr>
          </w:p>
          <w:p w14:paraId="6A2507A0" w14:textId="3A111384" w:rsidR="00852EF1" w:rsidRPr="00A101A4" w:rsidRDefault="00852EF1" w:rsidP="004E6291">
            <w:pPr>
              <w:jc w:val="center"/>
              <w:rPr>
                <w:rFonts w:ascii="Arial" w:hAnsi="Arial" w:cs="Arial"/>
                <w:b/>
                <w:color w:val="FFFFFF" w:themeColor="background1"/>
              </w:rPr>
            </w:pPr>
            <w:r w:rsidRPr="00A101A4">
              <w:rPr>
                <w:rFonts w:ascii="Arial" w:hAnsi="Arial" w:cs="Arial"/>
                <w:b/>
                <w:color w:val="FFFFFF" w:themeColor="background1"/>
              </w:rPr>
              <w:t xml:space="preserve">(NEOs: </w:t>
            </w:r>
            <w:r w:rsidR="000811FC" w:rsidRPr="00A101A4">
              <w:rPr>
                <w:rFonts w:ascii="Arial" w:hAnsi="Arial" w:cs="Arial"/>
                <w:b/>
                <w:color w:val="FFFFFF" w:themeColor="background1"/>
              </w:rPr>
              <w:t>2.1-4</w:t>
            </w:r>
            <w:r w:rsidR="00BA6704" w:rsidRPr="00A101A4">
              <w:rPr>
                <w:rFonts w:ascii="Arial" w:hAnsi="Arial" w:cs="Arial"/>
                <w:b/>
                <w:color w:val="FFFFFF" w:themeColor="background1"/>
              </w:rPr>
              <w:t>.)</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CCB0012" w14:textId="3CE39669" w:rsidR="000336E7" w:rsidRPr="00A101A4" w:rsidRDefault="001B319D" w:rsidP="00FA6407">
            <w:pPr>
              <w:numPr>
                <w:ilvl w:val="0"/>
                <w:numId w:val="1"/>
              </w:numPr>
              <w:spacing w:line="276" w:lineRule="auto"/>
              <w:contextualSpacing/>
              <w:rPr>
                <w:rFonts w:ascii="Arial" w:eastAsia="Times New Roman" w:hAnsi="Arial" w:cs="Arial"/>
                <w:b/>
                <w:bCs/>
                <w:kern w:val="36"/>
                <w:lang w:eastAsia="en-GB"/>
              </w:rPr>
            </w:pPr>
            <w:r w:rsidRPr="00A101A4">
              <w:rPr>
                <w:rFonts w:ascii="Arial" w:hAnsi="Arial" w:cs="Arial"/>
              </w:rPr>
              <w:t>Implement Student Disability</w:t>
            </w:r>
            <w:r w:rsidR="000336E7" w:rsidRPr="00A101A4">
              <w:rPr>
                <w:rFonts w:ascii="Arial" w:hAnsi="Arial" w:cs="Arial"/>
              </w:rPr>
              <w:t xml:space="preserve"> Action Plan</w:t>
            </w:r>
            <w:r w:rsidRPr="00A101A4">
              <w:rPr>
                <w:rFonts w:ascii="Arial" w:hAnsi="Arial" w:cs="Arial"/>
                <w:b/>
                <w:bCs/>
              </w:rPr>
              <w:t xml:space="preserve"> </w:t>
            </w:r>
          </w:p>
          <w:p w14:paraId="348B1A02" w14:textId="17D67550" w:rsidR="000336E7" w:rsidRPr="00A101A4" w:rsidRDefault="002F7726" w:rsidP="00FA6407">
            <w:pPr>
              <w:numPr>
                <w:ilvl w:val="0"/>
                <w:numId w:val="1"/>
              </w:numPr>
              <w:spacing w:line="276" w:lineRule="auto"/>
              <w:contextualSpacing/>
              <w:rPr>
                <w:rFonts w:ascii="Arial" w:eastAsia="Times New Roman" w:hAnsi="Arial" w:cs="Arial"/>
                <w:b/>
                <w:bCs/>
                <w:kern w:val="36"/>
                <w:lang w:eastAsia="en-GB"/>
              </w:rPr>
            </w:pPr>
            <w:r w:rsidRPr="00A101A4">
              <w:rPr>
                <w:rFonts w:ascii="Arial" w:hAnsi="Arial" w:cs="Arial"/>
              </w:rPr>
              <w:t xml:space="preserve">Implement </w:t>
            </w:r>
            <w:r w:rsidR="000336E7" w:rsidRPr="00A101A4">
              <w:rPr>
                <w:rFonts w:ascii="Arial" w:hAnsi="Arial" w:cs="Arial"/>
              </w:rPr>
              <w:t>Colleague Action Plan</w:t>
            </w:r>
            <w:r w:rsidR="001B319D" w:rsidRPr="00A101A4">
              <w:rPr>
                <w:rFonts w:ascii="Arial" w:hAnsi="Arial" w:cs="Arial"/>
                <w:b/>
                <w:bCs/>
              </w:rPr>
              <w:t xml:space="preserve"> </w:t>
            </w:r>
          </w:p>
          <w:p w14:paraId="383B6DCB" w14:textId="2867E359" w:rsidR="00777E0B" w:rsidRPr="00A101A4" w:rsidRDefault="00777E0B" w:rsidP="00FA6407">
            <w:pPr>
              <w:numPr>
                <w:ilvl w:val="0"/>
                <w:numId w:val="1"/>
              </w:numPr>
              <w:spacing w:line="276" w:lineRule="auto"/>
              <w:contextualSpacing/>
              <w:rPr>
                <w:rFonts w:ascii="Arial" w:hAnsi="Arial" w:cs="Arial"/>
              </w:rPr>
            </w:pPr>
            <w:r w:rsidRPr="00A101A4">
              <w:rPr>
                <w:rFonts w:ascii="Arial" w:hAnsi="Arial" w:cs="Arial"/>
              </w:rPr>
              <w:t xml:space="preserve">Improve data collection and reporting on </w:t>
            </w:r>
            <w:r w:rsidR="00DB2EB7" w:rsidRPr="00A101A4">
              <w:rPr>
                <w:rFonts w:ascii="Arial" w:hAnsi="Arial" w:cs="Arial"/>
              </w:rPr>
              <w:t>students declaring a disability at point of application, enrolment and upon registration with SDS</w:t>
            </w:r>
            <w:r w:rsidR="00B21FC6" w:rsidRPr="00A101A4">
              <w:rPr>
                <w:rFonts w:ascii="Arial" w:hAnsi="Arial" w:cs="Arial"/>
              </w:rPr>
              <w:t>.</w:t>
            </w:r>
          </w:p>
          <w:p w14:paraId="488AD35F" w14:textId="670E2F2E" w:rsidR="002B196C" w:rsidRPr="00A101A4" w:rsidRDefault="00940B1B" w:rsidP="00FA6407">
            <w:pPr>
              <w:numPr>
                <w:ilvl w:val="0"/>
                <w:numId w:val="1"/>
              </w:numPr>
              <w:spacing w:line="276" w:lineRule="auto"/>
              <w:contextualSpacing/>
              <w:rPr>
                <w:rFonts w:ascii="Arial" w:hAnsi="Arial" w:cs="Arial"/>
              </w:rPr>
            </w:pPr>
            <w:r w:rsidRPr="00A101A4">
              <w:rPr>
                <w:rFonts w:ascii="Arial" w:hAnsi="Arial" w:cs="Arial"/>
              </w:rPr>
              <w:t>Build on student and staff communication and engagement t</w:t>
            </w:r>
            <w:r w:rsidR="00101BB1" w:rsidRPr="00A101A4">
              <w:rPr>
                <w:rFonts w:ascii="Arial" w:hAnsi="Arial" w:cs="Arial"/>
              </w:rPr>
              <w:t xml:space="preserve">argeting male </w:t>
            </w:r>
            <w:r w:rsidR="00DB57B0" w:rsidRPr="00A101A4">
              <w:rPr>
                <w:rFonts w:ascii="Arial" w:hAnsi="Arial" w:cs="Arial"/>
              </w:rPr>
              <w:t>mental health</w:t>
            </w:r>
            <w:r w:rsidR="00ED3FA8">
              <w:rPr>
                <w:rFonts w:ascii="Arial" w:hAnsi="Arial" w:cs="Arial"/>
              </w:rPr>
              <w:t>; review and update Mental Health Action Plan</w:t>
            </w:r>
            <w:r w:rsidR="00DB57B0" w:rsidRPr="00A101A4">
              <w:rPr>
                <w:rFonts w:ascii="Arial" w:hAnsi="Arial" w:cs="Arial"/>
              </w:rPr>
              <w:t>.</w:t>
            </w:r>
          </w:p>
          <w:p w14:paraId="714D2E6D" w14:textId="003E3735" w:rsidR="002E1042" w:rsidRPr="00A101A4" w:rsidRDefault="003A14CD" w:rsidP="00FA6407">
            <w:pPr>
              <w:numPr>
                <w:ilvl w:val="0"/>
                <w:numId w:val="1"/>
              </w:numPr>
              <w:spacing w:line="276" w:lineRule="auto"/>
              <w:contextualSpacing/>
              <w:rPr>
                <w:rFonts w:ascii="Arial" w:hAnsi="Arial" w:cs="Arial"/>
              </w:rPr>
            </w:pPr>
            <w:r w:rsidRPr="00A101A4">
              <w:rPr>
                <w:rFonts w:ascii="Arial" w:hAnsi="Arial" w:cs="Arial"/>
              </w:rPr>
              <w:t xml:space="preserve">University-wide </w:t>
            </w:r>
            <w:r w:rsidR="009A2F44" w:rsidRPr="00A101A4">
              <w:rPr>
                <w:rFonts w:ascii="Arial" w:hAnsi="Arial" w:cs="Arial"/>
              </w:rPr>
              <w:t>Campaign</w:t>
            </w:r>
            <w:r w:rsidR="00846CEB" w:rsidRPr="00A101A4">
              <w:rPr>
                <w:rFonts w:ascii="Arial" w:hAnsi="Arial" w:cs="Arial"/>
              </w:rPr>
              <w:t xml:space="preserve"> to address barriers to disability inclusion</w:t>
            </w:r>
            <w:r w:rsidR="007D7105" w:rsidRPr="00A101A4">
              <w:rPr>
                <w:rFonts w:ascii="Arial" w:hAnsi="Arial" w:cs="Arial"/>
              </w:rPr>
              <w:t xml:space="preserve">, enact education and awareness raising and </w:t>
            </w:r>
            <w:r w:rsidR="00DA5FA5" w:rsidRPr="00A101A4">
              <w:rPr>
                <w:rFonts w:ascii="Arial" w:hAnsi="Arial" w:cs="Arial"/>
              </w:rPr>
              <w:t>increase understanding of the whole university approach to ensuring access and inclusion for disabled members of UofG Community.</w:t>
            </w:r>
            <w:r w:rsidR="002E1042" w:rsidRPr="00A101A4">
              <w:rPr>
                <w:rFonts w:ascii="Arial" w:hAnsi="Arial" w:cs="Arial"/>
              </w:rPr>
              <w:t xml:space="preserve"> </w:t>
            </w:r>
          </w:p>
          <w:p w14:paraId="042A29FB" w14:textId="77777777" w:rsidR="004E6291" w:rsidRPr="00A101A4" w:rsidRDefault="002E1042" w:rsidP="00FA6407">
            <w:pPr>
              <w:numPr>
                <w:ilvl w:val="0"/>
                <w:numId w:val="1"/>
              </w:numPr>
              <w:spacing w:line="276" w:lineRule="auto"/>
              <w:contextualSpacing/>
              <w:rPr>
                <w:rFonts w:ascii="Arial" w:hAnsi="Arial" w:cs="Arial"/>
              </w:rPr>
            </w:pPr>
            <w:r w:rsidRPr="00A101A4">
              <w:rPr>
                <w:rFonts w:ascii="Arial" w:hAnsi="Arial" w:cs="Arial"/>
              </w:rPr>
              <w:t xml:space="preserve">Review membership of University Court to develop a baseline understanding of </w:t>
            </w:r>
            <w:r w:rsidR="00D32CBA" w:rsidRPr="00A101A4">
              <w:rPr>
                <w:rFonts w:ascii="Arial" w:hAnsi="Arial" w:cs="Arial"/>
              </w:rPr>
              <w:t>disability lived experience amongst representatives.</w:t>
            </w:r>
            <w:r w:rsidR="009A2F44" w:rsidRPr="00A101A4">
              <w:rPr>
                <w:rFonts w:ascii="Arial" w:hAnsi="Arial" w:cs="Arial"/>
              </w:rPr>
              <w:t xml:space="preserve"> </w:t>
            </w:r>
          </w:p>
          <w:p w14:paraId="29A271EC" w14:textId="7A35D1B5" w:rsidR="00C16060" w:rsidRPr="00A101A4" w:rsidRDefault="00C16060" w:rsidP="00C16060">
            <w:pPr>
              <w:spacing w:line="276" w:lineRule="auto"/>
              <w:ind w:left="360"/>
              <w:contextualSpacing/>
              <w:rPr>
                <w:rFonts w:ascii="Arial" w:hAnsi="Arial" w:cs="Arial"/>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E3FC7F" w14:textId="47E49DA0" w:rsidR="004E6291" w:rsidRPr="00A101A4" w:rsidRDefault="00F40F90" w:rsidP="00FA6407">
            <w:pPr>
              <w:spacing w:line="276" w:lineRule="auto"/>
              <w:rPr>
                <w:rFonts w:ascii="Arial" w:hAnsi="Arial" w:cs="Arial"/>
              </w:rPr>
            </w:pPr>
            <w:r w:rsidRPr="00A101A4">
              <w:rPr>
                <w:rFonts w:ascii="Arial" w:hAnsi="Arial" w:cs="Arial"/>
              </w:rPr>
              <w:t xml:space="preserve">SMG; </w:t>
            </w:r>
            <w:r w:rsidR="004E6291" w:rsidRPr="00A101A4">
              <w:rPr>
                <w:rFonts w:ascii="Arial" w:hAnsi="Arial" w:cs="Arial"/>
              </w:rPr>
              <w:t>Disability Champion;</w:t>
            </w:r>
            <w:r w:rsidR="00ED3FA8">
              <w:rPr>
                <w:rFonts w:ascii="Arial" w:hAnsi="Arial" w:cs="Arial"/>
              </w:rPr>
              <w:t xml:space="preserve"> Mental Health Champion;</w:t>
            </w:r>
            <w:r w:rsidR="004E6291" w:rsidRPr="00A101A4">
              <w:rPr>
                <w:rFonts w:ascii="Arial" w:hAnsi="Arial" w:cs="Arial"/>
              </w:rPr>
              <w:t xml:space="preserve"> </w:t>
            </w:r>
            <w:r w:rsidR="0089165E" w:rsidRPr="00A101A4">
              <w:rPr>
                <w:rFonts w:ascii="Arial" w:hAnsi="Arial" w:cs="Arial"/>
              </w:rPr>
              <w:t xml:space="preserve">S&amp;AS; </w:t>
            </w:r>
            <w:r w:rsidR="004E6291" w:rsidRPr="00A101A4">
              <w:rPr>
                <w:rFonts w:ascii="Arial" w:hAnsi="Arial" w:cs="Arial"/>
              </w:rPr>
              <w:t xml:space="preserve">EDU; POD; </w:t>
            </w:r>
            <w:r w:rsidR="0089165E" w:rsidRPr="00A101A4">
              <w:rPr>
                <w:rFonts w:ascii="Arial" w:hAnsi="Arial" w:cs="Arial"/>
              </w:rPr>
              <w:t>ER</w:t>
            </w:r>
          </w:p>
          <w:p w14:paraId="715A45D0" w14:textId="77777777" w:rsidR="004E6291" w:rsidRPr="00A101A4" w:rsidRDefault="004E6291" w:rsidP="00FA6407">
            <w:pPr>
              <w:spacing w:line="276" w:lineRule="auto"/>
              <w:rPr>
                <w:rFonts w:ascii="Arial" w:hAnsi="Arial" w:cs="Arial"/>
              </w:rPr>
            </w:pPr>
          </w:p>
          <w:p w14:paraId="57F93AAF" w14:textId="1D7690F6" w:rsidR="004E6291" w:rsidRPr="00A101A4" w:rsidRDefault="004E6291" w:rsidP="00FA6407">
            <w:pPr>
              <w:spacing w:line="276" w:lineRule="auto"/>
              <w:jc w:val="center"/>
              <w:rPr>
                <w:rFonts w:ascii="Arial" w:hAnsi="Arial" w:cs="Arial"/>
                <w:b/>
              </w:rPr>
            </w:pP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tcPr>
          <w:p w14:paraId="7BA7737D" w14:textId="77777777" w:rsidR="003A09BA" w:rsidRPr="00A101A4" w:rsidRDefault="006540DE"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Improved s</w:t>
            </w:r>
            <w:r w:rsidR="004E6291" w:rsidRPr="00A101A4">
              <w:rPr>
                <w:rFonts w:ascii="Arial" w:eastAsia="Times New Roman" w:hAnsi="Arial" w:cs="Arial"/>
                <w:kern w:val="36"/>
                <w:lang w:eastAsia="en-GB"/>
              </w:rPr>
              <w:t xml:space="preserve">tudent satisfaction for </w:t>
            </w:r>
            <w:r w:rsidR="0083345A" w:rsidRPr="00A101A4">
              <w:rPr>
                <w:rFonts w:ascii="Arial" w:eastAsia="Times New Roman" w:hAnsi="Arial" w:cs="Arial"/>
                <w:kern w:val="36"/>
                <w:lang w:eastAsia="en-GB"/>
              </w:rPr>
              <w:t>Disability support</w:t>
            </w:r>
            <w:r w:rsidR="00583849" w:rsidRPr="00A101A4">
              <w:rPr>
                <w:rFonts w:ascii="Arial" w:eastAsia="Times New Roman" w:hAnsi="Arial" w:cs="Arial"/>
                <w:kern w:val="36"/>
                <w:lang w:eastAsia="en-GB"/>
              </w:rPr>
              <w:t xml:space="preserve"> evidenced through Student Experience Surveys,</w:t>
            </w:r>
            <w:r w:rsidR="003A09BA" w:rsidRPr="00A101A4">
              <w:rPr>
                <w:rFonts w:ascii="Arial" w:eastAsia="Times New Roman" w:hAnsi="Arial" w:cs="Arial"/>
                <w:kern w:val="36"/>
                <w:lang w:eastAsia="en-GB"/>
              </w:rPr>
              <w:t xml:space="preserve"> Service User feedback,</w:t>
            </w:r>
            <w:r w:rsidR="00583849" w:rsidRPr="00A101A4">
              <w:rPr>
                <w:rFonts w:ascii="Arial" w:eastAsia="Times New Roman" w:hAnsi="Arial" w:cs="Arial"/>
                <w:kern w:val="36"/>
                <w:lang w:eastAsia="en-GB"/>
              </w:rPr>
              <w:t xml:space="preserve"> NSS and </w:t>
            </w:r>
            <w:r w:rsidR="004E5C98" w:rsidRPr="00A101A4">
              <w:rPr>
                <w:rFonts w:ascii="Arial" w:eastAsia="Times New Roman" w:hAnsi="Arial" w:cs="Arial"/>
                <w:kern w:val="36"/>
                <w:lang w:eastAsia="en-GB"/>
              </w:rPr>
              <w:t>engagement with SRC and Student Societies</w:t>
            </w:r>
            <w:r w:rsidR="0083345A" w:rsidRPr="00A101A4">
              <w:rPr>
                <w:rFonts w:ascii="Arial" w:eastAsia="Times New Roman" w:hAnsi="Arial" w:cs="Arial"/>
                <w:kern w:val="36"/>
                <w:lang w:eastAsia="en-GB"/>
              </w:rPr>
              <w:t>.</w:t>
            </w:r>
            <w:r w:rsidR="003A09BA" w:rsidRPr="00A101A4">
              <w:rPr>
                <w:rFonts w:ascii="Arial" w:eastAsia="Times New Roman" w:hAnsi="Arial" w:cs="Arial"/>
                <w:kern w:val="36"/>
                <w:lang w:eastAsia="en-GB"/>
              </w:rPr>
              <w:t xml:space="preserve"> </w:t>
            </w:r>
          </w:p>
          <w:p w14:paraId="455C77B3" w14:textId="0F00C83A" w:rsidR="00B80300" w:rsidRPr="00A101A4" w:rsidRDefault="00FA6407"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More robust data capture of disabled students across the student lifecycle.</w:t>
            </w:r>
          </w:p>
          <w:p w14:paraId="0F83ACCC" w14:textId="005BBCEF" w:rsidR="004E6291" w:rsidRPr="00A101A4" w:rsidRDefault="004E6291"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Staff evaluation and feedback</w:t>
            </w:r>
            <w:r w:rsidR="00340B8F" w:rsidRPr="00A101A4">
              <w:rPr>
                <w:rFonts w:ascii="Arial" w:eastAsia="Times New Roman" w:hAnsi="Arial" w:cs="Arial"/>
                <w:kern w:val="36"/>
                <w:lang w:eastAsia="en-GB"/>
              </w:rPr>
              <w:t xml:space="preserve"> through improvement </w:t>
            </w:r>
            <w:r w:rsidR="00B2102D">
              <w:rPr>
                <w:rFonts w:ascii="Arial" w:eastAsia="Times New Roman" w:hAnsi="Arial" w:cs="Arial"/>
                <w:kern w:val="36"/>
                <w:lang w:eastAsia="en-GB"/>
              </w:rPr>
              <w:t>across</w:t>
            </w:r>
            <w:r w:rsidR="00340B8F" w:rsidRPr="00A101A4">
              <w:rPr>
                <w:rFonts w:ascii="Arial" w:eastAsia="Times New Roman" w:hAnsi="Arial" w:cs="Arial"/>
                <w:kern w:val="36"/>
                <w:lang w:eastAsia="en-GB"/>
              </w:rPr>
              <w:t xml:space="preserve"> </w:t>
            </w:r>
            <w:r w:rsidR="00B80300" w:rsidRPr="00A101A4">
              <w:rPr>
                <w:rFonts w:ascii="Arial" w:eastAsia="Times New Roman" w:hAnsi="Arial" w:cs="Arial"/>
                <w:kern w:val="36"/>
                <w:lang w:eastAsia="en-GB"/>
              </w:rPr>
              <w:t xml:space="preserve">Colleague Engagement scores for disabled respondents. </w:t>
            </w:r>
          </w:p>
          <w:p w14:paraId="582E4C6C" w14:textId="5A6BC390" w:rsidR="00C32786" w:rsidRPr="00A101A4" w:rsidRDefault="00C32786" w:rsidP="00FA6407">
            <w:pPr>
              <w:pStyle w:val="ListParagraph"/>
              <w:numPr>
                <w:ilvl w:val="0"/>
                <w:numId w:val="6"/>
              </w:numPr>
              <w:spacing w:line="276" w:lineRule="auto"/>
              <w:rPr>
                <w:rFonts w:ascii="Arial" w:eastAsia="Times New Roman" w:hAnsi="Arial" w:cs="Arial"/>
                <w:kern w:val="36"/>
                <w:lang w:eastAsia="en-GB"/>
              </w:rPr>
            </w:pPr>
            <w:r w:rsidRPr="00A101A4">
              <w:rPr>
                <w:rFonts w:ascii="Arial" w:eastAsia="Times New Roman" w:hAnsi="Arial" w:cs="Arial"/>
                <w:kern w:val="36"/>
                <w:lang w:eastAsia="en-GB"/>
              </w:rPr>
              <w:t xml:space="preserve">Continuous improvement in KPI 2030 on declarations rates for </w:t>
            </w:r>
            <w:r w:rsidR="00B2102D">
              <w:rPr>
                <w:rFonts w:ascii="Arial" w:eastAsia="Times New Roman" w:hAnsi="Arial" w:cs="Arial"/>
                <w:kern w:val="36"/>
                <w:lang w:eastAsia="en-GB"/>
              </w:rPr>
              <w:t>d</w:t>
            </w:r>
            <w:r w:rsidRPr="00A101A4">
              <w:rPr>
                <w:rFonts w:ascii="Arial" w:eastAsia="Times New Roman" w:hAnsi="Arial" w:cs="Arial"/>
                <w:kern w:val="36"/>
                <w:lang w:eastAsia="en-GB"/>
              </w:rPr>
              <w:t>isabled staff.</w:t>
            </w:r>
          </w:p>
          <w:p w14:paraId="09748135" w14:textId="77777777" w:rsidR="00CB2F01" w:rsidRPr="00A101A4" w:rsidRDefault="00466D3C"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Improvement in p</w:t>
            </w:r>
            <w:r w:rsidR="005C17A0" w:rsidRPr="00A101A4">
              <w:rPr>
                <w:rFonts w:ascii="Arial" w:eastAsia="Times New Roman" w:hAnsi="Arial" w:cs="Arial"/>
                <w:kern w:val="36"/>
                <w:lang w:eastAsia="en-GB"/>
              </w:rPr>
              <w:t>roportionate engagement with EAP and</w:t>
            </w:r>
            <w:r w:rsidR="008327F4" w:rsidRPr="00A101A4">
              <w:rPr>
                <w:rFonts w:ascii="Arial" w:eastAsia="Times New Roman" w:hAnsi="Arial" w:cs="Arial"/>
                <w:kern w:val="36"/>
                <w:lang w:eastAsia="en-GB"/>
              </w:rPr>
              <w:t xml:space="preserve"> relevant student services by gender.</w:t>
            </w:r>
          </w:p>
          <w:p w14:paraId="0F4D1E26" w14:textId="32DBAB30" w:rsidR="00D32CBA" w:rsidRPr="00A101A4" w:rsidRDefault="00D32CBA"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Baseline understanding of</w:t>
            </w:r>
            <w:r w:rsidR="00D80B54" w:rsidRPr="00A101A4">
              <w:rPr>
                <w:rFonts w:ascii="Arial" w:eastAsia="Times New Roman" w:hAnsi="Arial" w:cs="Arial"/>
                <w:kern w:val="36"/>
                <w:lang w:eastAsia="en-GB"/>
              </w:rPr>
              <w:t xml:space="preserve"> disability declarations amongst current</w:t>
            </w:r>
            <w:r w:rsidRPr="00A101A4">
              <w:rPr>
                <w:rFonts w:ascii="Arial" w:eastAsia="Times New Roman" w:hAnsi="Arial" w:cs="Arial"/>
                <w:kern w:val="36"/>
                <w:lang w:eastAsia="en-GB"/>
              </w:rPr>
              <w:t xml:space="preserve"> </w:t>
            </w:r>
            <w:r w:rsidR="00D80B54" w:rsidRPr="00A101A4">
              <w:rPr>
                <w:rFonts w:ascii="Arial" w:eastAsia="Times New Roman" w:hAnsi="Arial" w:cs="Arial"/>
                <w:kern w:val="36"/>
                <w:lang w:eastAsia="en-GB"/>
              </w:rPr>
              <w:t>Court members.</w:t>
            </w:r>
          </w:p>
        </w:tc>
      </w:tr>
      <w:tr w:rsidR="00253DAE" w:rsidRPr="00A101A4" w14:paraId="4E6A7F5D" w14:textId="77777777" w:rsidTr="000A6330">
        <w:trPr>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tcPr>
          <w:p w14:paraId="1023AD37" w14:textId="35B25E22" w:rsidR="00253DAE" w:rsidRPr="00C522DD" w:rsidRDefault="00253DAE" w:rsidP="00642456">
            <w:pPr>
              <w:pStyle w:val="Heading4"/>
              <w:jc w:val="center"/>
              <w:rPr>
                <w:rFonts w:ascii="Arial" w:hAnsi="Arial" w:cs="Arial"/>
                <w:i w:val="0"/>
                <w:iCs w:val="0"/>
                <w:color w:val="FFFFFF" w:themeColor="background1"/>
                <w:lang w:eastAsia="en-GB"/>
              </w:rPr>
            </w:pPr>
            <w:bookmarkStart w:id="2" w:name="_2._Advance_our"/>
            <w:bookmarkEnd w:id="2"/>
            <w:r w:rsidRPr="00C522DD">
              <w:rPr>
                <w:rFonts w:ascii="Arial" w:hAnsi="Arial" w:cs="Arial"/>
                <w:i w:val="0"/>
                <w:iCs w:val="0"/>
                <w:color w:val="FFFFFF" w:themeColor="background1"/>
                <w:lang w:eastAsia="en-GB"/>
              </w:rPr>
              <w:lastRenderedPageBreak/>
              <w:t xml:space="preserve">2. </w:t>
            </w:r>
            <w:r w:rsidR="0087240B" w:rsidRPr="00C522DD">
              <w:rPr>
                <w:rFonts w:ascii="Arial" w:hAnsi="Arial" w:cs="Arial"/>
                <w:i w:val="0"/>
                <w:iCs w:val="0"/>
                <w:color w:val="FFFFFF" w:themeColor="background1"/>
                <w:lang w:eastAsia="en-GB"/>
              </w:rPr>
              <w:t>A</w:t>
            </w:r>
            <w:r w:rsidR="002D08DF" w:rsidRPr="00C522DD">
              <w:rPr>
                <w:rFonts w:ascii="Arial" w:hAnsi="Arial" w:cs="Arial"/>
                <w:i w:val="0"/>
                <w:iCs w:val="0"/>
                <w:color w:val="FFFFFF" w:themeColor="background1"/>
                <w:lang w:eastAsia="en-GB"/>
              </w:rPr>
              <w:t>dvance</w:t>
            </w:r>
            <w:r w:rsidRPr="00C522DD">
              <w:rPr>
                <w:rFonts w:ascii="Arial" w:hAnsi="Arial" w:cs="Arial"/>
                <w:i w:val="0"/>
                <w:iCs w:val="0"/>
                <w:color w:val="FFFFFF" w:themeColor="background1"/>
                <w:lang w:eastAsia="en-GB"/>
              </w:rPr>
              <w:t xml:space="preserve"> </w:t>
            </w:r>
            <w:r w:rsidR="00630A39" w:rsidRPr="00C522DD">
              <w:rPr>
                <w:rFonts w:ascii="Arial" w:hAnsi="Arial" w:cs="Arial"/>
                <w:i w:val="0"/>
                <w:iCs w:val="0"/>
                <w:color w:val="FFFFFF" w:themeColor="background1"/>
                <w:lang w:eastAsia="en-GB"/>
              </w:rPr>
              <w:t xml:space="preserve">our </w:t>
            </w:r>
            <w:r w:rsidRPr="00C522DD">
              <w:rPr>
                <w:rFonts w:ascii="Arial" w:hAnsi="Arial" w:cs="Arial"/>
                <w:i w:val="0"/>
                <w:iCs w:val="0"/>
                <w:color w:val="FFFFFF" w:themeColor="background1"/>
                <w:lang w:eastAsia="en-GB"/>
              </w:rPr>
              <w:t xml:space="preserve">anti-racist approach to race equality work and </w:t>
            </w:r>
            <w:r w:rsidR="00C7296A" w:rsidRPr="00C522DD">
              <w:rPr>
                <w:rFonts w:ascii="Arial" w:hAnsi="Arial" w:cs="Arial"/>
                <w:i w:val="0"/>
                <w:iCs w:val="0"/>
                <w:color w:val="FFFFFF" w:themeColor="background1"/>
                <w:lang w:eastAsia="en-GB"/>
              </w:rPr>
              <w:t xml:space="preserve">continue </w:t>
            </w:r>
            <w:r w:rsidRPr="00C522DD">
              <w:rPr>
                <w:rFonts w:ascii="Arial" w:hAnsi="Arial" w:cs="Arial"/>
                <w:i w:val="0"/>
                <w:iCs w:val="0"/>
                <w:color w:val="FFFFFF" w:themeColor="background1"/>
                <w:lang w:eastAsia="en-GB"/>
              </w:rPr>
              <w:t>to address structural inequalities.</w:t>
            </w:r>
          </w:p>
          <w:p w14:paraId="217389FE" w14:textId="77777777" w:rsidR="000811FC" w:rsidRPr="00A101A4" w:rsidRDefault="000811FC" w:rsidP="00253DAE">
            <w:pPr>
              <w:jc w:val="center"/>
              <w:rPr>
                <w:rFonts w:ascii="Arial" w:eastAsia="Times New Roman" w:hAnsi="Arial" w:cs="Arial"/>
                <w:color w:val="FFFFFF" w:themeColor="background1"/>
                <w:kern w:val="36"/>
                <w:lang w:eastAsia="en-GB"/>
              </w:rPr>
            </w:pPr>
          </w:p>
          <w:p w14:paraId="7607FD52" w14:textId="2BA2D935" w:rsidR="00BA6704" w:rsidRPr="00A101A4" w:rsidRDefault="00BA6704" w:rsidP="00253DAE">
            <w:pPr>
              <w:jc w:val="center"/>
              <w:rPr>
                <w:rFonts w:ascii="Arial" w:eastAsia="Times New Roman" w:hAnsi="Arial" w:cs="Arial"/>
                <w:b/>
                <w:bCs/>
                <w:color w:val="FFFFFF" w:themeColor="background1"/>
                <w:kern w:val="36"/>
                <w:lang w:eastAsia="en-GB"/>
              </w:rPr>
            </w:pPr>
            <w:r w:rsidRPr="00A101A4">
              <w:rPr>
                <w:rFonts w:ascii="Arial" w:eastAsia="Times New Roman" w:hAnsi="Arial" w:cs="Arial"/>
                <w:b/>
                <w:bCs/>
                <w:color w:val="FFFFFF" w:themeColor="background1"/>
                <w:kern w:val="36"/>
                <w:lang w:eastAsia="en-GB"/>
              </w:rPr>
              <w:t>(NEOs: 4.1-4)</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266741B" w14:textId="77D080B4" w:rsidR="00CB6C35" w:rsidRPr="00A101A4" w:rsidRDefault="00CB6C35" w:rsidP="00FA6407">
            <w:pPr>
              <w:numPr>
                <w:ilvl w:val="0"/>
                <w:numId w:val="1"/>
              </w:numPr>
              <w:spacing w:line="276" w:lineRule="auto"/>
              <w:contextualSpacing/>
              <w:rPr>
                <w:rFonts w:ascii="Arial" w:hAnsi="Arial" w:cs="Arial"/>
              </w:rPr>
            </w:pPr>
            <w:r w:rsidRPr="00A101A4">
              <w:rPr>
                <w:rFonts w:ascii="Arial" w:hAnsi="Arial" w:cs="Arial"/>
              </w:rPr>
              <w:t>Continue to advance</w:t>
            </w:r>
            <w:r w:rsidR="00253DAE" w:rsidRPr="00A101A4">
              <w:rPr>
                <w:rFonts w:ascii="Arial" w:hAnsi="Arial" w:cs="Arial"/>
              </w:rPr>
              <w:t xml:space="preserve"> </w:t>
            </w:r>
            <w:r w:rsidR="00253DAE" w:rsidRPr="00A101A4">
              <w:rPr>
                <w:rFonts w:ascii="Arial" w:hAnsi="Arial" w:cs="Arial"/>
                <w:u w:val="single"/>
              </w:rPr>
              <w:t>URTUC Action Plan</w:t>
            </w:r>
            <w:r w:rsidRPr="00A101A4">
              <w:rPr>
                <w:rFonts w:ascii="Arial" w:hAnsi="Arial" w:cs="Arial"/>
              </w:rPr>
              <w:t xml:space="preserve"> with a particular focus on</w:t>
            </w:r>
            <w:r w:rsidR="001A448B" w:rsidRPr="00A101A4">
              <w:rPr>
                <w:rFonts w:ascii="Arial" w:hAnsi="Arial" w:cs="Arial"/>
              </w:rPr>
              <w:t xml:space="preserve"> tangible impact through</w:t>
            </w:r>
            <w:r w:rsidRPr="00A101A4">
              <w:rPr>
                <w:rFonts w:ascii="Arial" w:hAnsi="Arial" w:cs="Arial"/>
              </w:rPr>
              <w:t>:</w:t>
            </w:r>
          </w:p>
          <w:p w14:paraId="7FC5928B" w14:textId="4DDF3815" w:rsidR="00CB6C35" w:rsidRPr="00A101A4" w:rsidRDefault="006607FF" w:rsidP="00FA6407">
            <w:pPr>
              <w:numPr>
                <w:ilvl w:val="1"/>
                <w:numId w:val="1"/>
              </w:numPr>
              <w:spacing w:line="276" w:lineRule="auto"/>
              <w:contextualSpacing/>
              <w:rPr>
                <w:rFonts w:ascii="Arial" w:hAnsi="Arial" w:cs="Arial"/>
              </w:rPr>
            </w:pPr>
            <w:r w:rsidRPr="00A101A4">
              <w:rPr>
                <w:rFonts w:ascii="Arial" w:hAnsi="Arial" w:cs="Arial"/>
              </w:rPr>
              <w:t>Addressing Awarding Gap</w:t>
            </w:r>
          </w:p>
          <w:p w14:paraId="0BB3621E" w14:textId="29954B44" w:rsidR="006607FF" w:rsidRPr="00A101A4" w:rsidRDefault="00B97B53" w:rsidP="00FA6407">
            <w:pPr>
              <w:numPr>
                <w:ilvl w:val="1"/>
                <w:numId w:val="1"/>
              </w:numPr>
              <w:spacing w:line="276" w:lineRule="auto"/>
              <w:contextualSpacing/>
              <w:rPr>
                <w:rFonts w:ascii="Arial" w:hAnsi="Arial" w:cs="Arial"/>
              </w:rPr>
            </w:pPr>
            <w:r w:rsidRPr="00A101A4">
              <w:rPr>
                <w:rFonts w:ascii="Arial" w:hAnsi="Arial" w:cs="Arial"/>
              </w:rPr>
              <w:t>Enhancing Allyship</w:t>
            </w:r>
          </w:p>
          <w:p w14:paraId="2B8E2B33" w14:textId="3BC157F7" w:rsidR="00253DAE" w:rsidRPr="00A101A4" w:rsidDel="00476CCB" w:rsidRDefault="00B97B53" w:rsidP="00FA6407">
            <w:pPr>
              <w:numPr>
                <w:ilvl w:val="1"/>
                <w:numId w:val="1"/>
              </w:numPr>
              <w:spacing w:line="276" w:lineRule="auto"/>
              <w:contextualSpacing/>
              <w:rPr>
                <w:rFonts w:ascii="Arial" w:hAnsi="Arial" w:cs="Arial"/>
              </w:rPr>
            </w:pPr>
            <w:r w:rsidRPr="00A101A4">
              <w:rPr>
                <w:rFonts w:ascii="Arial" w:eastAsia="Times New Roman" w:hAnsi="Arial" w:cs="Arial"/>
                <w:kern w:val="36"/>
                <w:lang w:eastAsia="en-GB"/>
              </w:rPr>
              <w:t>Diversifying Recruitment</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5220D" w14:textId="77777777" w:rsidR="00D95590" w:rsidRPr="00A101A4" w:rsidRDefault="00D95590" w:rsidP="00FA6407">
            <w:pPr>
              <w:spacing w:line="276" w:lineRule="auto"/>
              <w:rPr>
                <w:rFonts w:ascii="Arial" w:eastAsia="Times New Roman" w:hAnsi="Arial" w:cs="Arial"/>
                <w:kern w:val="36"/>
                <w:lang w:eastAsia="en-GB"/>
              </w:rPr>
            </w:pPr>
          </w:p>
          <w:p w14:paraId="78EDD323" w14:textId="1CE90803" w:rsidR="00253DAE" w:rsidRPr="00A101A4" w:rsidRDefault="00253DAE" w:rsidP="00FA6407">
            <w:pPr>
              <w:spacing w:line="276" w:lineRule="auto"/>
              <w:rPr>
                <w:rFonts w:ascii="Arial" w:eastAsia="Times New Roman" w:hAnsi="Arial" w:cs="Arial"/>
                <w:kern w:val="36"/>
                <w:lang w:eastAsia="en-GB"/>
              </w:rPr>
            </w:pPr>
            <w:r w:rsidRPr="00A101A4">
              <w:rPr>
                <w:rFonts w:ascii="Arial" w:eastAsia="Times New Roman" w:hAnsi="Arial" w:cs="Arial"/>
                <w:kern w:val="36"/>
                <w:lang w:eastAsia="en-GB"/>
              </w:rPr>
              <w:t>SMG; Race Champion;</w:t>
            </w:r>
            <w:r w:rsidR="00BC6206" w:rsidRPr="00A101A4">
              <w:rPr>
                <w:rFonts w:ascii="Arial" w:eastAsia="Times New Roman" w:hAnsi="Arial" w:cs="Arial"/>
                <w:kern w:val="36"/>
                <w:lang w:eastAsia="en-GB"/>
              </w:rPr>
              <w:t xml:space="preserve"> Sanctuary Champion;</w:t>
            </w:r>
            <w:r w:rsidRPr="00A101A4">
              <w:rPr>
                <w:rFonts w:ascii="Arial" w:eastAsia="Times New Roman" w:hAnsi="Arial" w:cs="Arial"/>
                <w:kern w:val="36"/>
                <w:lang w:eastAsia="en-GB"/>
              </w:rPr>
              <w:t xml:space="preserve"> EDU</w:t>
            </w:r>
            <w:r w:rsidR="00D95590" w:rsidRPr="00A101A4">
              <w:rPr>
                <w:rFonts w:ascii="Arial" w:eastAsia="Times New Roman" w:hAnsi="Arial" w:cs="Arial"/>
                <w:kern w:val="36"/>
                <w:lang w:eastAsia="en-GB"/>
              </w:rPr>
              <w:t>; ER</w:t>
            </w:r>
            <w:r w:rsidRPr="00A101A4">
              <w:rPr>
                <w:rFonts w:ascii="Arial" w:eastAsia="Times New Roman" w:hAnsi="Arial" w:cs="Arial"/>
                <w:kern w:val="36"/>
                <w:lang w:eastAsia="en-GB"/>
              </w:rPr>
              <w:t>– further details in the action plan.</w:t>
            </w:r>
          </w:p>
          <w:p w14:paraId="56C9D4AF" w14:textId="77777777" w:rsidR="00253DAE" w:rsidRPr="00A101A4" w:rsidRDefault="00253DAE" w:rsidP="00FA6407">
            <w:pPr>
              <w:spacing w:line="276" w:lineRule="auto"/>
              <w:rPr>
                <w:rFonts w:ascii="Arial" w:eastAsia="Times New Roman" w:hAnsi="Arial" w:cs="Arial"/>
                <w:kern w:val="36"/>
                <w:lang w:eastAsia="en-GB"/>
              </w:rPr>
            </w:pPr>
          </w:p>
          <w:p w14:paraId="081C1979" w14:textId="68A3E88F" w:rsidR="00253DAE" w:rsidRPr="00A101A4" w:rsidRDefault="00253DAE" w:rsidP="00FA6407">
            <w:pPr>
              <w:spacing w:line="276" w:lineRule="auto"/>
              <w:rPr>
                <w:rFonts w:ascii="Arial" w:hAnsi="Arial" w:cs="Arial"/>
              </w:rPr>
            </w:pP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tcPr>
          <w:p w14:paraId="172D4E68" w14:textId="3E2811A8" w:rsidR="00253DAE" w:rsidRPr="00A101A4" w:rsidRDefault="00253DAE" w:rsidP="00FA6407">
            <w:pPr>
              <w:numPr>
                <w:ilvl w:val="0"/>
                <w:numId w:val="4"/>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 xml:space="preserve">UK </w:t>
            </w:r>
            <w:r w:rsidR="00EE0D70" w:rsidRPr="00A101A4">
              <w:rPr>
                <w:rFonts w:ascii="Arial" w:eastAsia="Times New Roman" w:hAnsi="Arial" w:cs="Arial"/>
                <w:kern w:val="36"/>
                <w:lang w:eastAsia="en-GB"/>
              </w:rPr>
              <w:t>Minority Ethnic</w:t>
            </w:r>
            <w:r w:rsidR="00A34F7B" w:rsidRPr="00A101A4">
              <w:rPr>
                <w:rFonts w:ascii="Arial" w:eastAsia="Times New Roman" w:hAnsi="Arial" w:cs="Arial"/>
                <w:kern w:val="36"/>
                <w:lang w:eastAsia="en-GB"/>
              </w:rPr>
              <w:t xml:space="preserve"> Staff</w:t>
            </w:r>
            <w:r w:rsidRPr="00A101A4">
              <w:rPr>
                <w:rFonts w:ascii="Arial" w:eastAsia="Times New Roman" w:hAnsi="Arial" w:cs="Arial"/>
                <w:kern w:val="36"/>
                <w:lang w:eastAsia="en-GB"/>
              </w:rPr>
              <w:t xml:space="preserve"> KPI</w:t>
            </w:r>
            <w:r w:rsidR="00860F66" w:rsidRPr="00A101A4">
              <w:rPr>
                <w:rFonts w:ascii="Arial" w:eastAsia="Times New Roman" w:hAnsi="Arial" w:cs="Arial"/>
                <w:kern w:val="36"/>
                <w:lang w:eastAsia="en-GB"/>
              </w:rPr>
              <w:t xml:space="preserve"> 2030</w:t>
            </w:r>
          </w:p>
          <w:p w14:paraId="5B0F5C4D" w14:textId="22F724E3" w:rsidR="00F8593F" w:rsidRPr="00A101A4" w:rsidRDefault="000A5C0D"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 xml:space="preserve">Adopt </w:t>
            </w:r>
            <w:r w:rsidR="00BC6206" w:rsidRPr="00A101A4">
              <w:rPr>
                <w:rFonts w:ascii="Arial" w:eastAsia="Times New Roman" w:hAnsi="Arial" w:cs="Arial"/>
                <w:kern w:val="36"/>
                <w:lang w:eastAsia="en-GB"/>
              </w:rPr>
              <w:t>GT</w:t>
            </w:r>
            <w:r w:rsidR="004D7198" w:rsidRPr="00A101A4">
              <w:rPr>
                <w:rFonts w:ascii="Arial" w:eastAsia="Times New Roman" w:hAnsi="Arial" w:cs="Arial"/>
                <w:kern w:val="36"/>
                <w:lang w:eastAsia="en-GB"/>
              </w:rPr>
              <w:t>R</w:t>
            </w:r>
            <w:r w:rsidR="00BC6206" w:rsidRPr="00A101A4">
              <w:rPr>
                <w:rFonts w:ascii="Arial" w:eastAsia="Times New Roman" w:hAnsi="Arial" w:cs="Arial"/>
                <w:kern w:val="36"/>
                <w:lang w:eastAsia="en-GB"/>
              </w:rPr>
              <w:t>SB Pledge</w:t>
            </w:r>
            <w:r w:rsidR="00EE0D70" w:rsidRPr="00A101A4">
              <w:rPr>
                <w:rFonts w:ascii="Arial" w:eastAsia="Times New Roman" w:hAnsi="Arial" w:cs="Arial"/>
                <w:kern w:val="36"/>
                <w:lang w:eastAsia="en-GB"/>
              </w:rPr>
              <w:t xml:space="preserve"> </w:t>
            </w:r>
          </w:p>
          <w:p w14:paraId="3909F78C" w14:textId="7111CA2E" w:rsidR="00545BE2" w:rsidRPr="00A101A4" w:rsidRDefault="00EE0D70" w:rsidP="00FA6407">
            <w:pPr>
              <w:numPr>
                <w:ilvl w:val="0"/>
                <w:numId w:val="6"/>
              </w:numPr>
              <w:spacing w:line="276" w:lineRule="auto"/>
              <w:contextualSpacing/>
              <w:rPr>
                <w:rFonts w:ascii="Arial" w:eastAsia="Times New Roman" w:hAnsi="Arial" w:cs="Arial"/>
                <w:kern w:val="36"/>
                <w:lang w:eastAsia="en-GB"/>
              </w:rPr>
            </w:pPr>
            <w:r w:rsidRPr="00A101A4">
              <w:rPr>
                <w:rFonts w:ascii="Arial" w:eastAsia="Times New Roman" w:hAnsi="Arial" w:cs="Arial"/>
                <w:kern w:val="36"/>
                <w:lang w:eastAsia="en-GB"/>
              </w:rPr>
              <w:t>Success measures</w:t>
            </w:r>
            <w:r w:rsidR="00D709FE" w:rsidRPr="00A101A4">
              <w:rPr>
                <w:rFonts w:ascii="Arial" w:eastAsia="Times New Roman" w:hAnsi="Arial" w:cs="Arial"/>
                <w:kern w:val="36"/>
                <w:lang w:eastAsia="en-GB"/>
              </w:rPr>
              <w:t xml:space="preserve"> as</w:t>
            </w:r>
            <w:r w:rsidRPr="00A101A4">
              <w:rPr>
                <w:rFonts w:ascii="Arial" w:eastAsia="Times New Roman" w:hAnsi="Arial" w:cs="Arial"/>
                <w:kern w:val="36"/>
                <w:lang w:eastAsia="en-GB"/>
              </w:rPr>
              <w:t xml:space="preserve"> detailed in the URTUC action plan.</w:t>
            </w:r>
          </w:p>
        </w:tc>
      </w:tr>
      <w:tr w:rsidR="00253DAE" w:rsidRPr="00A101A4" w14:paraId="1E68ED56" w14:textId="77777777" w:rsidTr="000A6330">
        <w:trPr>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tcPr>
          <w:p w14:paraId="1B0129A0" w14:textId="3788AF4F" w:rsidR="00253DAE" w:rsidRPr="00C522DD" w:rsidRDefault="00253DAE" w:rsidP="00642456">
            <w:pPr>
              <w:pStyle w:val="Heading4"/>
              <w:jc w:val="center"/>
              <w:rPr>
                <w:rFonts w:ascii="Arial" w:hAnsi="Arial" w:cs="Arial"/>
                <w:i w:val="0"/>
                <w:iCs w:val="0"/>
                <w:color w:val="FFFFFF" w:themeColor="background1"/>
                <w:lang w:eastAsia="en-GB"/>
              </w:rPr>
            </w:pPr>
            <w:bookmarkStart w:id="3" w:name="_3._Build_on"/>
            <w:bookmarkEnd w:id="3"/>
            <w:r w:rsidRPr="00C522DD">
              <w:rPr>
                <w:rFonts w:ascii="Arial" w:hAnsi="Arial" w:cs="Arial"/>
                <w:i w:val="0"/>
                <w:iCs w:val="0"/>
                <w:color w:val="FFFFFF" w:themeColor="background1"/>
                <w:lang w:eastAsia="en-GB"/>
              </w:rPr>
              <w:t xml:space="preserve">3. </w:t>
            </w:r>
            <w:r w:rsidR="004A0A1D" w:rsidRPr="00C522DD">
              <w:rPr>
                <w:rFonts w:ascii="Arial" w:hAnsi="Arial" w:cs="Arial"/>
                <w:i w:val="0"/>
                <w:iCs w:val="0"/>
                <w:color w:val="FFFFFF" w:themeColor="background1"/>
                <w:lang w:eastAsia="en-GB"/>
              </w:rPr>
              <w:t xml:space="preserve">Build on foundational work in </w:t>
            </w:r>
            <w:r w:rsidR="009D3EA5" w:rsidRPr="00C522DD">
              <w:rPr>
                <w:rFonts w:ascii="Arial" w:hAnsi="Arial" w:cs="Arial"/>
                <w:i w:val="0"/>
                <w:iCs w:val="0"/>
                <w:color w:val="FFFFFF" w:themeColor="background1"/>
                <w:lang w:eastAsia="en-GB"/>
              </w:rPr>
              <w:t>delivering an</w:t>
            </w:r>
            <w:r w:rsidRPr="00C522DD">
              <w:rPr>
                <w:rFonts w:ascii="Arial" w:hAnsi="Arial" w:cs="Arial"/>
                <w:i w:val="0"/>
                <w:iCs w:val="0"/>
                <w:color w:val="FFFFFF" w:themeColor="background1"/>
                <w:lang w:eastAsia="en-GB"/>
              </w:rPr>
              <w:t xml:space="preserve"> engaging and enabling culture for women</w:t>
            </w:r>
            <w:r w:rsidR="009D3EA5" w:rsidRPr="00C522DD">
              <w:rPr>
                <w:rFonts w:ascii="Arial" w:hAnsi="Arial" w:cs="Arial"/>
                <w:i w:val="0"/>
                <w:iCs w:val="0"/>
                <w:color w:val="FFFFFF" w:themeColor="background1"/>
                <w:lang w:eastAsia="en-GB"/>
              </w:rPr>
              <w:t xml:space="preserve"> through</w:t>
            </w:r>
            <w:r w:rsidRPr="00C522DD">
              <w:rPr>
                <w:rFonts w:ascii="Arial" w:hAnsi="Arial" w:cs="Arial"/>
                <w:i w:val="0"/>
                <w:iCs w:val="0"/>
                <w:color w:val="FFFFFF" w:themeColor="background1"/>
                <w:lang w:eastAsia="en-GB"/>
              </w:rPr>
              <w:t xml:space="preserve"> continued focus on increasing percentage of senior women</w:t>
            </w:r>
            <w:r w:rsidR="00926CB3" w:rsidRPr="00C522DD">
              <w:rPr>
                <w:rFonts w:ascii="Arial" w:hAnsi="Arial" w:cs="Arial"/>
                <w:i w:val="0"/>
                <w:iCs w:val="0"/>
                <w:color w:val="FFFFFF" w:themeColor="background1"/>
                <w:lang w:eastAsia="en-GB"/>
              </w:rPr>
              <w:t xml:space="preserve"> </w:t>
            </w:r>
            <w:r w:rsidRPr="00C522DD">
              <w:rPr>
                <w:rFonts w:ascii="Arial" w:hAnsi="Arial" w:cs="Arial"/>
                <w:i w:val="0"/>
                <w:iCs w:val="0"/>
                <w:color w:val="FFFFFF" w:themeColor="background1"/>
                <w:lang w:eastAsia="en-GB"/>
              </w:rPr>
              <w:t xml:space="preserve">and </w:t>
            </w:r>
            <w:r w:rsidR="007103B7" w:rsidRPr="00C522DD">
              <w:rPr>
                <w:rFonts w:ascii="Arial" w:hAnsi="Arial" w:cs="Arial"/>
                <w:i w:val="0"/>
                <w:iCs w:val="0"/>
                <w:color w:val="FFFFFF" w:themeColor="background1"/>
                <w:lang w:eastAsia="en-GB"/>
              </w:rPr>
              <w:t>actively tackling GBV on campus.</w:t>
            </w:r>
          </w:p>
          <w:p w14:paraId="55EF9E98" w14:textId="77777777" w:rsidR="00253DAE" w:rsidRPr="00A101A4" w:rsidRDefault="00253DAE" w:rsidP="00253DAE">
            <w:pPr>
              <w:rPr>
                <w:rFonts w:ascii="Arial" w:eastAsia="Times New Roman" w:hAnsi="Arial" w:cs="Arial"/>
                <w:b/>
                <w:bCs/>
                <w:color w:val="FFFFFF" w:themeColor="background1"/>
                <w:kern w:val="36"/>
                <w:lang w:eastAsia="en-GB"/>
              </w:rPr>
            </w:pPr>
          </w:p>
          <w:p w14:paraId="16A6ACC1" w14:textId="067ACCC6" w:rsidR="00F75316" w:rsidRPr="00A101A4" w:rsidRDefault="00781987" w:rsidP="00781987">
            <w:pPr>
              <w:jc w:val="center"/>
              <w:rPr>
                <w:rFonts w:ascii="Arial" w:eastAsia="Times New Roman" w:hAnsi="Arial" w:cs="Arial"/>
                <w:b/>
                <w:bCs/>
                <w:color w:val="FFFFFF" w:themeColor="background1"/>
                <w:kern w:val="36"/>
                <w:lang w:eastAsia="en-GB"/>
              </w:rPr>
            </w:pPr>
            <w:r w:rsidRPr="00A101A4">
              <w:rPr>
                <w:rFonts w:ascii="Arial" w:eastAsia="Times New Roman" w:hAnsi="Arial" w:cs="Arial"/>
                <w:b/>
                <w:bCs/>
                <w:color w:val="FFFFFF" w:themeColor="background1"/>
                <w:kern w:val="36"/>
                <w:lang w:eastAsia="en-GB"/>
              </w:rPr>
              <w:t>(NEOs: 6.1-4)</w:t>
            </w:r>
          </w:p>
        </w:tc>
        <w:tc>
          <w:tcPr>
            <w:tcW w:w="4780" w:type="dxa"/>
            <w:tcBorders>
              <w:top w:val="single" w:sz="4" w:space="0" w:color="auto"/>
              <w:left w:val="single" w:sz="4" w:space="0" w:color="auto"/>
              <w:bottom w:val="single" w:sz="4" w:space="0" w:color="auto"/>
              <w:right w:val="single" w:sz="4" w:space="0" w:color="auto"/>
            </w:tcBorders>
            <w:vAlign w:val="center"/>
          </w:tcPr>
          <w:p w14:paraId="133E227C" w14:textId="2F94052B" w:rsidR="00253DAE" w:rsidRPr="00A101A4" w:rsidRDefault="00253DAE" w:rsidP="00474128">
            <w:pPr>
              <w:numPr>
                <w:ilvl w:val="0"/>
                <w:numId w:val="1"/>
              </w:numPr>
              <w:spacing w:line="276" w:lineRule="auto"/>
              <w:contextualSpacing/>
              <w:rPr>
                <w:rFonts w:ascii="Arial" w:hAnsi="Arial" w:cs="Arial"/>
              </w:rPr>
            </w:pPr>
            <w:r w:rsidRPr="00A101A4">
              <w:rPr>
                <w:rFonts w:ascii="Arial" w:hAnsi="Arial" w:cs="Arial"/>
              </w:rPr>
              <w:t>Senior women KPI 2030</w:t>
            </w:r>
          </w:p>
          <w:p w14:paraId="0AAF69E8" w14:textId="77777777" w:rsidR="00FB0AA6" w:rsidRPr="00A101A4" w:rsidRDefault="00FB0AA6" w:rsidP="00474128">
            <w:pPr>
              <w:numPr>
                <w:ilvl w:val="0"/>
                <w:numId w:val="1"/>
              </w:numPr>
              <w:spacing w:line="276" w:lineRule="auto"/>
              <w:contextualSpacing/>
              <w:rPr>
                <w:rFonts w:ascii="Arial" w:hAnsi="Arial" w:cs="Arial"/>
              </w:rPr>
            </w:pPr>
            <w:r w:rsidRPr="00A101A4">
              <w:rPr>
                <w:rFonts w:ascii="Arial" w:hAnsi="Arial" w:cs="Arial"/>
              </w:rPr>
              <w:t>Support Schools with Athena Swan Renewals and New Awards.</w:t>
            </w:r>
          </w:p>
          <w:p w14:paraId="019CD865" w14:textId="058737C4" w:rsidR="00253DAE" w:rsidRPr="00A101A4" w:rsidRDefault="00FB0AA6" w:rsidP="00474128">
            <w:pPr>
              <w:numPr>
                <w:ilvl w:val="0"/>
                <w:numId w:val="1"/>
              </w:numPr>
              <w:spacing w:line="276" w:lineRule="auto"/>
              <w:contextualSpacing/>
              <w:rPr>
                <w:rFonts w:ascii="Arial" w:hAnsi="Arial" w:cs="Arial"/>
              </w:rPr>
            </w:pPr>
            <w:r w:rsidRPr="00A101A4">
              <w:rPr>
                <w:rFonts w:ascii="Arial" w:hAnsi="Arial" w:cs="Arial"/>
              </w:rPr>
              <w:t xml:space="preserve">Upgrade </w:t>
            </w:r>
            <w:r w:rsidR="00253DAE" w:rsidRPr="00A101A4">
              <w:rPr>
                <w:rFonts w:ascii="Arial" w:hAnsi="Arial" w:cs="Arial"/>
              </w:rPr>
              <w:t xml:space="preserve">Institutional </w:t>
            </w:r>
            <w:r w:rsidRPr="00A101A4">
              <w:rPr>
                <w:rFonts w:ascii="Arial" w:hAnsi="Arial" w:cs="Arial"/>
              </w:rPr>
              <w:t>Athena Swan award, due 2026.</w:t>
            </w:r>
          </w:p>
          <w:p w14:paraId="130D074F" w14:textId="211C43E7" w:rsidR="00253DAE" w:rsidRPr="00A101A4" w:rsidRDefault="00253DAE" w:rsidP="00474128">
            <w:pPr>
              <w:numPr>
                <w:ilvl w:val="0"/>
                <w:numId w:val="1"/>
              </w:numPr>
              <w:spacing w:line="276" w:lineRule="auto"/>
              <w:contextualSpacing/>
              <w:rPr>
                <w:rFonts w:ascii="Arial" w:hAnsi="Arial" w:cs="Arial"/>
              </w:rPr>
            </w:pPr>
            <w:r w:rsidRPr="00A101A4">
              <w:rPr>
                <w:rFonts w:ascii="Arial" w:hAnsi="Arial" w:cs="Arial"/>
              </w:rPr>
              <w:t>Evaluat</w:t>
            </w:r>
            <w:r w:rsidR="00891E2C" w:rsidRPr="00A101A4">
              <w:rPr>
                <w:rFonts w:ascii="Arial" w:hAnsi="Arial" w:cs="Arial"/>
              </w:rPr>
              <w:t>e</w:t>
            </w:r>
            <w:r w:rsidRPr="00A101A4">
              <w:rPr>
                <w:rFonts w:ascii="Arial" w:hAnsi="Arial" w:cs="Arial"/>
              </w:rPr>
              <w:t xml:space="preserve"> </w:t>
            </w:r>
            <w:r w:rsidR="00891E2C" w:rsidRPr="00A101A4">
              <w:rPr>
                <w:rFonts w:ascii="Arial" w:hAnsi="Arial" w:cs="Arial"/>
              </w:rPr>
              <w:t xml:space="preserve">implementation </w:t>
            </w:r>
            <w:r w:rsidRPr="00A101A4">
              <w:rPr>
                <w:rFonts w:ascii="Arial" w:hAnsi="Arial" w:cs="Arial"/>
              </w:rPr>
              <w:t xml:space="preserve">of Morag Ross KC Report Recommendations and GBV Action Plan to identify progress and </w:t>
            </w:r>
            <w:r w:rsidR="00E06BAD" w:rsidRPr="00A101A4">
              <w:rPr>
                <w:rFonts w:ascii="Arial" w:hAnsi="Arial" w:cs="Arial"/>
              </w:rPr>
              <w:t xml:space="preserve">address </w:t>
            </w:r>
            <w:r w:rsidRPr="00A101A4">
              <w:rPr>
                <w:rFonts w:ascii="Arial" w:hAnsi="Arial" w:cs="Arial"/>
              </w:rPr>
              <w:t>any outstanding areas for action.</w:t>
            </w:r>
          </w:p>
          <w:p w14:paraId="47C44C78" w14:textId="77777777" w:rsidR="00253DAE" w:rsidRPr="00A101A4" w:rsidRDefault="009E3F7F" w:rsidP="00474128">
            <w:pPr>
              <w:numPr>
                <w:ilvl w:val="0"/>
                <w:numId w:val="1"/>
              </w:numPr>
              <w:spacing w:line="276" w:lineRule="auto"/>
              <w:contextualSpacing/>
              <w:rPr>
                <w:rFonts w:ascii="Arial" w:hAnsi="Arial" w:cs="Arial"/>
              </w:rPr>
            </w:pPr>
            <w:r w:rsidRPr="00A101A4">
              <w:rPr>
                <w:rFonts w:ascii="Arial" w:hAnsi="Arial" w:cs="Arial"/>
              </w:rPr>
              <w:t>Continue to roll-out cyclical GBV campaigns and communications to ensure awareness of reporting and support mechanisms and processes.</w:t>
            </w:r>
          </w:p>
          <w:p w14:paraId="3CD39034" w14:textId="26D5343C" w:rsidR="00C16060" w:rsidRPr="00A101A4" w:rsidRDefault="00C16060" w:rsidP="00474128">
            <w:pPr>
              <w:spacing w:line="276" w:lineRule="auto"/>
              <w:ind w:left="360"/>
              <w:contextualSpacing/>
              <w:rPr>
                <w:rFonts w:ascii="Arial" w:hAnsi="Arial" w:cs="Arial"/>
              </w:rPr>
            </w:pPr>
          </w:p>
        </w:tc>
        <w:tc>
          <w:tcPr>
            <w:tcW w:w="1403" w:type="dxa"/>
            <w:tcBorders>
              <w:top w:val="single" w:sz="4" w:space="0" w:color="auto"/>
              <w:left w:val="single" w:sz="4" w:space="0" w:color="auto"/>
              <w:bottom w:val="single" w:sz="4" w:space="0" w:color="auto"/>
              <w:right w:val="single" w:sz="4" w:space="0" w:color="auto"/>
            </w:tcBorders>
            <w:vAlign w:val="center"/>
          </w:tcPr>
          <w:p w14:paraId="1B4FFBED" w14:textId="77777777" w:rsidR="00253DAE" w:rsidRPr="00A101A4" w:rsidRDefault="00253DAE" w:rsidP="00474128">
            <w:pPr>
              <w:spacing w:line="276" w:lineRule="auto"/>
              <w:rPr>
                <w:rFonts w:ascii="Arial" w:hAnsi="Arial" w:cs="Arial"/>
              </w:rPr>
            </w:pPr>
            <w:r w:rsidRPr="00A101A4">
              <w:rPr>
                <w:rFonts w:ascii="Arial" w:hAnsi="Arial" w:cs="Arial"/>
              </w:rPr>
              <w:t>SMG; Gender Champion; EDU; POD; HoS/DRI; S&amp;AS</w:t>
            </w:r>
          </w:p>
          <w:p w14:paraId="66806F30" w14:textId="77777777" w:rsidR="00253DAE" w:rsidRPr="00A101A4" w:rsidRDefault="00253DAE" w:rsidP="00474128">
            <w:pPr>
              <w:spacing w:line="276" w:lineRule="auto"/>
              <w:rPr>
                <w:rFonts w:ascii="Arial" w:hAnsi="Arial" w:cs="Arial"/>
              </w:rPr>
            </w:pPr>
          </w:p>
          <w:p w14:paraId="68367833" w14:textId="731DA2D1" w:rsidR="00253DAE" w:rsidRPr="00A101A4" w:rsidRDefault="00253DAE" w:rsidP="00474128">
            <w:pPr>
              <w:spacing w:line="276" w:lineRule="auto"/>
              <w:rPr>
                <w:rFonts w:ascii="Arial" w:eastAsia="Times New Roman" w:hAnsi="Arial" w:cs="Arial"/>
                <w:b/>
                <w:bCs/>
                <w:kern w:val="36"/>
                <w:lang w:eastAsia="en-GB"/>
              </w:rPr>
            </w:pPr>
          </w:p>
        </w:tc>
        <w:tc>
          <w:tcPr>
            <w:tcW w:w="5626" w:type="dxa"/>
            <w:tcBorders>
              <w:top w:val="single" w:sz="4" w:space="0" w:color="auto"/>
              <w:left w:val="single" w:sz="4" w:space="0" w:color="auto"/>
              <w:bottom w:val="single" w:sz="4" w:space="0" w:color="auto"/>
              <w:right w:val="single" w:sz="4" w:space="0" w:color="auto"/>
            </w:tcBorders>
            <w:vAlign w:val="center"/>
          </w:tcPr>
          <w:p w14:paraId="0CAE2EB9" w14:textId="77777777" w:rsidR="00253DAE" w:rsidRPr="00A101A4" w:rsidRDefault="00253DAE" w:rsidP="00474128">
            <w:pPr>
              <w:pStyle w:val="ListParagraph"/>
              <w:numPr>
                <w:ilvl w:val="0"/>
                <w:numId w:val="25"/>
              </w:numPr>
              <w:spacing w:line="276" w:lineRule="auto"/>
              <w:rPr>
                <w:rFonts w:ascii="Arial" w:hAnsi="Arial" w:cs="Arial"/>
              </w:rPr>
            </w:pPr>
            <w:r w:rsidRPr="00A101A4">
              <w:rPr>
                <w:rFonts w:ascii="Arial" w:hAnsi="Arial" w:cs="Arial"/>
              </w:rPr>
              <w:t>Senior women KPI</w:t>
            </w:r>
          </w:p>
          <w:p w14:paraId="11431BCB" w14:textId="2326FC92" w:rsidR="00253DAE" w:rsidRPr="00A101A4" w:rsidRDefault="00253DAE" w:rsidP="00474128">
            <w:pPr>
              <w:numPr>
                <w:ilvl w:val="0"/>
                <w:numId w:val="2"/>
              </w:numPr>
              <w:spacing w:line="276" w:lineRule="auto"/>
              <w:contextualSpacing/>
              <w:rPr>
                <w:rFonts w:ascii="Arial" w:hAnsi="Arial" w:cs="Arial"/>
              </w:rPr>
            </w:pPr>
            <w:r w:rsidRPr="00A101A4">
              <w:rPr>
                <w:rFonts w:ascii="Arial" w:hAnsi="Arial" w:cs="Arial"/>
              </w:rPr>
              <w:t>All Schools hold A</w:t>
            </w:r>
            <w:r w:rsidR="004204EC" w:rsidRPr="00A101A4">
              <w:rPr>
                <w:rFonts w:ascii="Arial" w:hAnsi="Arial" w:cs="Arial"/>
              </w:rPr>
              <w:t xml:space="preserve">thena </w:t>
            </w:r>
            <w:r w:rsidRPr="00A101A4">
              <w:rPr>
                <w:rFonts w:ascii="Arial" w:hAnsi="Arial" w:cs="Arial"/>
              </w:rPr>
              <w:t>S</w:t>
            </w:r>
            <w:r w:rsidR="004204EC" w:rsidRPr="00A101A4">
              <w:rPr>
                <w:rFonts w:ascii="Arial" w:hAnsi="Arial" w:cs="Arial"/>
              </w:rPr>
              <w:t>wan</w:t>
            </w:r>
            <w:r w:rsidRPr="00A101A4">
              <w:rPr>
                <w:rFonts w:ascii="Arial" w:hAnsi="Arial" w:cs="Arial"/>
              </w:rPr>
              <w:t xml:space="preserve"> awards</w:t>
            </w:r>
          </w:p>
          <w:p w14:paraId="4F0B6440" w14:textId="14681D6D" w:rsidR="00F35F51" w:rsidRPr="00A101A4" w:rsidRDefault="00F35F51" w:rsidP="00474128">
            <w:pPr>
              <w:numPr>
                <w:ilvl w:val="0"/>
                <w:numId w:val="2"/>
              </w:numPr>
              <w:spacing w:line="276" w:lineRule="auto"/>
              <w:contextualSpacing/>
              <w:rPr>
                <w:rFonts w:ascii="Arial" w:hAnsi="Arial" w:cs="Arial"/>
              </w:rPr>
            </w:pPr>
            <w:r w:rsidRPr="00A101A4">
              <w:rPr>
                <w:rFonts w:ascii="Arial" w:hAnsi="Arial" w:cs="Arial"/>
              </w:rPr>
              <w:t>Institutional Silver Athena Swan Award</w:t>
            </w:r>
          </w:p>
          <w:p w14:paraId="7EC8F431" w14:textId="6D272589" w:rsidR="004204EC" w:rsidRPr="00A101A4" w:rsidRDefault="004204EC" w:rsidP="00474128">
            <w:pPr>
              <w:numPr>
                <w:ilvl w:val="0"/>
                <w:numId w:val="2"/>
              </w:numPr>
              <w:spacing w:line="276" w:lineRule="auto"/>
              <w:contextualSpacing/>
              <w:rPr>
                <w:rFonts w:ascii="Arial" w:hAnsi="Arial" w:cs="Arial"/>
              </w:rPr>
            </w:pPr>
            <w:r w:rsidRPr="00A101A4">
              <w:rPr>
                <w:rFonts w:ascii="Arial" w:hAnsi="Arial" w:cs="Arial"/>
              </w:rPr>
              <w:t>Review outcome shows full implementation of Morag Ross KC Recommendations and GBV Action Plan.</w:t>
            </w:r>
          </w:p>
          <w:p w14:paraId="3ED5174A" w14:textId="77777777" w:rsidR="00253DAE" w:rsidRPr="00A101A4" w:rsidRDefault="00163B98" w:rsidP="00474128">
            <w:pPr>
              <w:numPr>
                <w:ilvl w:val="0"/>
                <w:numId w:val="2"/>
              </w:numPr>
              <w:spacing w:line="276" w:lineRule="auto"/>
              <w:contextualSpacing/>
              <w:rPr>
                <w:rFonts w:ascii="Arial" w:eastAsia="Times New Roman" w:hAnsi="Arial" w:cs="Arial"/>
                <w:kern w:val="36"/>
                <w:lang w:eastAsia="en-GB"/>
              </w:rPr>
            </w:pPr>
            <w:r w:rsidRPr="00A101A4">
              <w:rPr>
                <w:rFonts w:ascii="Arial" w:hAnsi="Arial" w:cs="Arial"/>
              </w:rPr>
              <w:t xml:space="preserve">Continued </w:t>
            </w:r>
            <w:r w:rsidR="009E3A2C" w:rsidRPr="00A101A4">
              <w:rPr>
                <w:rFonts w:ascii="Arial" w:hAnsi="Arial" w:cs="Arial"/>
              </w:rPr>
              <w:t>confidence in online reporting systems as evidenced through usage</w:t>
            </w:r>
          </w:p>
          <w:p w14:paraId="568DF125" w14:textId="0EE67C9E" w:rsidR="009E3A2C" w:rsidRPr="00A101A4" w:rsidRDefault="009E3A2C" w:rsidP="00474128">
            <w:pPr>
              <w:spacing w:line="276" w:lineRule="auto"/>
              <w:ind w:left="360"/>
              <w:contextualSpacing/>
              <w:rPr>
                <w:rFonts w:ascii="Arial" w:eastAsia="Times New Roman" w:hAnsi="Arial" w:cs="Arial"/>
                <w:b/>
                <w:bCs/>
                <w:kern w:val="36"/>
                <w:lang w:eastAsia="en-GB"/>
              </w:rPr>
            </w:pPr>
          </w:p>
        </w:tc>
      </w:tr>
      <w:tr w:rsidR="00253DAE" w:rsidRPr="00A101A4" w14:paraId="7625AA99" w14:textId="77777777" w:rsidTr="000A6330">
        <w:trPr>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tcPr>
          <w:p w14:paraId="7CCB5644" w14:textId="77777777" w:rsidR="00253DAE" w:rsidRPr="00C522DD" w:rsidRDefault="00253DAE" w:rsidP="00810DCC">
            <w:pPr>
              <w:pStyle w:val="Heading4"/>
              <w:jc w:val="center"/>
              <w:rPr>
                <w:rFonts w:ascii="Arial" w:hAnsi="Arial" w:cs="Arial"/>
                <w:i w:val="0"/>
                <w:iCs w:val="0"/>
                <w:color w:val="FFFFFF" w:themeColor="background1"/>
                <w:lang w:eastAsia="en-GB"/>
              </w:rPr>
            </w:pPr>
            <w:bookmarkStart w:id="4" w:name="_4._Cultivate_a"/>
            <w:bookmarkEnd w:id="4"/>
            <w:r w:rsidRPr="00C522DD">
              <w:rPr>
                <w:rFonts w:ascii="Arial" w:hAnsi="Arial" w:cs="Arial"/>
                <w:i w:val="0"/>
                <w:iCs w:val="0"/>
                <w:color w:val="FFFFFF" w:themeColor="background1"/>
                <w:lang w:eastAsia="en-GB"/>
              </w:rPr>
              <w:lastRenderedPageBreak/>
              <w:t>4.</w:t>
            </w:r>
            <w:r w:rsidR="001B3F36" w:rsidRPr="00C522DD">
              <w:rPr>
                <w:rFonts w:ascii="Arial" w:hAnsi="Arial" w:cs="Arial"/>
                <w:i w:val="0"/>
                <w:iCs w:val="0"/>
                <w:color w:val="FFFFFF" w:themeColor="background1"/>
                <w:lang w:eastAsia="en-GB"/>
              </w:rPr>
              <w:t xml:space="preserve"> Cultivate a </w:t>
            </w:r>
            <w:r w:rsidR="003C2911" w:rsidRPr="00C522DD">
              <w:rPr>
                <w:rFonts w:ascii="Arial" w:hAnsi="Arial" w:cs="Arial"/>
                <w:i w:val="0"/>
                <w:iCs w:val="0"/>
                <w:color w:val="FFFFFF" w:themeColor="background1"/>
                <w:lang w:eastAsia="en-GB"/>
              </w:rPr>
              <w:t xml:space="preserve">welcoming, inclusive, and connected </w:t>
            </w:r>
            <w:r w:rsidR="001B3F36" w:rsidRPr="00C522DD">
              <w:rPr>
                <w:rFonts w:ascii="Arial" w:hAnsi="Arial" w:cs="Arial"/>
                <w:i w:val="0"/>
                <w:iCs w:val="0"/>
                <w:color w:val="FFFFFF" w:themeColor="background1"/>
                <w:lang w:eastAsia="en-GB"/>
              </w:rPr>
              <w:t xml:space="preserve">UofG </w:t>
            </w:r>
            <w:r w:rsidR="003C2911" w:rsidRPr="00C522DD">
              <w:rPr>
                <w:rFonts w:ascii="Arial" w:hAnsi="Arial" w:cs="Arial"/>
                <w:i w:val="0"/>
                <w:iCs w:val="0"/>
                <w:color w:val="FFFFFF" w:themeColor="background1"/>
                <w:lang w:eastAsia="en-GB"/>
              </w:rPr>
              <w:t>community</w:t>
            </w:r>
            <w:r w:rsidR="007C309E" w:rsidRPr="00C522DD">
              <w:rPr>
                <w:rFonts w:ascii="Arial" w:hAnsi="Arial" w:cs="Arial"/>
                <w:i w:val="0"/>
                <w:iCs w:val="0"/>
                <w:color w:val="FFFFFF" w:themeColor="background1"/>
                <w:lang w:eastAsia="en-GB"/>
              </w:rPr>
              <w:t xml:space="preserve"> environment</w:t>
            </w:r>
            <w:r w:rsidR="003C2911" w:rsidRPr="00C522DD">
              <w:rPr>
                <w:rFonts w:ascii="Arial" w:hAnsi="Arial" w:cs="Arial"/>
                <w:i w:val="0"/>
                <w:iCs w:val="0"/>
                <w:color w:val="FFFFFF" w:themeColor="background1"/>
                <w:lang w:eastAsia="en-GB"/>
              </w:rPr>
              <w:t xml:space="preserve"> in </w:t>
            </w:r>
            <w:r w:rsidR="007C309E" w:rsidRPr="00C522DD">
              <w:rPr>
                <w:rFonts w:ascii="Arial" w:hAnsi="Arial" w:cs="Arial"/>
                <w:i w:val="0"/>
                <w:iCs w:val="0"/>
                <w:color w:val="FFFFFF" w:themeColor="background1"/>
                <w:lang w:eastAsia="en-GB"/>
              </w:rPr>
              <w:t xml:space="preserve">which </w:t>
            </w:r>
            <w:r w:rsidR="003C2911" w:rsidRPr="00C522DD">
              <w:rPr>
                <w:rFonts w:ascii="Arial" w:hAnsi="Arial" w:cs="Arial"/>
                <w:i w:val="0"/>
                <w:iCs w:val="0"/>
                <w:color w:val="FFFFFF" w:themeColor="background1"/>
                <w:lang w:eastAsia="en-GB"/>
              </w:rPr>
              <w:t xml:space="preserve">all </w:t>
            </w:r>
            <w:r w:rsidR="007C309E" w:rsidRPr="00C522DD">
              <w:rPr>
                <w:rFonts w:ascii="Arial" w:hAnsi="Arial" w:cs="Arial"/>
                <w:i w:val="0"/>
                <w:iCs w:val="0"/>
                <w:color w:val="FFFFFF" w:themeColor="background1"/>
                <w:lang w:eastAsia="en-GB"/>
              </w:rPr>
              <w:t xml:space="preserve">colleagues and students feel </w:t>
            </w:r>
            <w:r w:rsidR="003C2911" w:rsidRPr="00C522DD">
              <w:rPr>
                <w:rFonts w:ascii="Arial" w:hAnsi="Arial" w:cs="Arial"/>
                <w:i w:val="0"/>
                <w:iCs w:val="0"/>
                <w:color w:val="FFFFFF" w:themeColor="background1"/>
                <w:lang w:eastAsia="en-GB"/>
              </w:rPr>
              <w:t>respected, supported, and celebrated</w:t>
            </w:r>
            <w:r w:rsidR="006F0806" w:rsidRPr="00C522DD">
              <w:rPr>
                <w:rFonts w:ascii="Arial" w:hAnsi="Arial" w:cs="Arial"/>
                <w:i w:val="0"/>
                <w:iCs w:val="0"/>
                <w:color w:val="FFFFFF" w:themeColor="background1"/>
                <w:lang w:eastAsia="en-GB"/>
              </w:rPr>
              <w:t>.</w:t>
            </w:r>
          </w:p>
          <w:p w14:paraId="71CC6A45" w14:textId="77777777" w:rsidR="00A101A4" w:rsidRDefault="00A101A4" w:rsidP="003C2911">
            <w:pPr>
              <w:rPr>
                <w:rFonts w:ascii="Arial" w:eastAsia="Times New Roman" w:hAnsi="Arial" w:cs="Arial"/>
                <w:color w:val="FFFFFF" w:themeColor="background1"/>
                <w:kern w:val="36"/>
                <w:lang w:eastAsia="en-GB"/>
              </w:rPr>
            </w:pPr>
          </w:p>
          <w:p w14:paraId="15BE94F3" w14:textId="052D62A6" w:rsidR="00A101A4" w:rsidRPr="006F7354" w:rsidRDefault="00A101A4" w:rsidP="00A101A4">
            <w:pPr>
              <w:jc w:val="center"/>
              <w:rPr>
                <w:rFonts w:ascii="Arial" w:eastAsia="Times New Roman" w:hAnsi="Arial" w:cs="Arial"/>
                <w:b/>
                <w:bCs/>
                <w:color w:val="FFFFFF" w:themeColor="background1"/>
                <w:kern w:val="36"/>
                <w:lang w:eastAsia="en-GB"/>
              </w:rPr>
            </w:pPr>
            <w:r w:rsidRPr="006F7354">
              <w:rPr>
                <w:rFonts w:ascii="Arial" w:eastAsia="Times New Roman" w:hAnsi="Arial" w:cs="Arial"/>
                <w:b/>
                <w:bCs/>
                <w:color w:val="FFFFFF" w:themeColor="background1"/>
                <w:kern w:val="36"/>
                <w:lang w:eastAsia="en-GB"/>
              </w:rPr>
              <w:t xml:space="preserve">(NEOs: </w:t>
            </w:r>
            <w:r w:rsidR="006F7354" w:rsidRPr="006F7354">
              <w:rPr>
                <w:rFonts w:ascii="Arial" w:eastAsia="Times New Roman" w:hAnsi="Arial" w:cs="Arial"/>
                <w:b/>
                <w:bCs/>
                <w:color w:val="FFFFFF" w:themeColor="background1"/>
                <w:kern w:val="36"/>
                <w:lang w:eastAsia="en-GB"/>
              </w:rPr>
              <w:t>3.1; 5.1; 7.1)</w:t>
            </w:r>
          </w:p>
        </w:tc>
        <w:tc>
          <w:tcPr>
            <w:tcW w:w="4780" w:type="dxa"/>
            <w:tcBorders>
              <w:top w:val="single" w:sz="4" w:space="0" w:color="auto"/>
              <w:left w:val="single" w:sz="4" w:space="0" w:color="auto"/>
              <w:bottom w:val="single" w:sz="4" w:space="0" w:color="auto"/>
              <w:right w:val="single" w:sz="4" w:space="0" w:color="auto"/>
            </w:tcBorders>
            <w:vAlign w:val="center"/>
          </w:tcPr>
          <w:p w14:paraId="780D3C98" w14:textId="427046B3"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Devise pre-enrolment material for students outlin</w:t>
            </w:r>
            <w:r w:rsidR="000A6330">
              <w:rPr>
                <w:rFonts w:ascii="Arial" w:hAnsi="Arial" w:cs="Arial"/>
              </w:rPr>
              <w:t>ing</w:t>
            </w:r>
            <w:r w:rsidRPr="00A101A4">
              <w:rPr>
                <w:rFonts w:ascii="Arial" w:hAnsi="Arial" w:cs="Arial"/>
              </w:rPr>
              <w:t xml:space="preserve"> expected behaviours.</w:t>
            </w:r>
          </w:p>
          <w:p w14:paraId="211182CA" w14:textId="0538A516"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 xml:space="preserve">Update policy and guidance frameworks to </w:t>
            </w:r>
            <w:r w:rsidR="00CF5AC2" w:rsidRPr="00A101A4">
              <w:rPr>
                <w:rFonts w:ascii="Arial" w:hAnsi="Arial" w:cs="Arial"/>
              </w:rPr>
              <w:t>support a</w:t>
            </w:r>
            <w:r w:rsidRPr="00A101A4">
              <w:rPr>
                <w:rFonts w:ascii="Arial" w:hAnsi="Arial" w:cs="Arial"/>
              </w:rPr>
              <w:t xml:space="preserve"> balance</w:t>
            </w:r>
            <w:r w:rsidR="00CF5AC2" w:rsidRPr="00A101A4">
              <w:rPr>
                <w:rFonts w:ascii="Arial" w:hAnsi="Arial" w:cs="Arial"/>
              </w:rPr>
              <w:t xml:space="preserve">d </w:t>
            </w:r>
            <w:r w:rsidR="00455405" w:rsidRPr="00A101A4">
              <w:rPr>
                <w:rFonts w:ascii="Arial" w:hAnsi="Arial" w:cs="Arial"/>
              </w:rPr>
              <w:t xml:space="preserve">and lawful </w:t>
            </w:r>
            <w:r w:rsidR="00CF5AC2" w:rsidRPr="00A101A4">
              <w:rPr>
                <w:rFonts w:ascii="Arial" w:hAnsi="Arial" w:cs="Arial"/>
              </w:rPr>
              <w:t>approach to ensuring</w:t>
            </w:r>
            <w:r w:rsidR="003E5A22" w:rsidRPr="00A101A4">
              <w:rPr>
                <w:rFonts w:ascii="Arial" w:hAnsi="Arial" w:cs="Arial"/>
              </w:rPr>
              <w:t xml:space="preserve"> colleagues and students can </w:t>
            </w:r>
            <w:r w:rsidR="00455405" w:rsidRPr="00A101A4">
              <w:rPr>
                <w:rFonts w:ascii="Arial" w:hAnsi="Arial" w:cs="Arial"/>
              </w:rPr>
              <w:t>exercise</w:t>
            </w:r>
            <w:r w:rsidR="003E5A22" w:rsidRPr="00A101A4">
              <w:rPr>
                <w:rFonts w:ascii="Arial" w:hAnsi="Arial" w:cs="Arial"/>
              </w:rPr>
              <w:t xml:space="preserve"> their rights and </w:t>
            </w:r>
            <w:r w:rsidR="00455405" w:rsidRPr="00A101A4">
              <w:rPr>
                <w:rFonts w:ascii="Arial" w:hAnsi="Arial" w:cs="Arial"/>
              </w:rPr>
              <w:t>freedoms</w:t>
            </w:r>
            <w:r w:rsidR="003E5A22" w:rsidRPr="00A101A4">
              <w:rPr>
                <w:rFonts w:ascii="Arial" w:hAnsi="Arial" w:cs="Arial"/>
              </w:rPr>
              <w:t xml:space="preserve"> </w:t>
            </w:r>
            <w:r w:rsidR="00260FAD" w:rsidRPr="00A101A4">
              <w:rPr>
                <w:rFonts w:ascii="Arial" w:hAnsi="Arial" w:cs="Arial"/>
              </w:rPr>
              <w:t xml:space="preserve">whilst also providing a </w:t>
            </w:r>
            <w:r w:rsidR="00D1113E" w:rsidRPr="00A101A4">
              <w:rPr>
                <w:rFonts w:ascii="Arial" w:hAnsi="Arial" w:cs="Arial"/>
              </w:rPr>
              <w:t xml:space="preserve">campus culture that does not tolerate discrimination or </w:t>
            </w:r>
            <w:r w:rsidR="00260FAD" w:rsidRPr="00A101A4">
              <w:rPr>
                <w:rFonts w:ascii="Arial" w:hAnsi="Arial" w:cs="Arial"/>
              </w:rPr>
              <w:t>harassment.</w:t>
            </w:r>
            <w:r w:rsidRPr="00A101A4">
              <w:rPr>
                <w:rFonts w:ascii="Arial" w:hAnsi="Arial" w:cs="Arial"/>
              </w:rPr>
              <w:t xml:space="preserve"> </w:t>
            </w:r>
          </w:p>
          <w:p w14:paraId="77D7DA8B" w14:textId="77777777" w:rsidR="00455405" w:rsidRDefault="00B978B5" w:rsidP="00A101A4">
            <w:pPr>
              <w:numPr>
                <w:ilvl w:val="0"/>
                <w:numId w:val="1"/>
              </w:numPr>
              <w:spacing w:line="276" w:lineRule="auto"/>
              <w:contextualSpacing/>
              <w:rPr>
                <w:rFonts w:ascii="Arial" w:hAnsi="Arial" w:cs="Arial"/>
              </w:rPr>
            </w:pPr>
            <w:r w:rsidRPr="00A101A4">
              <w:rPr>
                <w:rFonts w:ascii="Arial" w:hAnsi="Arial" w:cs="Arial"/>
              </w:rPr>
              <w:t xml:space="preserve">Provide relevant training on Antisemitism and Islamophobia </w:t>
            </w:r>
            <w:r w:rsidR="00455405" w:rsidRPr="00A101A4">
              <w:rPr>
                <w:rFonts w:ascii="Arial" w:hAnsi="Arial" w:cs="Arial"/>
              </w:rPr>
              <w:t>in line with identified need and best practice approaches.</w:t>
            </w:r>
          </w:p>
          <w:p w14:paraId="6A9E7C77" w14:textId="6B506E23" w:rsidR="009B426C" w:rsidRPr="00A101A4" w:rsidRDefault="0062233E" w:rsidP="00A101A4">
            <w:pPr>
              <w:numPr>
                <w:ilvl w:val="0"/>
                <w:numId w:val="1"/>
              </w:numPr>
              <w:spacing w:line="276" w:lineRule="auto"/>
              <w:contextualSpacing/>
              <w:rPr>
                <w:rFonts w:ascii="Arial" w:hAnsi="Arial" w:cs="Arial"/>
              </w:rPr>
            </w:pPr>
            <w:r>
              <w:rPr>
                <w:rFonts w:ascii="Arial" w:hAnsi="Arial" w:cs="Arial"/>
              </w:rPr>
              <w:t xml:space="preserve">Continue to support activities of </w:t>
            </w:r>
            <w:r w:rsidR="009C1228">
              <w:rPr>
                <w:rFonts w:ascii="Arial" w:hAnsi="Arial" w:cs="Arial"/>
              </w:rPr>
              <w:t>s</w:t>
            </w:r>
            <w:r>
              <w:rPr>
                <w:rFonts w:ascii="Arial" w:hAnsi="Arial" w:cs="Arial"/>
              </w:rPr>
              <w:t xml:space="preserve">taff </w:t>
            </w:r>
            <w:r w:rsidR="009C1228">
              <w:rPr>
                <w:rFonts w:ascii="Arial" w:hAnsi="Arial" w:cs="Arial"/>
              </w:rPr>
              <w:t xml:space="preserve">and student </w:t>
            </w:r>
            <w:r>
              <w:rPr>
                <w:rFonts w:ascii="Arial" w:hAnsi="Arial" w:cs="Arial"/>
              </w:rPr>
              <w:t>LGBT+ Network</w:t>
            </w:r>
            <w:r w:rsidR="00882C19">
              <w:rPr>
                <w:rFonts w:ascii="Arial" w:hAnsi="Arial" w:cs="Arial"/>
              </w:rPr>
              <w:t>s</w:t>
            </w:r>
            <w:r w:rsidR="009C1228">
              <w:rPr>
                <w:rFonts w:ascii="Arial" w:hAnsi="Arial" w:cs="Arial"/>
              </w:rPr>
              <w:t xml:space="preserve"> to foster inclusion and belonging.  </w:t>
            </w:r>
          </w:p>
          <w:p w14:paraId="0F6B099C" w14:textId="3F6FCA4C" w:rsidR="00F044DD" w:rsidRPr="009C1228" w:rsidRDefault="00916972" w:rsidP="009C1228">
            <w:pPr>
              <w:numPr>
                <w:ilvl w:val="0"/>
                <w:numId w:val="1"/>
              </w:numPr>
              <w:spacing w:line="276" w:lineRule="auto"/>
              <w:contextualSpacing/>
              <w:rPr>
                <w:rFonts w:ascii="Arial" w:hAnsi="Arial" w:cs="Arial"/>
              </w:rPr>
            </w:pPr>
            <w:r w:rsidRPr="00A101A4">
              <w:rPr>
                <w:rFonts w:ascii="Arial" w:hAnsi="Arial" w:cs="Arial"/>
              </w:rPr>
              <w:t>Engage with EHRC/SFC Thematic Reviews</w:t>
            </w:r>
            <w:r w:rsidR="00A94386" w:rsidRPr="00A101A4">
              <w:rPr>
                <w:rFonts w:ascii="Arial" w:hAnsi="Arial" w:cs="Arial"/>
              </w:rPr>
              <w:t xml:space="preserve"> of relevant NEOs.</w:t>
            </w:r>
          </w:p>
        </w:tc>
        <w:tc>
          <w:tcPr>
            <w:tcW w:w="1403" w:type="dxa"/>
            <w:tcBorders>
              <w:top w:val="single" w:sz="4" w:space="0" w:color="auto"/>
              <w:left w:val="single" w:sz="4" w:space="0" w:color="auto"/>
              <w:bottom w:val="single" w:sz="4" w:space="0" w:color="auto"/>
              <w:right w:val="single" w:sz="4" w:space="0" w:color="auto"/>
            </w:tcBorders>
            <w:vAlign w:val="center"/>
          </w:tcPr>
          <w:p w14:paraId="185C5CF9" w14:textId="1B2FB400" w:rsidR="00253DAE" w:rsidRPr="00A101A4" w:rsidRDefault="00F4794B" w:rsidP="00A101A4">
            <w:pPr>
              <w:spacing w:line="276" w:lineRule="auto"/>
              <w:rPr>
                <w:rFonts w:ascii="Arial" w:eastAsia="Times New Roman" w:hAnsi="Arial" w:cs="Arial"/>
                <w:kern w:val="36"/>
                <w:lang w:eastAsia="en-GB"/>
              </w:rPr>
            </w:pPr>
            <w:r w:rsidRPr="00A101A4">
              <w:rPr>
                <w:rFonts w:ascii="Arial" w:eastAsia="Times New Roman" w:hAnsi="Arial" w:cs="Arial"/>
                <w:kern w:val="36"/>
                <w:lang w:eastAsia="en-GB"/>
              </w:rPr>
              <w:t xml:space="preserve">S&amp;AS; </w:t>
            </w:r>
            <w:r w:rsidR="00253DAE" w:rsidRPr="00A101A4">
              <w:rPr>
                <w:rFonts w:ascii="Arial" w:eastAsia="Times New Roman" w:hAnsi="Arial" w:cs="Arial"/>
                <w:kern w:val="36"/>
                <w:lang w:eastAsia="en-GB"/>
              </w:rPr>
              <w:t xml:space="preserve">POD; </w:t>
            </w:r>
            <w:r w:rsidR="00B42DCA" w:rsidRPr="00A101A4">
              <w:rPr>
                <w:rFonts w:ascii="Arial" w:eastAsia="Times New Roman" w:hAnsi="Arial" w:cs="Arial"/>
                <w:kern w:val="36"/>
                <w:lang w:eastAsia="en-GB"/>
              </w:rPr>
              <w:t>All Equality Champions</w:t>
            </w:r>
            <w:r w:rsidR="00253DAE" w:rsidRPr="00A101A4">
              <w:rPr>
                <w:rFonts w:ascii="Arial" w:eastAsia="Times New Roman" w:hAnsi="Arial" w:cs="Arial"/>
                <w:kern w:val="36"/>
                <w:lang w:eastAsia="en-GB"/>
              </w:rPr>
              <w:t>; EDU; ER</w:t>
            </w:r>
          </w:p>
          <w:p w14:paraId="2A6771E2" w14:textId="77777777" w:rsidR="00253DAE" w:rsidRPr="00A101A4" w:rsidRDefault="00253DAE" w:rsidP="00A101A4">
            <w:pPr>
              <w:spacing w:line="276" w:lineRule="auto"/>
              <w:rPr>
                <w:rFonts w:ascii="Arial" w:eastAsia="Times New Roman" w:hAnsi="Arial" w:cs="Arial"/>
                <w:kern w:val="36"/>
                <w:lang w:eastAsia="en-GB"/>
              </w:rPr>
            </w:pPr>
          </w:p>
          <w:p w14:paraId="5D88B222" w14:textId="52FC2934" w:rsidR="00253DAE" w:rsidRPr="00A101A4" w:rsidRDefault="00253DAE" w:rsidP="00A101A4">
            <w:pPr>
              <w:spacing w:line="276" w:lineRule="auto"/>
              <w:rPr>
                <w:rFonts w:ascii="Arial" w:eastAsia="Times New Roman" w:hAnsi="Arial" w:cs="Arial"/>
                <w:kern w:val="36"/>
                <w:lang w:eastAsia="en-GB"/>
              </w:rPr>
            </w:pPr>
          </w:p>
        </w:tc>
        <w:tc>
          <w:tcPr>
            <w:tcW w:w="5626" w:type="dxa"/>
            <w:tcBorders>
              <w:top w:val="single" w:sz="4" w:space="0" w:color="auto"/>
              <w:left w:val="single" w:sz="4" w:space="0" w:color="auto"/>
              <w:bottom w:val="single" w:sz="4" w:space="0" w:color="auto"/>
              <w:right w:val="single" w:sz="4" w:space="0" w:color="auto"/>
            </w:tcBorders>
            <w:vAlign w:val="center"/>
          </w:tcPr>
          <w:p w14:paraId="6026A3AF" w14:textId="77777777"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Rollout of pre-enrolment material for students.</w:t>
            </w:r>
          </w:p>
          <w:p w14:paraId="6685B969" w14:textId="09C61AE2" w:rsidR="00253DAE" w:rsidRPr="00A101A4" w:rsidRDefault="005C227B" w:rsidP="00A101A4">
            <w:pPr>
              <w:numPr>
                <w:ilvl w:val="0"/>
                <w:numId w:val="1"/>
              </w:numPr>
              <w:spacing w:line="276" w:lineRule="auto"/>
              <w:contextualSpacing/>
              <w:rPr>
                <w:rFonts w:ascii="Arial" w:hAnsi="Arial" w:cs="Arial"/>
              </w:rPr>
            </w:pPr>
            <w:r w:rsidRPr="00A101A4">
              <w:rPr>
                <w:rFonts w:ascii="Arial" w:hAnsi="Arial" w:cs="Arial"/>
              </w:rPr>
              <w:t>Mandatory training completion rates continue to show &gt; 95% engagement</w:t>
            </w:r>
            <w:r w:rsidR="00253DAE" w:rsidRPr="00A101A4">
              <w:rPr>
                <w:rFonts w:ascii="Arial" w:hAnsi="Arial" w:cs="Arial"/>
              </w:rPr>
              <w:t>.</w:t>
            </w:r>
          </w:p>
          <w:p w14:paraId="149F6D62" w14:textId="77777777"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Revise D</w:t>
            </w:r>
            <w:r w:rsidR="00D31BDD" w:rsidRPr="00A101A4">
              <w:rPr>
                <w:rFonts w:ascii="Arial" w:hAnsi="Arial" w:cs="Arial"/>
              </w:rPr>
              <w:t>ignity at Work and Study Policy and Guidance Framework</w:t>
            </w:r>
            <w:r w:rsidRPr="00A101A4">
              <w:rPr>
                <w:rFonts w:ascii="Arial" w:hAnsi="Arial" w:cs="Arial"/>
              </w:rPr>
              <w:t>, to support an inclusive culture.</w:t>
            </w:r>
          </w:p>
          <w:p w14:paraId="2BA649F3" w14:textId="4A85D824" w:rsidR="00737DB9" w:rsidRPr="00A101A4" w:rsidRDefault="00737DB9" w:rsidP="00A101A4">
            <w:pPr>
              <w:numPr>
                <w:ilvl w:val="0"/>
                <w:numId w:val="1"/>
              </w:numPr>
              <w:spacing w:line="276" w:lineRule="auto"/>
              <w:contextualSpacing/>
              <w:rPr>
                <w:rFonts w:ascii="Arial" w:hAnsi="Arial" w:cs="Arial"/>
              </w:rPr>
            </w:pPr>
            <w:r w:rsidRPr="00A101A4">
              <w:rPr>
                <w:rFonts w:ascii="Arial" w:hAnsi="Arial" w:cs="Arial"/>
              </w:rPr>
              <w:t>Colleagues and students from relevant protected characteristic groups report a positive campus experience</w:t>
            </w:r>
            <w:r w:rsidR="00283ACF" w:rsidRPr="00A101A4">
              <w:rPr>
                <w:rFonts w:ascii="Arial" w:hAnsi="Arial" w:cs="Arial"/>
              </w:rPr>
              <w:t xml:space="preserve"> through</w:t>
            </w:r>
            <w:r w:rsidR="00962FB3" w:rsidRPr="00A101A4">
              <w:rPr>
                <w:rFonts w:ascii="Arial" w:hAnsi="Arial" w:cs="Arial"/>
              </w:rPr>
              <w:t xml:space="preserve"> </w:t>
            </w:r>
            <w:r w:rsidR="0049560B" w:rsidRPr="00A101A4">
              <w:rPr>
                <w:rFonts w:ascii="Arial" w:hAnsi="Arial" w:cs="Arial"/>
              </w:rPr>
              <w:t>c</w:t>
            </w:r>
            <w:r w:rsidR="00962FB3" w:rsidRPr="00A101A4">
              <w:rPr>
                <w:rFonts w:ascii="Arial" w:hAnsi="Arial" w:cs="Arial"/>
              </w:rPr>
              <w:t xml:space="preserve">olleague </w:t>
            </w:r>
            <w:r w:rsidR="0049560B" w:rsidRPr="00A101A4">
              <w:rPr>
                <w:rFonts w:ascii="Arial" w:hAnsi="Arial" w:cs="Arial"/>
              </w:rPr>
              <w:t>e</w:t>
            </w:r>
            <w:r w:rsidR="00962FB3" w:rsidRPr="00A101A4">
              <w:rPr>
                <w:rFonts w:ascii="Arial" w:hAnsi="Arial" w:cs="Arial"/>
              </w:rPr>
              <w:t xml:space="preserve">ngagement </w:t>
            </w:r>
            <w:r w:rsidR="0049560B" w:rsidRPr="00A101A4">
              <w:rPr>
                <w:rFonts w:ascii="Arial" w:hAnsi="Arial" w:cs="Arial"/>
              </w:rPr>
              <w:t>s</w:t>
            </w:r>
            <w:r w:rsidR="00962FB3" w:rsidRPr="00A101A4">
              <w:rPr>
                <w:rFonts w:ascii="Arial" w:hAnsi="Arial" w:cs="Arial"/>
              </w:rPr>
              <w:t>urveys,</w:t>
            </w:r>
            <w:r w:rsidR="0049560B" w:rsidRPr="00A101A4">
              <w:rPr>
                <w:rFonts w:ascii="Arial" w:hAnsi="Arial" w:cs="Arial"/>
              </w:rPr>
              <w:t xml:space="preserve"> student surveys,</w:t>
            </w:r>
            <w:r w:rsidR="00962FB3" w:rsidRPr="00A101A4">
              <w:rPr>
                <w:rFonts w:ascii="Arial" w:hAnsi="Arial" w:cs="Arial"/>
              </w:rPr>
              <w:t xml:space="preserve"> consultation with relevant equality groups</w:t>
            </w:r>
            <w:r w:rsidR="00DF512A" w:rsidRPr="00A101A4">
              <w:rPr>
                <w:rFonts w:ascii="Arial" w:hAnsi="Arial" w:cs="Arial"/>
              </w:rPr>
              <w:t xml:space="preserve"> and Networks</w:t>
            </w:r>
            <w:r w:rsidRPr="00A101A4">
              <w:rPr>
                <w:rFonts w:ascii="Arial" w:hAnsi="Arial" w:cs="Arial"/>
              </w:rPr>
              <w:t>.</w:t>
            </w:r>
          </w:p>
          <w:p w14:paraId="3326E4D6" w14:textId="6B600EEF" w:rsidR="00737DB9" w:rsidRPr="00A101A4" w:rsidRDefault="00737DB9" w:rsidP="00A101A4">
            <w:pPr>
              <w:numPr>
                <w:ilvl w:val="0"/>
                <w:numId w:val="1"/>
              </w:numPr>
              <w:spacing w:line="276" w:lineRule="auto"/>
              <w:contextualSpacing/>
              <w:rPr>
                <w:rFonts w:ascii="Arial" w:hAnsi="Arial" w:cs="Arial"/>
              </w:rPr>
            </w:pPr>
            <w:r w:rsidRPr="00A101A4">
              <w:rPr>
                <w:rFonts w:ascii="Arial" w:hAnsi="Arial" w:cs="Arial"/>
              </w:rPr>
              <w:t>Improved declaration rates for Sexual Orientation and Gender Reassignment.</w:t>
            </w:r>
          </w:p>
        </w:tc>
      </w:tr>
      <w:tr w:rsidR="00253DAE" w:rsidRPr="00A101A4" w14:paraId="62DE9B82" w14:textId="77777777" w:rsidTr="000A6330">
        <w:trPr>
          <w:trHeight w:val="1124"/>
          <w:tblHeader/>
        </w:trPr>
        <w:tc>
          <w:tcPr>
            <w:tcW w:w="3579" w:type="dxa"/>
            <w:tcBorders>
              <w:top w:val="single" w:sz="4" w:space="0" w:color="auto"/>
              <w:left w:val="single" w:sz="4" w:space="0" w:color="auto"/>
              <w:bottom w:val="single" w:sz="4" w:space="0" w:color="auto"/>
              <w:right w:val="single" w:sz="4" w:space="0" w:color="auto"/>
            </w:tcBorders>
            <w:shd w:val="clear" w:color="auto" w:fill="003865"/>
            <w:vAlign w:val="center"/>
          </w:tcPr>
          <w:p w14:paraId="39E7571E" w14:textId="77777777" w:rsidR="006F7354" w:rsidRPr="00C522DD" w:rsidRDefault="00253DAE" w:rsidP="00810DCC">
            <w:pPr>
              <w:pStyle w:val="Heading4"/>
              <w:jc w:val="center"/>
              <w:rPr>
                <w:rFonts w:ascii="Arial" w:hAnsi="Arial" w:cs="Arial"/>
                <w:i w:val="0"/>
                <w:iCs w:val="0"/>
                <w:color w:val="FFFFFF" w:themeColor="background1"/>
                <w:lang w:eastAsia="en-GB"/>
              </w:rPr>
            </w:pPr>
            <w:bookmarkStart w:id="5" w:name="_5._Enhance_accessible"/>
            <w:bookmarkEnd w:id="5"/>
            <w:r w:rsidRPr="00C522DD">
              <w:rPr>
                <w:rFonts w:ascii="Arial" w:hAnsi="Arial" w:cs="Arial"/>
                <w:i w:val="0"/>
                <w:iCs w:val="0"/>
                <w:color w:val="FFFFFF" w:themeColor="background1"/>
                <w:lang w:eastAsia="en-GB"/>
              </w:rPr>
              <w:t xml:space="preserve">5. </w:t>
            </w:r>
            <w:r w:rsidR="00915CC2" w:rsidRPr="00C522DD">
              <w:rPr>
                <w:rFonts w:ascii="Arial" w:hAnsi="Arial" w:cs="Arial"/>
                <w:i w:val="0"/>
                <w:iCs w:val="0"/>
                <w:color w:val="FFFFFF" w:themeColor="background1"/>
                <w:lang w:eastAsia="en-GB"/>
              </w:rPr>
              <w:t>Enhance</w:t>
            </w:r>
            <w:r w:rsidR="008F4D37" w:rsidRPr="00C522DD">
              <w:rPr>
                <w:rFonts w:ascii="Arial" w:hAnsi="Arial" w:cs="Arial"/>
                <w:i w:val="0"/>
                <w:iCs w:val="0"/>
                <w:color w:val="FFFFFF" w:themeColor="background1"/>
                <w:lang w:eastAsia="en-GB"/>
              </w:rPr>
              <w:t xml:space="preserve"> accessible and</w:t>
            </w:r>
            <w:r w:rsidR="00915CC2" w:rsidRPr="00C522DD">
              <w:rPr>
                <w:rFonts w:ascii="Arial" w:hAnsi="Arial" w:cs="Arial"/>
                <w:i w:val="0"/>
                <w:iCs w:val="0"/>
                <w:color w:val="FFFFFF" w:themeColor="background1"/>
                <w:lang w:eastAsia="en-GB"/>
              </w:rPr>
              <w:t xml:space="preserve"> inclusive </w:t>
            </w:r>
            <w:r w:rsidR="008F4D37" w:rsidRPr="00C522DD">
              <w:rPr>
                <w:rFonts w:ascii="Arial" w:hAnsi="Arial" w:cs="Arial"/>
                <w:i w:val="0"/>
                <w:iCs w:val="0"/>
                <w:color w:val="FFFFFF" w:themeColor="background1"/>
                <w:lang w:eastAsia="en-GB"/>
              </w:rPr>
              <w:t>l</w:t>
            </w:r>
            <w:r w:rsidRPr="00C522DD">
              <w:rPr>
                <w:rFonts w:ascii="Arial" w:hAnsi="Arial" w:cs="Arial"/>
                <w:i w:val="0"/>
                <w:iCs w:val="0"/>
                <w:color w:val="FFFFFF" w:themeColor="background1"/>
                <w:lang w:eastAsia="en-GB"/>
              </w:rPr>
              <w:t>earning and teaching</w:t>
            </w:r>
            <w:r w:rsidR="00915CC2" w:rsidRPr="00C522DD">
              <w:rPr>
                <w:rFonts w:ascii="Arial" w:hAnsi="Arial" w:cs="Arial"/>
                <w:i w:val="0"/>
                <w:iCs w:val="0"/>
                <w:color w:val="FFFFFF" w:themeColor="background1"/>
                <w:lang w:eastAsia="en-GB"/>
              </w:rPr>
              <w:t xml:space="preserve"> experience</w:t>
            </w:r>
            <w:r w:rsidR="008F4D37" w:rsidRPr="00C522DD">
              <w:rPr>
                <w:rFonts w:ascii="Arial" w:hAnsi="Arial" w:cs="Arial"/>
                <w:i w:val="0"/>
                <w:iCs w:val="0"/>
                <w:color w:val="FFFFFF" w:themeColor="background1"/>
                <w:lang w:eastAsia="en-GB"/>
              </w:rPr>
              <w:t xml:space="preserve"> </w:t>
            </w:r>
            <w:r w:rsidR="003F40C2" w:rsidRPr="00C522DD">
              <w:rPr>
                <w:rFonts w:ascii="Arial" w:hAnsi="Arial" w:cs="Arial"/>
                <w:i w:val="0"/>
                <w:iCs w:val="0"/>
                <w:color w:val="FFFFFF" w:themeColor="background1"/>
                <w:lang w:eastAsia="en-GB"/>
              </w:rPr>
              <w:t>which</w:t>
            </w:r>
            <w:r w:rsidRPr="00C522DD">
              <w:rPr>
                <w:rFonts w:ascii="Arial" w:hAnsi="Arial" w:cs="Arial"/>
                <w:i w:val="0"/>
                <w:iCs w:val="0"/>
                <w:color w:val="FFFFFF" w:themeColor="background1"/>
                <w:lang w:eastAsia="en-GB"/>
              </w:rPr>
              <w:t xml:space="preserve"> promotes a global curriculum </w:t>
            </w:r>
            <w:r w:rsidR="003F40C2" w:rsidRPr="00C522DD">
              <w:rPr>
                <w:rFonts w:ascii="Arial" w:hAnsi="Arial" w:cs="Arial"/>
                <w:i w:val="0"/>
                <w:iCs w:val="0"/>
                <w:color w:val="FFFFFF" w:themeColor="background1"/>
                <w:lang w:eastAsia="en-GB"/>
              </w:rPr>
              <w:t xml:space="preserve">that </w:t>
            </w:r>
            <w:r w:rsidRPr="00C522DD">
              <w:rPr>
                <w:rFonts w:ascii="Arial" w:hAnsi="Arial" w:cs="Arial"/>
                <w:i w:val="0"/>
                <w:iCs w:val="0"/>
                <w:color w:val="FFFFFF" w:themeColor="background1"/>
                <w:lang w:eastAsia="en-GB"/>
              </w:rPr>
              <w:t>is reflective of our community</w:t>
            </w:r>
            <w:r w:rsidR="003F40C2" w:rsidRPr="00C522DD">
              <w:rPr>
                <w:rFonts w:ascii="Arial" w:hAnsi="Arial" w:cs="Arial"/>
                <w:i w:val="0"/>
                <w:iCs w:val="0"/>
                <w:color w:val="FFFFFF" w:themeColor="background1"/>
                <w:lang w:eastAsia="en-GB"/>
              </w:rPr>
              <w:t>.</w:t>
            </w:r>
          </w:p>
          <w:p w14:paraId="2B14717C" w14:textId="77777777" w:rsidR="006F7354" w:rsidRDefault="006F7354" w:rsidP="00253DAE">
            <w:pPr>
              <w:jc w:val="center"/>
              <w:rPr>
                <w:rFonts w:ascii="Arial" w:eastAsia="Times New Roman" w:hAnsi="Arial" w:cs="Arial"/>
                <w:color w:val="FFFFFF" w:themeColor="background1"/>
                <w:kern w:val="36"/>
                <w:lang w:eastAsia="en-GB"/>
              </w:rPr>
            </w:pPr>
          </w:p>
          <w:p w14:paraId="1E0EAD04" w14:textId="36716A8F" w:rsidR="00253DAE" w:rsidRPr="00EE2DEA" w:rsidRDefault="006F7354" w:rsidP="00253DAE">
            <w:pPr>
              <w:jc w:val="center"/>
              <w:rPr>
                <w:rFonts w:ascii="Arial" w:eastAsia="Times New Roman" w:hAnsi="Arial" w:cs="Arial"/>
                <w:b/>
                <w:bCs/>
                <w:color w:val="FF0000"/>
                <w:kern w:val="36"/>
                <w:lang w:eastAsia="en-GB"/>
              </w:rPr>
            </w:pPr>
            <w:r w:rsidRPr="00EE2DEA">
              <w:rPr>
                <w:rFonts w:ascii="Arial" w:eastAsia="Times New Roman" w:hAnsi="Arial" w:cs="Arial"/>
                <w:b/>
                <w:bCs/>
                <w:color w:val="FFFFFF" w:themeColor="background1"/>
                <w:kern w:val="36"/>
                <w:lang w:eastAsia="en-GB"/>
              </w:rPr>
              <w:t xml:space="preserve">(NEOs: </w:t>
            </w:r>
            <w:r w:rsidR="00EE2DEA" w:rsidRPr="00EE2DEA">
              <w:rPr>
                <w:rFonts w:ascii="Arial" w:eastAsia="Times New Roman" w:hAnsi="Arial" w:cs="Arial"/>
                <w:b/>
                <w:bCs/>
                <w:color w:val="FFFFFF" w:themeColor="background1"/>
                <w:kern w:val="36"/>
                <w:lang w:eastAsia="en-GB"/>
              </w:rPr>
              <w:t>1.1; 2.1</w:t>
            </w:r>
            <w:r w:rsidR="00C15FE3">
              <w:rPr>
                <w:rFonts w:ascii="Arial" w:eastAsia="Times New Roman" w:hAnsi="Arial" w:cs="Arial"/>
                <w:b/>
                <w:bCs/>
                <w:color w:val="FFFFFF" w:themeColor="background1"/>
                <w:kern w:val="36"/>
                <w:lang w:eastAsia="en-GB"/>
              </w:rPr>
              <w:t>-2</w:t>
            </w:r>
            <w:r w:rsidR="00EE2DEA" w:rsidRPr="00EE2DEA">
              <w:rPr>
                <w:rFonts w:ascii="Arial" w:eastAsia="Times New Roman" w:hAnsi="Arial" w:cs="Arial"/>
                <w:b/>
                <w:bCs/>
                <w:color w:val="FFFFFF" w:themeColor="background1"/>
                <w:kern w:val="36"/>
                <w:lang w:eastAsia="en-GB"/>
              </w:rPr>
              <w:t>; 4.2)</w:t>
            </w:r>
            <w:r w:rsidR="000A20C7" w:rsidRPr="00EE2DEA">
              <w:rPr>
                <w:rFonts w:ascii="Arial" w:eastAsia="Times New Roman" w:hAnsi="Arial" w:cs="Arial"/>
                <w:b/>
                <w:bCs/>
                <w:color w:val="FFFFFF" w:themeColor="background1"/>
                <w:kern w:val="36"/>
                <w:lang w:eastAsia="en-GB"/>
              </w:rPr>
              <w:t xml:space="preserve"> </w:t>
            </w:r>
          </w:p>
        </w:tc>
        <w:tc>
          <w:tcPr>
            <w:tcW w:w="4780" w:type="dxa"/>
            <w:tcBorders>
              <w:top w:val="single" w:sz="4" w:space="0" w:color="auto"/>
              <w:left w:val="single" w:sz="4" w:space="0" w:color="auto"/>
              <w:bottom w:val="single" w:sz="4" w:space="0" w:color="auto"/>
              <w:right w:val="single" w:sz="4" w:space="0" w:color="auto"/>
            </w:tcBorders>
            <w:vAlign w:val="center"/>
          </w:tcPr>
          <w:p w14:paraId="08AFDA1D" w14:textId="6F4B709A" w:rsidR="00C30D9C" w:rsidRPr="00A101A4" w:rsidRDefault="001B5103" w:rsidP="00A101A4">
            <w:pPr>
              <w:numPr>
                <w:ilvl w:val="0"/>
                <w:numId w:val="1"/>
              </w:numPr>
              <w:spacing w:line="276" w:lineRule="auto"/>
              <w:contextualSpacing/>
              <w:rPr>
                <w:rFonts w:ascii="Arial" w:hAnsi="Arial" w:cs="Arial"/>
              </w:rPr>
            </w:pPr>
            <w:r>
              <w:rPr>
                <w:rFonts w:ascii="Arial" w:hAnsi="Arial" w:cs="Arial"/>
              </w:rPr>
              <w:t>Embed and systematise</w:t>
            </w:r>
            <w:r w:rsidR="00253DAE" w:rsidRPr="00A101A4">
              <w:rPr>
                <w:rFonts w:ascii="Arial" w:hAnsi="Arial" w:cs="Arial"/>
              </w:rPr>
              <w:t xml:space="preserve"> the </w:t>
            </w:r>
            <w:r>
              <w:rPr>
                <w:rFonts w:ascii="Arial" w:hAnsi="Arial" w:cs="Arial"/>
              </w:rPr>
              <w:t xml:space="preserve">use of our </w:t>
            </w:r>
            <w:r w:rsidR="00253DAE" w:rsidRPr="00A101A4">
              <w:rPr>
                <w:rFonts w:ascii="Arial" w:hAnsi="Arial" w:cs="Arial"/>
              </w:rPr>
              <w:t xml:space="preserve">data analytics </w:t>
            </w:r>
            <w:r w:rsidR="00163C36" w:rsidRPr="00A101A4">
              <w:rPr>
                <w:rFonts w:ascii="Arial" w:hAnsi="Arial" w:cs="Arial"/>
              </w:rPr>
              <w:t>on student success</w:t>
            </w:r>
            <w:r w:rsidR="00A101A4" w:rsidRPr="00A101A4">
              <w:rPr>
                <w:rFonts w:ascii="Arial" w:hAnsi="Arial" w:cs="Arial"/>
              </w:rPr>
              <w:t xml:space="preserve"> (including on Age) </w:t>
            </w:r>
            <w:r w:rsidR="00253DAE" w:rsidRPr="00A101A4">
              <w:rPr>
                <w:rFonts w:ascii="Arial" w:hAnsi="Arial" w:cs="Arial"/>
              </w:rPr>
              <w:t>to influence future decision making.</w:t>
            </w:r>
          </w:p>
          <w:p w14:paraId="16FBEECF" w14:textId="6E8B36EF" w:rsidR="00253DAE" w:rsidRPr="00A101A4" w:rsidRDefault="00DB2453" w:rsidP="00A101A4">
            <w:pPr>
              <w:numPr>
                <w:ilvl w:val="0"/>
                <w:numId w:val="1"/>
              </w:numPr>
              <w:spacing w:line="276" w:lineRule="auto"/>
              <w:contextualSpacing/>
              <w:rPr>
                <w:rFonts w:ascii="Arial" w:hAnsi="Arial" w:cs="Arial"/>
              </w:rPr>
            </w:pPr>
            <w:r w:rsidRPr="00A101A4">
              <w:rPr>
                <w:rFonts w:ascii="Arial" w:hAnsi="Arial" w:cs="Arial"/>
              </w:rPr>
              <w:t xml:space="preserve">Continue to provide CPD and </w:t>
            </w:r>
            <w:r w:rsidR="001B5103">
              <w:rPr>
                <w:rFonts w:ascii="Arial" w:hAnsi="Arial" w:cs="Arial"/>
              </w:rPr>
              <w:t xml:space="preserve">use insights from </w:t>
            </w:r>
            <w:r w:rsidRPr="00A101A4">
              <w:rPr>
                <w:rFonts w:ascii="Arial" w:hAnsi="Arial" w:cs="Arial"/>
              </w:rPr>
              <w:t>PET to support</w:t>
            </w:r>
            <w:r w:rsidR="00253DAE" w:rsidRPr="00A101A4">
              <w:rPr>
                <w:rFonts w:ascii="Arial" w:hAnsi="Arial" w:cs="Arial"/>
              </w:rPr>
              <w:t xml:space="preserve"> decolonising the curriculum ambitions in URTUC action plan.</w:t>
            </w:r>
          </w:p>
          <w:p w14:paraId="5A05309F" w14:textId="6D200A55"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 xml:space="preserve">Mainstream accessibility through </w:t>
            </w:r>
            <w:r w:rsidR="00DB2453" w:rsidRPr="00A101A4">
              <w:rPr>
                <w:rFonts w:ascii="Arial" w:hAnsi="Arial" w:cs="Arial"/>
              </w:rPr>
              <w:t>implementation of</w:t>
            </w:r>
            <w:r w:rsidRPr="00A101A4">
              <w:rPr>
                <w:rFonts w:ascii="Arial" w:hAnsi="Arial" w:cs="Arial"/>
              </w:rPr>
              <w:t xml:space="preserve"> the</w:t>
            </w:r>
            <w:r w:rsidR="00DB2453" w:rsidRPr="00A101A4">
              <w:rPr>
                <w:rFonts w:ascii="Arial" w:hAnsi="Arial" w:cs="Arial"/>
              </w:rPr>
              <w:t xml:space="preserve"> ongoing review of</w:t>
            </w:r>
            <w:r w:rsidRPr="00A101A4">
              <w:rPr>
                <w:rFonts w:ascii="Arial" w:hAnsi="Arial" w:cs="Arial"/>
              </w:rPr>
              <w:t xml:space="preserve"> </w:t>
            </w:r>
            <w:r w:rsidR="00DB2453" w:rsidRPr="00A101A4">
              <w:rPr>
                <w:rFonts w:ascii="Arial" w:hAnsi="Arial" w:cs="Arial"/>
              </w:rPr>
              <w:t xml:space="preserve">revised </w:t>
            </w:r>
            <w:r w:rsidRPr="00A101A4">
              <w:rPr>
                <w:rFonts w:ascii="Arial" w:hAnsi="Arial" w:cs="Arial"/>
              </w:rPr>
              <w:t>AILP.</w:t>
            </w:r>
          </w:p>
          <w:p w14:paraId="14273129" w14:textId="6B101BD8"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Maximis</w:t>
            </w:r>
            <w:r w:rsidR="00DB2453" w:rsidRPr="00A101A4">
              <w:rPr>
                <w:rFonts w:ascii="Arial" w:hAnsi="Arial" w:cs="Arial"/>
              </w:rPr>
              <w:t>e</w:t>
            </w:r>
            <w:r w:rsidRPr="00A101A4">
              <w:rPr>
                <w:rFonts w:ascii="Arial" w:hAnsi="Arial" w:cs="Arial"/>
              </w:rPr>
              <w:t xml:space="preserve"> opportunity for inclusive assessment</w:t>
            </w:r>
            <w:r w:rsidR="00DB2453" w:rsidRPr="00A101A4">
              <w:rPr>
                <w:rFonts w:ascii="Arial" w:hAnsi="Arial" w:cs="Arial"/>
              </w:rPr>
              <w:t xml:space="preserve"> through professional development and support.</w:t>
            </w:r>
          </w:p>
        </w:tc>
        <w:tc>
          <w:tcPr>
            <w:tcW w:w="1403" w:type="dxa"/>
            <w:tcBorders>
              <w:top w:val="single" w:sz="4" w:space="0" w:color="auto"/>
              <w:left w:val="single" w:sz="4" w:space="0" w:color="auto"/>
              <w:bottom w:val="single" w:sz="4" w:space="0" w:color="auto"/>
              <w:right w:val="single" w:sz="4" w:space="0" w:color="auto"/>
            </w:tcBorders>
            <w:vAlign w:val="center"/>
          </w:tcPr>
          <w:p w14:paraId="3E95ACDD" w14:textId="4079FB84" w:rsidR="00253DAE" w:rsidRPr="00A101A4" w:rsidRDefault="00253DAE" w:rsidP="00A101A4">
            <w:pPr>
              <w:spacing w:line="276" w:lineRule="auto"/>
              <w:rPr>
                <w:rFonts w:ascii="Arial" w:eastAsia="Times New Roman" w:hAnsi="Arial" w:cs="Arial"/>
                <w:kern w:val="36"/>
                <w:lang w:eastAsia="en-GB"/>
              </w:rPr>
            </w:pPr>
            <w:r w:rsidRPr="00A101A4">
              <w:rPr>
                <w:rFonts w:ascii="Arial" w:eastAsia="Times New Roman" w:hAnsi="Arial" w:cs="Arial"/>
                <w:kern w:val="36"/>
                <w:lang w:eastAsia="en-GB"/>
              </w:rPr>
              <w:t>VP L&amp;T; S&amp;AS; Deans L&amp;T</w:t>
            </w:r>
            <w:r w:rsidR="00C30D9C" w:rsidRPr="00A101A4">
              <w:rPr>
                <w:rFonts w:ascii="Arial" w:eastAsia="Times New Roman" w:hAnsi="Arial" w:cs="Arial"/>
                <w:kern w:val="36"/>
                <w:lang w:eastAsia="en-GB"/>
              </w:rPr>
              <w:t>; PIA</w:t>
            </w:r>
          </w:p>
          <w:p w14:paraId="0F157241" w14:textId="77777777" w:rsidR="00253DAE" w:rsidRPr="00A101A4" w:rsidRDefault="00253DAE" w:rsidP="00A101A4">
            <w:pPr>
              <w:spacing w:line="276" w:lineRule="auto"/>
              <w:rPr>
                <w:rFonts w:ascii="Arial" w:eastAsia="Times New Roman" w:hAnsi="Arial" w:cs="Arial"/>
                <w:kern w:val="36"/>
                <w:lang w:eastAsia="en-GB"/>
              </w:rPr>
            </w:pPr>
          </w:p>
          <w:p w14:paraId="44CCE488" w14:textId="2EC5A4B5" w:rsidR="00253DAE" w:rsidRPr="00A101A4" w:rsidRDefault="00253DAE" w:rsidP="00A101A4">
            <w:pPr>
              <w:spacing w:line="276" w:lineRule="auto"/>
              <w:rPr>
                <w:rFonts w:ascii="Arial" w:eastAsia="Times New Roman" w:hAnsi="Arial" w:cs="Arial"/>
                <w:kern w:val="36"/>
                <w:lang w:eastAsia="en-GB"/>
              </w:rPr>
            </w:pPr>
          </w:p>
        </w:tc>
        <w:tc>
          <w:tcPr>
            <w:tcW w:w="5626" w:type="dxa"/>
            <w:tcBorders>
              <w:top w:val="single" w:sz="4" w:space="0" w:color="auto"/>
              <w:left w:val="single" w:sz="4" w:space="0" w:color="auto"/>
              <w:bottom w:val="single" w:sz="4" w:space="0" w:color="auto"/>
              <w:right w:val="single" w:sz="4" w:space="0" w:color="auto"/>
            </w:tcBorders>
            <w:vAlign w:val="center"/>
          </w:tcPr>
          <w:p w14:paraId="036802BC" w14:textId="69BC8918" w:rsidR="00253DAE" w:rsidRPr="00A101A4" w:rsidRDefault="00BF58BA" w:rsidP="00A101A4">
            <w:pPr>
              <w:numPr>
                <w:ilvl w:val="0"/>
                <w:numId w:val="1"/>
              </w:numPr>
              <w:spacing w:line="276" w:lineRule="auto"/>
              <w:contextualSpacing/>
              <w:rPr>
                <w:rFonts w:ascii="Arial" w:hAnsi="Arial" w:cs="Arial"/>
              </w:rPr>
            </w:pPr>
            <w:r w:rsidRPr="00A101A4">
              <w:rPr>
                <w:rFonts w:ascii="Arial" w:hAnsi="Arial" w:cs="Arial"/>
              </w:rPr>
              <w:t>Established reporting mechanisms</w:t>
            </w:r>
            <w:r w:rsidR="00EF47A7" w:rsidRPr="00A101A4">
              <w:rPr>
                <w:rFonts w:ascii="Arial" w:hAnsi="Arial" w:cs="Arial"/>
              </w:rPr>
              <w:t xml:space="preserve"> and dashboards to identify and monitor </w:t>
            </w:r>
            <w:r w:rsidR="00163C36" w:rsidRPr="00A101A4">
              <w:rPr>
                <w:rFonts w:ascii="Arial" w:hAnsi="Arial" w:cs="Arial"/>
              </w:rPr>
              <w:t>actions required to improve outcomes</w:t>
            </w:r>
            <w:r w:rsidRPr="00A101A4">
              <w:rPr>
                <w:rFonts w:ascii="Arial" w:hAnsi="Arial" w:cs="Arial"/>
              </w:rPr>
              <w:t xml:space="preserve"> for student</w:t>
            </w:r>
            <w:r w:rsidR="00163C36" w:rsidRPr="00A101A4">
              <w:rPr>
                <w:rFonts w:ascii="Arial" w:hAnsi="Arial" w:cs="Arial"/>
              </w:rPr>
              <w:t>s.</w:t>
            </w:r>
          </w:p>
          <w:p w14:paraId="483DAB28" w14:textId="5A103685" w:rsidR="00253DAE" w:rsidRPr="00A101A4" w:rsidRDefault="008F547F" w:rsidP="00A101A4">
            <w:pPr>
              <w:numPr>
                <w:ilvl w:val="0"/>
                <w:numId w:val="1"/>
              </w:numPr>
              <w:spacing w:line="276" w:lineRule="auto"/>
              <w:contextualSpacing/>
              <w:rPr>
                <w:rFonts w:ascii="Arial" w:hAnsi="Arial" w:cs="Arial"/>
              </w:rPr>
            </w:pPr>
            <w:r w:rsidRPr="00A101A4">
              <w:rPr>
                <w:rFonts w:ascii="Arial" w:hAnsi="Arial" w:cs="Arial"/>
              </w:rPr>
              <w:t xml:space="preserve">Embedding commitment to awarding gap and </w:t>
            </w:r>
            <w:proofErr w:type="spellStart"/>
            <w:r w:rsidR="00FB29F7" w:rsidRPr="00A101A4">
              <w:rPr>
                <w:rFonts w:ascii="Arial" w:hAnsi="Arial" w:cs="Arial"/>
              </w:rPr>
              <w:t>DtC</w:t>
            </w:r>
            <w:proofErr w:type="spellEnd"/>
            <w:r w:rsidR="00FB29F7" w:rsidRPr="00A101A4">
              <w:rPr>
                <w:rFonts w:ascii="Arial" w:hAnsi="Arial" w:cs="Arial"/>
              </w:rPr>
              <w:t xml:space="preserve"> in</w:t>
            </w:r>
            <w:r w:rsidR="00163C36" w:rsidRPr="00A101A4">
              <w:rPr>
                <w:rFonts w:ascii="Arial" w:hAnsi="Arial" w:cs="Arial"/>
              </w:rPr>
              <w:t xml:space="preserve"> Inclusive Learning Experience strand of strategic L&amp;T activity. </w:t>
            </w:r>
          </w:p>
          <w:p w14:paraId="00DBF49A" w14:textId="07449D50"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Implementation of the</w:t>
            </w:r>
            <w:r w:rsidR="008F547F" w:rsidRPr="00A101A4">
              <w:rPr>
                <w:rFonts w:ascii="Arial" w:hAnsi="Arial" w:cs="Arial"/>
              </w:rPr>
              <w:t xml:space="preserve"> PET and Learning Through Assessment Framework</w:t>
            </w:r>
          </w:p>
          <w:p w14:paraId="21D823F1" w14:textId="77777777" w:rsidR="00253DAE" w:rsidRPr="00A101A4" w:rsidRDefault="00253DAE" w:rsidP="00A101A4">
            <w:pPr>
              <w:numPr>
                <w:ilvl w:val="0"/>
                <w:numId w:val="1"/>
              </w:numPr>
              <w:spacing w:line="276" w:lineRule="auto"/>
              <w:contextualSpacing/>
              <w:rPr>
                <w:rFonts w:ascii="Arial" w:hAnsi="Arial" w:cs="Arial"/>
              </w:rPr>
            </w:pPr>
            <w:r w:rsidRPr="00A101A4">
              <w:rPr>
                <w:rFonts w:ascii="Arial" w:hAnsi="Arial" w:cs="Arial"/>
              </w:rPr>
              <w:t>Continuous review of the AILP.</w:t>
            </w:r>
          </w:p>
          <w:p w14:paraId="11436DF9" w14:textId="0C0F1D6D" w:rsidR="0049560B" w:rsidRPr="00A101A4" w:rsidRDefault="00163C36" w:rsidP="00A101A4">
            <w:pPr>
              <w:numPr>
                <w:ilvl w:val="0"/>
                <w:numId w:val="1"/>
              </w:numPr>
              <w:spacing w:line="276" w:lineRule="auto"/>
              <w:contextualSpacing/>
              <w:rPr>
                <w:rFonts w:ascii="Arial" w:hAnsi="Arial" w:cs="Arial"/>
              </w:rPr>
            </w:pPr>
            <w:r w:rsidRPr="00A101A4">
              <w:rPr>
                <w:rFonts w:ascii="Arial" w:hAnsi="Arial" w:cs="Arial"/>
              </w:rPr>
              <w:t xml:space="preserve">Review experiences through analysis of </w:t>
            </w:r>
            <w:r w:rsidR="0049560B" w:rsidRPr="00A101A4">
              <w:rPr>
                <w:rFonts w:ascii="Arial" w:hAnsi="Arial" w:cs="Arial"/>
              </w:rPr>
              <w:t>Student Voice Framework</w:t>
            </w:r>
            <w:r w:rsidRPr="00A101A4">
              <w:rPr>
                <w:rFonts w:ascii="Arial" w:hAnsi="Arial" w:cs="Arial"/>
              </w:rPr>
              <w:t>.</w:t>
            </w:r>
          </w:p>
        </w:tc>
      </w:tr>
    </w:tbl>
    <w:p w14:paraId="0565771F" w14:textId="77777777" w:rsidR="00F56F3A" w:rsidRPr="00901623" w:rsidRDefault="00F56F3A" w:rsidP="00901623">
      <w:pPr>
        <w:pStyle w:val="Header"/>
      </w:pPr>
    </w:p>
    <w:tbl>
      <w:tblPr>
        <w:tblStyle w:val="TableGrid1"/>
        <w:tblpPr w:leftFromText="180" w:rightFromText="180" w:vertAnchor="page" w:horzAnchor="margin" w:tblpY="1"/>
        <w:tblW w:w="15451" w:type="dxa"/>
        <w:tblInd w:w="0" w:type="dxa"/>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721"/>
        <w:gridCol w:w="3650"/>
        <w:gridCol w:w="8080"/>
      </w:tblGrid>
      <w:tr w:rsidR="000617D9" w:rsidRPr="006F74EC" w14:paraId="60150C47" w14:textId="77777777" w:rsidTr="00A101A4">
        <w:trPr>
          <w:tblHeader/>
        </w:trPr>
        <w:tc>
          <w:tcPr>
            <w:tcW w:w="15451" w:type="dxa"/>
            <w:gridSpan w:val="3"/>
            <w:tcBorders>
              <w:top w:val="nil"/>
              <w:left w:val="nil"/>
              <w:bottom w:val="single" w:sz="4" w:space="0" w:color="auto"/>
              <w:right w:val="nil"/>
            </w:tcBorders>
            <w:shd w:val="clear" w:color="auto" w:fill="auto"/>
            <w:vAlign w:val="center"/>
          </w:tcPr>
          <w:p w14:paraId="45CB37D4" w14:textId="77777777" w:rsidR="000617D9" w:rsidRDefault="000617D9" w:rsidP="00FA2442">
            <w:pPr>
              <w:rPr>
                <w:b/>
                <w:bCs/>
                <w:sz w:val="24"/>
                <w:szCs w:val="24"/>
              </w:rPr>
            </w:pPr>
          </w:p>
          <w:p w14:paraId="75913E6F" w14:textId="4AF765A4" w:rsidR="000617D9" w:rsidRPr="00BE12BD" w:rsidRDefault="000617D9" w:rsidP="00E61B56">
            <w:pPr>
              <w:pStyle w:val="Heading1"/>
              <w:rPr>
                <w:rFonts w:ascii="Arial" w:hAnsi="Arial" w:cs="Arial"/>
              </w:rPr>
            </w:pPr>
            <w:bookmarkStart w:id="6" w:name="_Appendix_A:_Equality"/>
            <w:bookmarkEnd w:id="6"/>
            <w:r w:rsidRPr="00E61B56">
              <w:rPr>
                <w:rStyle w:val="Heading4Char"/>
                <w:rFonts w:ascii="Arial" w:hAnsi="Arial" w:cs="Arial"/>
                <w:b/>
                <w:bCs/>
                <w:i w:val="0"/>
                <w:iCs w:val="0"/>
                <w:color w:val="auto"/>
                <w:sz w:val="32"/>
                <w:szCs w:val="32"/>
              </w:rPr>
              <w:t>Appendix A:</w:t>
            </w:r>
            <w:r w:rsidRPr="003F40C2">
              <w:rPr>
                <w:rFonts w:ascii="Arial" w:hAnsi="Arial" w:cs="Arial"/>
              </w:rPr>
              <w:t xml:space="preserve"> </w:t>
            </w:r>
            <w:r w:rsidRPr="00E61B56">
              <w:rPr>
                <w:rStyle w:val="Heading4Char"/>
                <w:rFonts w:asciiTheme="minorBidi" w:hAnsiTheme="minorBidi" w:cstheme="minorBidi"/>
                <w:b/>
                <w:bCs/>
                <w:i w:val="0"/>
                <w:iCs w:val="0"/>
                <w:color w:val="auto"/>
                <w:sz w:val="32"/>
                <w:szCs w:val="32"/>
              </w:rPr>
              <w:t>Equality Outcomes 2021 – 2025 Progress</w:t>
            </w:r>
            <w:r w:rsidR="00700624" w:rsidRPr="00E61B56">
              <w:rPr>
                <w:rStyle w:val="Heading4Char"/>
                <w:rFonts w:asciiTheme="minorBidi" w:hAnsiTheme="minorBidi" w:cstheme="minorBidi"/>
                <w:b/>
                <w:bCs/>
                <w:i w:val="0"/>
                <w:iCs w:val="0"/>
                <w:color w:val="auto"/>
                <w:sz w:val="32"/>
                <w:szCs w:val="32"/>
              </w:rPr>
              <w:t xml:space="preserve"> Update</w:t>
            </w:r>
          </w:p>
        </w:tc>
      </w:tr>
      <w:tr w:rsidR="00E617AA" w:rsidRPr="00655ACE" w14:paraId="524FBD90" w14:textId="5E81D4AB"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723B5EC7" w14:textId="77777777" w:rsidR="00E617AA" w:rsidRPr="00655ACE" w:rsidRDefault="00E617AA" w:rsidP="00FA2442">
            <w:pPr>
              <w:jc w:val="center"/>
              <w:rPr>
                <w:rFonts w:ascii="Arial" w:hAnsi="Arial" w:cs="Arial"/>
                <w:b/>
                <w:color w:val="FFFFFF"/>
              </w:rPr>
            </w:pPr>
            <w:r w:rsidRPr="00655ACE">
              <w:rPr>
                <w:rFonts w:ascii="Arial" w:hAnsi="Arial" w:cs="Arial"/>
                <w:b/>
                <w:color w:val="FFFFFF"/>
              </w:rPr>
              <w:t>Equality Outcomes</w:t>
            </w:r>
          </w:p>
          <w:p w14:paraId="6AAFEEAD" w14:textId="77777777" w:rsidR="00E617AA" w:rsidRPr="00655ACE" w:rsidRDefault="00E617AA" w:rsidP="00FA2442">
            <w:pPr>
              <w:jc w:val="center"/>
              <w:rPr>
                <w:rFonts w:ascii="Arial" w:eastAsia="Times New Roman" w:hAnsi="Arial" w:cs="Arial"/>
                <w:b/>
                <w:bCs/>
                <w:color w:val="003865"/>
                <w:kern w:val="36"/>
                <w:lang w:eastAsia="en-GB"/>
              </w:rPr>
            </w:pPr>
            <w:r w:rsidRPr="00655ACE">
              <w:rPr>
                <w:rFonts w:ascii="Arial" w:hAnsi="Arial" w:cs="Arial"/>
                <w:b/>
                <w:color w:val="FFFFFF"/>
              </w:rPr>
              <w:t>2021-2025</w:t>
            </w:r>
          </w:p>
        </w:tc>
        <w:tc>
          <w:tcPr>
            <w:tcW w:w="3650" w:type="dxa"/>
            <w:tcBorders>
              <w:top w:val="single" w:sz="4" w:space="0" w:color="auto"/>
              <w:left w:val="single" w:sz="4" w:space="0" w:color="auto"/>
              <w:bottom w:val="single" w:sz="4" w:space="0" w:color="auto"/>
              <w:right w:val="single" w:sz="4" w:space="0" w:color="auto"/>
            </w:tcBorders>
            <w:shd w:val="clear" w:color="auto" w:fill="003865"/>
            <w:vAlign w:val="center"/>
            <w:hideMark/>
          </w:tcPr>
          <w:p w14:paraId="7A6462BF" w14:textId="77777777" w:rsidR="00E617AA" w:rsidRPr="00655ACE" w:rsidRDefault="00E617AA" w:rsidP="00FA2442">
            <w:pPr>
              <w:jc w:val="center"/>
              <w:rPr>
                <w:rFonts w:ascii="Arial" w:eastAsia="Times New Roman" w:hAnsi="Arial" w:cs="Arial"/>
                <w:b/>
                <w:bCs/>
                <w:color w:val="003865"/>
                <w:kern w:val="36"/>
                <w:lang w:eastAsia="en-GB"/>
              </w:rPr>
            </w:pPr>
            <w:r w:rsidRPr="00655ACE">
              <w:rPr>
                <w:rFonts w:ascii="Arial" w:hAnsi="Arial" w:cs="Arial"/>
                <w:b/>
                <w:color w:val="FFFFFF"/>
              </w:rPr>
              <w:t>Action</w:t>
            </w:r>
          </w:p>
        </w:tc>
        <w:tc>
          <w:tcPr>
            <w:tcW w:w="8080" w:type="dxa"/>
            <w:tcBorders>
              <w:top w:val="single" w:sz="4" w:space="0" w:color="auto"/>
              <w:left w:val="single" w:sz="4" w:space="0" w:color="auto"/>
              <w:bottom w:val="single" w:sz="4" w:space="0" w:color="auto"/>
              <w:right w:val="single" w:sz="4" w:space="0" w:color="auto"/>
            </w:tcBorders>
            <w:shd w:val="clear" w:color="auto" w:fill="003865"/>
          </w:tcPr>
          <w:p w14:paraId="35C89B09" w14:textId="733A41A1" w:rsidR="00E617AA" w:rsidRPr="00655ACE" w:rsidRDefault="00007745" w:rsidP="00FA2442">
            <w:pPr>
              <w:jc w:val="center"/>
              <w:rPr>
                <w:rFonts w:ascii="Arial" w:hAnsi="Arial" w:cs="Arial"/>
                <w:b/>
                <w:color w:val="FFFFFF"/>
              </w:rPr>
            </w:pPr>
            <w:r w:rsidRPr="00655ACE">
              <w:rPr>
                <w:rFonts w:ascii="Arial" w:hAnsi="Arial" w:cs="Arial"/>
                <w:b/>
                <w:color w:val="FFFFFF"/>
              </w:rPr>
              <w:t xml:space="preserve">Progress 2021 </w:t>
            </w:r>
            <w:r w:rsidR="00B2102D">
              <w:rPr>
                <w:rFonts w:ascii="Arial" w:hAnsi="Arial" w:cs="Arial"/>
                <w:b/>
                <w:color w:val="FFFFFF"/>
              </w:rPr>
              <w:t>–</w:t>
            </w:r>
            <w:r w:rsidRPr="00655ACE">
              <w:rPr>
                <w:rFonts w:ascii="Arial" w:hAnsi="Arial" w:cs="Arial"/>
                <w:b/>
                <w:color w:val="FFFFFF"/>
              </w:rPr>
              <w:t xml:space="preserve"> 2025</w:t>
            </w:r>
          </w:p>
        </w:tc>
      </w:tr>
      <w:tr w:rsidR="00E617AA" w:rsidRPr="00655ACE" w14:paraId="6A34E41B" w14:textId="6BF0743F"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58281294" w14:textId="77777777" w:rsidR="00E617AA" w:rsidRPr="00655ACE" w:rsidRDefault="00E617AA" w:rsidP="00FA2442">
            <w:pPr>
              <w:spacing w:line="276" w:lineRule="auto"/>
              <w:rPr>
                <w:rFonts w:ascii="Arial" w:eastAsia="Times New Roman" w:hAnsi="Arial" w:cs="Arial"/>
                <w:b/>
                <w:bCs/>
                <w:color w:val="FFFFFF"/>
                <w:kern w:val="36"/>
                <w:lang w:eastAsia="en-GB"/>
              </w:rPr>
            </w:pPr>
            <w:r w:rsidRPr="00655ACE">
              <w:rPr>
                <w:rFonts w:ascii="Arial" w:eastAsia="Times New Roman" w:hAnsi="Arial" w:cs="Arial"/>
                <w:color w:val="FFFFFF"/>
                <w:kern w:val="36"/>
                <w:lang w:eastAsia="en-GB"/>
              </w:rPr>
              <w:t>1. Improve our engaging and enabling culture for women through continued focus on increasing the percentage of senior women, growing the talent pipeline and creating a positive campus culture</w:t>
            </w:r>
            <w:r w:rsidRPr="00655ACE">
              <w:rPr>
                <w:rFonts w:ascii="Arial" w:eastAsia="Times New Roman" w:hAnsi="Arial" w:cs="Arial"/>
                <w:b/>
                <w:bCs/>
                <w:color w:val="FFFFFF"/>
                <w:kern w:val="36"/>
                <w:lang w:eastAsia="en-GB"/>
              </w:rPr>
              <w:t>.</w:t>
            </w:r>
          </w:p>
          <w:p w14:paraId="145DACBB" w14:textId="77777777" w:rsidR="00E617AA" w:rsidRPr="00655ACE" w:rsidRDefault="00E617AA" w:rsidP="00FA2442">
            <w:pPr>
              <w:spacing w:line="276" w:lineRule="auto"/>
              <w:rPr>
                <w:rFonts w:ascii="Arial" w:eastAsia="Times New Roman" w:hAnsi="Arial" w:cs="Arial"/>
                <w:b/>
                <w:bCs/>
                <w:color w:val="FFFFFF"/>
                <w:kern w:val="36"/>
                <w:lang w:eastAsia="en-GB"/>
              </w:rPr>
            </w:pPr>
          </w:p>
        </w:tc>
        <w:tc>
          <w:tcPr>
            <w:tcW w:w="3650" w:type="dxa"/>
            <w:tcBorders>
              <w:top w:val="single" w:sz="4" w:space="0" w:color="auto"/>
              <w:left w:val="single" w:sz="4" w:space="0" w:color="auto"/>
              <w:bottom w:val="single" w:sz="4" w:space="0" w:color="auto"/>
              <w:right w:val="single" w:sz="4" w:space="0" w:color="auto"/>
            </w:tcBorders>
          </w:tcPr>
          <w:p w14:paraId="68B84A2A" w14:textId="700AD89F"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 xml:space="preserve">Senior women KPI </w:t>
            </w:r>
          </w:p>
          <w:p w14:paraId="01020AFF"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Continued support for School/RI Athena Swan applications and success.</w:t>
            </w:r>
          </w:p>
          <w:p w14:paraId="466C9507"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Review the policy framework and address identified policy gaps.</w:t>
            </w:r>
          </w:p>
          <w:p w14:paraId="4E9E16D1"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Implementation of the GBV framework and associated action plan.</w:t>
            </w:r>
          </w:p>
        </w:tc>
        <w:tc>
          <w:tcPr>
            <w:tcW w:w="8080" w:type="dxa"/>
            <w:tcBorders>
              <w:top w:val="single" w:sz="4" w:space="0" w:color="auto"/>
              <w:left w:val="single" w:sz="4" w:space="0" w:color="auto"/>
              <w:bottom w:val="single" w:sz="4" w:space="0" w:color="auto"/>
              <w:right w:val="single" w:sz="4" w:space="0" w:color="auto"/>
            </w:tcBorders>
          </w:tcPr>
          <w:p w14:paraId="5BD75CAA" w14:textId="531EAFB2" w:rsidR="00D7258F" w:rsidRPr="00655ACE" w:rsidRDefault="00B96D08" w:rsidP="00FA2442">
            <w:pPr>
              <w:numPr>
                <w:ilvl w:val="0"/>
                <w:numId w:val="2"/>
              </w:numPr>
              <w:spacing w:line="276" w:lineRule="auto"/>
              <w:contextualSpacing/>
              <w:rPr>
                <w:rFonts w:ascii="Arial" w:hAnsi="Arial" w:cs="Arial"/>
              </w:rPr>
            </w:pPr>
            <w:r w:rsidRPr="00655ACE">
              <w:rPr>
                <w:rFonts w:ascii="Arial" w:hAnsi="Arial" w:cs="Arial"/>
              </w:rPr>
              <w:t xml:space="preserve">Senior women KPI – increase of %F at Professorial and </w:t>
            </w:r>
            <w:r w:rsidR="008F0ACF" w:rsidRPr="00655ACE">
              <w:rPr>
                <w:rFonts w:ascii="Arial" w:hAnsi="Arial" w:cs="Arial"/>
              </w:rPr>
              <w:t xml:space="preserve">Senior Professional level from </w:t>
            </w:r>
            <w:r w:rsidR="001F7E69" w:rsidRPr="00655ACE">
              <w:rPr>
                <w:rFonts w:ascii="Arial" w:hAnsi="Arial" w:cs="Arial"/>
              </w:rPr>
              <w:t>33.2</w:t>
            </w:r>
            <w:r w:rsidR="00E41A12" w:rsidRPr="00655ACE">
              <w:rPr>
                <w:rFonts w:ascii="Arial" w:hAnsi="Arial" w:cs="Arial"/>
              </w:rPr>
              <w:t>% to</w:t>
            </w:r>
            <w:r w:rsidR="008F0ACF" w:rsidRPr="00655ACE">
              <w:rPr>
                <w:rFonts w:ascii="Arial" w:hAnsi="Arial" w:cs="Arial"/>
              </w:rPr>
              <w:t xml:space="preserve"> </w:t>
            </w:r>
            <w:r w:rsidR="000E123C" w:rsidRPr="00655ACE">
              <w:rPr>
                <w:rFonts w:ascii="Arial" w:hAnsi="Arial" w:cs="Arial"/>
              </w:rPr>
              <w:t>35</w:t>
            </w:r>
            <w:r w:rsidR="000F0433" w:rsidRPr="00655ACE">
              <w:rPr>
                <w:rFonts w:ascii="Arial" w:hAnsi="Arial" w:cs="Arial"/>
              </w:rPr>
              <w:t>.0</w:t>
            </w:r>
            <w:r w:rsidR="008F0ACF" w:rsidRPr="00655ACE">
              <w:rPr>
                <w:rFonts w:ascii="Arial" w:hAnsi="Arial" w:cs="Arial"/>
              </w:rPr>
              <w:t>% over reporting period.</w:t>
            </w:r>
          </w:p>
          <w:p w14:paraId="6092E3BD" w14:textId="1C4E9B40" w:rsidR="00E617AA" w:rsidRPr="00655ACE" w:rsidRDefault="00E617AA" w:rsidP="00FA2442">
            <w:pPr>
              <w:numPr>
                <w:ilvl w:val="0"/>
                <w:numId w:val="2"/>
              </w:numPr>
              <w:spacing w:line="276" w:lineRule="auto"/>
              <w:contextualSpacing/>
              <w:rPr>
                <w:rFonts w:ascii="Arial" w:hAnsi="Arial" w:cs="Arial"/>
              </w:rPr>
            </w:pPr>
            <w:r w:rsidRPr="00655ACE">
              <w:rPr>
                <w:rFonts w:ascii="Arial" w:hAnsi="Arial" w:cs="Arial"/>
              </w:rPr>
              <w:t>Menopause and Hormonal Changes Policy launched</w:t>
            </w:r>
            <w:r w:rsidR="00C95928" w:rsidRPr="00655ACE">
              <w:rPr>
                <w:rFonts w:ascii="Arial" w:hAnsi="Arial" w:cs="Arial"/>
              </w:rPr>
              <w:t>; peer support provided</w:t>
            </w:r>
            <w:r w:rsidR="003F6B69" w:rsidRPr="00655ACE">
              <w:rPr>
                <w:rFonts w:ascii="Arial" w:hAnsi="Arial" w:cs="Arial"/>
              </w:rPr>
              <w:t xml:space="preserve"> through</w:t>
            </w:r>
            <w:r w:rsidR="00FA410A" w:rsidRPr="00655ACE">
              <w:rPr>
                <w:rFonts w:ascii="Arial" w:hAnsi="Arial" w:cs="Arial"/>
              </w:rPr>
              <w:t xml:space="preserve"> monthly</w:t>
            </w:r>
            <w:r w:rsidR="003F6B69" w:rsidRPr="00655ACE">
              <w:rPr>
                <w:rFonts w:ascii="Arial" w:hAnsi="Arial" w:cs="Arial"/>
              </w:rPr>
              <w:t xml:space="preserve"> Menopause Cafes and Teams Group (171 members)</w:t>
            </w:r>
            <w:r w:rsidR="00FA410A" w:rsidRPr="00655ACE">
              <w:rPr>
                <w:rFonts w:ascii="Arial" w:hAnsi="Arial" w:cs="Arial"/>
              </w:rPr>
              <w:t>.</w:t>
            </w:r>
          </w:p>
          <w:p w14:paraId="7E37B448" w14:textId="79C5931C" w:rsidR="00E617AA" w:rsidRPr="00655ACE" w:rsidRDefault="0034308F" w:rsidP="00FA2442">
            <w:pPr>
              <w:numPr>
                <w:ilvl w:val="0"/>
                <w:numId w:val="2"/>
              </w:numPr>
              <w:spacing w:line="276" w:lineRule="auto"/>
              <w:contextualSpacing/>
              <w:rPr>
                <w:rFonts w:ascii="Arial" w:hAnsi="Arial" w:cs="Arial"/>
              </w:rPr>
            </w:pPr>
            <w:r w:rsidRPr="00655ACE">
              <w:rPr>
                <w:rFonts w:ascii="Arial" w:hAnsi="Arial" w:cs="Arial"/>
              </w:rPr>
              <w:t xml:space="preserve">Between 2021-2025, Schools </w:t>
            </w:r>
            <w:r w:rsidR="004045B4" w:rsidRPr="00655ACE">
              <w:rPr>
                <w:rFonts w:ascii="Arial" w:hAnsi="Arial" w:cs="Arial"/>
              </w:rPr>
              <w:t>consistently</w:t>
            </w:r>
            <w:r w:rsidR="00A77C8E" w:rsidRPr="00655ACE">
              <w:rPr>
                <w:rFonts w:ascii="Arial" w:hAnsi="Arial" w:cs="Arial"/>
              </w:rPr>
              <w:t xml:space="preserve"> supported to</w:t>
            </w:r>
            <w:r w:rsidRPr="00655ACE">
              <w:rPr>
                <w:rFonts w:ascii="Arial" w:hAnsi="Arial" w:cs="Arial"/>
              </w:rPr>
              <w:t xml:space="preserve"> successfully renew or upgrade Athena Swan</w:t>
            </w:r>
            <w:r w:rsidR="00C3545F" w:rsidRPr="00655ACE">
              <w:rPr>
                <w:rFonts w:ascii="Arial" w:hAnsi="Arial" w:cs="Arial"/>
              </w:rPr>
              <w:t xml:space="preserve"> awards, with </w:t>
            </w:r>
            <w:r w:rsidR="002D0B5F" w:rsidRPr="00655ACE">
              <w:rPr>
                <w:rFonts w:ascii="Arial" w:hAnsi="Arial" w:cs="Arial"/>
              </w:rPr>
              <w:t>2 Gold</w:t>
            </w:r>
            <w:r w:rsidR="00C3545F" w:rsidRPr="00655ACE">
              <w:rPr>
                <w:rFonts w:ascii="Arial" w:hAnsi="Arial" w:cs="Arial"/>
              </w:rPr>
              <w:t xml:space="preserve">; </w:t>
            </w:r>
            <w:r w:rsidR="00DC1938" w:rsidRPr="00655ACE">
              <w:rPr>
                <w:rFonts w:ascii="Arial" w:hAnsi="Arial" w:cs="Arial"/>
              </w:rPr>
              <w:t>10</w:t>
            </w:r>
            <w:r w:rsidR="00831D78" w:rsidRPr="00655ACE">
              <w:rPr>
                <w:rFonts w:ascii="Arial" w:hAnsi="Arial" w:cs="Arial"/>
              </w:rPr>
              <w:t xml:space="preserve"> </w:t>
            </w:r>
            <w:r w:rsidR="00E41A12" w:rsidRPr="00655ACE">
              <w:rPr>
                <w:rFonts w:ascii="Arial" w:hAnsi="Arial" w:cs="Arial"/>
              </w:rPr>
              <w:t>Silver; and</w:t>
            </w:r>
            <w:r w:rsidR="00C3545F" w:rsidRPr="00655ACE">
              <w:rPr>
                <w:rFonts w:ascii="Arial" w:hAnsi="Arial" w:cs="Arial"/>
              </w:rPr>
              <w:t xml:space="preserve"> </w:t>
            </w:r>
            <w:r w:rsidR="00F917DB" w:rsidRPr="00655ACE">
              <w:rPr>
                <w:rFonts w:ascii="Arial" w:hAnsi="Arial" w:cs="Arial"/>
              </w:rPr>
              <w:t>8 Bronze Awards held</w:t>
            </w:r>
            <w:r w:rsidR="00C75B4C" w:rsidRPr="00655ACE">
              <w:rPr>
                <w:rFonts w:ascii="Arial" w:hAnsi="Arial" w:cs="Arial"/>
              </w:rPr>
              <w:t xml:space="preserve"> by Schools</w:t>
            </w:r>
            <w:r w:rsidR="00F917DB" w:rsidRPr="00655ACE">
              <w:rPr>
                <w:rFonts w:ascii="Arial" w:hAnsi="Arial" w:cs="Arial"/>
              </w:rPr>
              <w:t xml:space="preserve"> in 2025</w:t>
            </w:r>
          </w:p>
          <w:p w14:paraId="3A0C1A34" w14:textId="742EA3A5" w:rsidR="00E617AA" w:rsidRPr="00655ACE" w:rsidRDefault="00E617AA" w:rsidP="00FA2442">
            <w:pPr>
              <w:numPr>
                <w:ilvl w:val="0"/>
                <w:numId w:val="2"/>
              </w:numPr>
              <w:spacing w:line="276" w:lineRule="auto"/>
              <w:contextualSpacing/>
              <w:rPr>
                <w:rFonts w:ascii="Arial" w:hAnsi="Arial" w:cs="Arial"/>
              </w:rPr>
            </w:pPr>
            <w:r w:rsidRPr="00655ACE">
              <w:rPr>
                <w:rFonts w:ascii="Arial" w:hAnsi="Arial" w:cs="Arial"/>
              </w:rPr>
              <w:t>GBV action plan – Code of Professional Conduct; Sexual Harassment Investigators Training; review of web materials; promotion of reporting tools.</w:t>
            </w:r>
          </w:p>
          <w:p w14:paraId="0F095239" w14:textId="77777777" w:rsidR="003D1F68" w:rsidRPr="00655ACE" w:rsidRDefault="00E617AA" w:rsidP="00FA2442">
            <w:pPr>
              <w:spacing w:line="276" w:lineRule="auto"/>
              <w:ind w:left="360"/>
              <w:contextualSpacing/>
              <w:rPr>
                <w:rFonts w:ascii="Arial" w:hAnsi="Arial" w:cs="Arial"/>
              </w:rPr>
            </w:pPr>
            <w:r w:rsidRPr="00655ACE">
              <w:rPr>
                <w:rFonts w:ascii="Arial" w:hAnsi="Arial" w:cs="Arial"/>
              </w:rPr>
              <w:t xml:space="preserve">Ross Report Recommendations </w:t>
            </w:r>
            <w:r w:rsidR="003D1F68" w:rsidRPr="00655ACE">
              <w:rPr>
                <w:rFonts w:ascii="Arial" w:hAnsi="Arial" w:cs="Arial"/>
              </w:rPr>
              <w:t>progress includes:</w:t>
            </w:r>
          </w:p>
          <w:p w14:paraId="671C37A4" w14:textId="5729A60E" w:rsidR="00E617AA" w:rsidRPr="00655ACE" w:rsidRDefault="00B52AC3" w:rsidP="00FA2442">
            <w:pPr>
              <w:numPr>
                <w:ilvl w:val="0"/>
                <w:numId w:val="2"/>
              </w:numPr>
              <w:spacing w:line="276" w:lineRule="auto"/>
              <w:contextualSpacing/>
              <w:rPr>
                <w:rFonts w:ascii="Arial" w:hAnsi="Arial" w:cs="Arial"/>
              </w:rPr>
            </w:pPr>
            <w:r w:rsidRPr="00655ACE">
              <w:rPr>
                <w:rFonts w:ascii="Arial" w:hAnsi="Arial" w:cs="Arial"/>
              </w:rPr>
              <w:t>Resourcing</w:t>
            </w:r>
            <w:r w:rsidR="003D1F68" w:rsidRPr="00655ACE">
              <w:rPr>
                <w:rFonts w:ascii="Arial" w:hAnsi="Arial" w:cs="Arial"/>
              </w:rPr>
              <w:t xml:space="preserve"> of Safeguarding Team </w:t>
            </w:r>
            <w:r w:rsidR="00B35B09" w:rsidRPr="00655ACE">
              <w:rPr>
                <w:rFonts w:ascii="Arial" w:hAnsi="Arial" w:cs="Arial"/>
              </w:rPr>
              <w:t xml:space="preserve">introducing professionalised GBV response </w:t>
            </w:r>
            <w:r w:rsidR="00E310BC" w:rsidRPr="00655ACE">
              <w:rPr>
                <w:rFonts w:ascii="Arial" w:hAnsi="Arial" w:cs="Arial"/>
              </w:rPr>
              <w:t>alongside dedicated GBV counsell</w:t>
            </w:r>
            <w:r w:rsidR="00140505" w:rsidRPr="00655ACE">
              <w:rPr>
                <w:rFonts w:ascii="Arial" w:hAnsi="Arial" w:cs="Arial"/>
              </w:rPr>
              <w:t>or</w:t>
            </w:r>
            <w:r w:rsidR="00E310BC" w:rsidRPr="00655ACE">
              <w:rPr>
                <w:rFonts w:ascii="Arial" w:hAnsi="Arial" w:cs="Arial"/>
              </w:rPr>
              <w:t xml:space="preserve"> provision.</w:t>
            </w:r>
          </w:p>
          <w:p w14:paraId="70DC672C" w14:textId="347AEEEF" w:rsidR="00CF1254" w:rsidRPr="00655ACE" w:rsidRDefault="00CF1254" w:rsidP="00FA2442">
            <w:pPr>
              <w:numPr>
                <w:ilvl w:val="0"/>
                <w:numId w:val="2"/>
              </w:numPr>
              <w:spacing w:line="276" w:lineRule="auto"/>
              <w:contextualSpacing/>
              <w:rPr>
                <w:rFonts w:ascii="Arial" w:hAnsi="Arial" w:cs="Arial"/>
              </w:rPr>
            </w:pPr>
            <w:r w:rsidRPr="00655ACE">
              <w:rPr>
                <w:rFonts w:ascii="Arial" w:hAnsi="Arial" w:cs="Arial"/>
              </w:rPr>
              <w:t xml:space="preserve">Revising Code of Student Conduct and </w:t>
            </w:r>
            <w:r w:rsidR="000D6B6A" w:rsidRPr="00655ACE">
              <w:rPr>
                <w:rFonts w:ascii="Arial" w:hAnsi="Arial" w:cs="Arial"/>
              </w:rPr>
              <w:t>related processes</w:t>
            </w:r>
          </w:p>
          <w:p w14:paraId="02A875C6" w14:textId="6E0983A4" w:rsidR="00B35B09" w:rsidRPr="00655ACE" w:rsidRDefault="00F1380B" w:rsidP="00FA2442">
            <w:pPr>
              <w:numPr>
                <w:ilvl w:val="0"/>
                <w:numId w:val="2"/>
              </w:numPr>
              <w:spacing w:line="276" w:lineRule="auto"/>
              <w:contextualSpacing/>
              <w:rPr>
                <w:rFonts w:ascii="Arial" w:hAnsi="Arial" w:cs="Arial"/>
              </w:rPr>
            </w:pPr>
            <w:r w:rsidRPr="00655ACE">
              <w:rPr>
                <w:rFonts w:ascii="Arial" w:hAnsi="Arial" w:cs="Arial"/>
              </w:rPr>
              <w:t xml:space="preserve">Together Against </w:t>
            </w:r>
            <w:r w:rsidR="00B35B09" w:rsidRPr="00655ACE">
              <w:rPr>
                <w:rFonts w:ascii="Arial" w:hAnsi="Arial" w:cs="Arial"/>
              </w:rPr>
              <w:t>GBV campaign</w:t>
            </w:r>
            <w:r w:rsidR="00FA410A" w:rsidRPr="00655ACE">
              <w:rPr>
                <w:rFonts w:ascii="Arial" w:hAnsi="Arial" w:cs="Arial"/>
              </w:rPr>
              <w:t xml:space="preserve">, including </w:t>
            </w:r>
            <w:r w:rsidR="00B02613" w:rsidRPr="00655ACE">
              <w:rPr>
                <w:rFonts w:ascii="Arial" w:hAnsi="Arial" w:cs="Arial"/>
              </w:rPr>
              <w:t>phase on Workplace Sexual Harassment.</w:t>
            </w:r>
            <w:r w:rsidR="00B35B09" w:rsidRPr="00655ACE">
              <w:rPr>
                <w:rFonts w:ascii="Arial" w:hAnsi="Arial" w:cs="Arial"/>
              </w:rPr>
              <w:t xml:space="preserve"> </w:t>
            </w:r>
          </w:p>
        </w:tc>
      </w:tr>
      <w:tr w:rsidR="00E617AA" w:rsidRPr="00655ACE" w14:paraId="6AF139FF" w14:textId="13BADB2A"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0A1FC68A" w14:textId="77777777" w:rsidR="00E617AA" w:rsidRPr="00655ACE" w:rsidRDefault="00E617AA" w:rsidP="00FA2442">
            <w:pPr>
              <w:spacing w:line="276" w:lineRule="auto"/>
              <w:rPr>
                <w:rFonts w:ascii="Arial" w:eastAsia="Times New Roman" w:hAnsi="Arial" w:cs="Arial"/>
                <w:color w:val="FFFFFF"/>
                <w:kern w:val="36"/>
                <w:lang w:eastAsia="en-GB"/>
              </w:rPr>
            </w:pPr>
            <w:r w:rsidRPr="00655ACE">
              <w:rPr>
                <w:rFonts w:ascii="Arial" w:eastAsia="Times New Roman" w:hAnsi="Arial" w:cs="Arial"/>
                <w:color w:val="FFFFFF"/>
                <w:kern w:val="36"/>
                <w:lang w:eastAsia="en-GB"/>
              </w:rPr>
              <w:t>2. By embracing diversity and respecting difference we take an anti-racist approach to race equality work and aim to address structural inequalities.</w:t>
            </w:r>
          </w:p>
        </w:tc>
        <w:tc>
          <w:tcPr>
            <w:tcW w:w="3650" w:type="dxa"/>
            <w:tcBorders>
              <w:top w:val="single" w:sz="4" w:space="0" w:color="auto"/>
              <w:left w:val="single" w:sz="4" w:space="0" w:color="auto"/>
              <w:bottom w:val="single" w:sz="4" w:space="0" w:color="auto"/>
              <w:right w:val="single" w:sz="4" w:space="0" w:color="auto"/>
            </w:tcBorders>
          </w:tcPr>
          <w:p w14:paraId="5982C2FC" w14:textId="77777777" w:rsidR="006D35C8" w:rsidRPr="00655ACE" w:rsidRDefault="006D35C8" w:rsidP="00FA2442">
            <w:pPr>
              <w:spacing w:line="276" w:lineRule="auto"/>
              <w:contextualSpacing/>
              <w:rPr>
                <w:rFonts w:ascii="Arial" w:hAnsi="Arial" w:cs="Arial"/>
              </w:rPr>
            </w:pPr>
          </w:p>
          <w:p w14:paraId="38E2D1AF" w14:textId="77777777" w:rsidR="006D35C8" w:rsidRPr="00655ACE" w:rsidRDefault="006D35C8" w:rsidP="00FA2442">
            <w:pPr>
              <w:spacing w:line="276" w:lineRule="auto"/>
              <w:contextualSpacing/>
              <w:rPr>
                <w:rFonts w:ascii="Arial" w:hAnsi="Arial" w:cs="Arial"/>
              </w:rPr>
            </w:pPr>
          </w:p>
          <w:p w14:paraId="573E7A35" w14:textId="77777777" w:rsidR="006D35C8" w:rsidRPr="00655ACE" w:rsidRDefault="006D35C8" w:rsidP="00FA2442">
            <w:pPr>
              <w:spacing w:line="276" w:lineRule="auto"/>
              <w:contextualSpacing/>
              <w:rPr>
                <w:rFonts w:ascii="Arial" w:hAnsi="Arial" w:cs="Arial"/>
              </w:rPr>
            </w:pPr>
          </w:p>
          <w:p w14:paraId="34BCAC03" w14:textId="77777777" w:rsidR="006D35C8" w:rsidRPr="00655ACE" w:rsidRDefault="006D35C8" w:rsidP="00FA2442">
            <w:pPr>
              <w:spacing w:line="276" w:lineRule="auto"/>
              <w:contextualSpacing/>
              <w:rPr>
                <w:rFonts w:ascii="Arial" w:hAnsi="Arial" w:cs="Arial"/>
              </w:rPr>
            </w:pPr>
          </w:p>
          <w:p w14:paraId="75E507A1" w14:textId="77777777" w:rsidR="006D35C8" w:rsidRPr="00655ACE" w:rsidRDefault="006D35C8" w:rsidP="00FA2442">
            <w:pPr>
              <w:spacing w:line="276" w:lineRule="auto"/>
              <w:contextualSpacing/>
              <w:rPr>
                <w:rFonts w:ascii="Arial" w:hAnsi="Arial" w:cs="Arial"/>
              </w:rPr>
            </w:pPr>
          </w:p>
          <w:p w14:paraId="5ECDCED6" w14:textId="77777777" w:rsidR="006D35C8" w:rsidRPr="006D5BC4" w:rsidRDefault="006D35C8" w:rsidP="00FA2442">
            <w:pPr>
              <w:spacing w:line="276" w:lineRule="auto"/>
              <w:contextualSpacing/>
              <w:rPr>
                <w:rFonts w:ascii="Arial" w:hAnsi="Arial" w:cs="Arial"/>
              </w:rPr>
            </w:pPr>
          </w:p>
          <w:p w14:paraId="001050BD" w14:textId="6521D896" w:rsidR="00E617AA" w:rsidRPr="006D5BC4" w:rsidRDefault="00E617AA" w:rsidP="00FA2442">
            <w:pPr>
              <w:numPr>
                <w:ilvl w:val="0"/>
                <w:numId w:val="1"/>
              </w:numPr>
              <w:spacing w:line="276" w:lineRule="auto"/>
              <w:contextualSpacing/>
              <w:rPr>
                <w:rFonts w:ascii="Arial" w:hAnsi="Arial" w:cs="Arial"/>
              </w:rPr>
            </w:pPr>
            <w:r w:rsidRPr="006D5BC4">
              <w:rPr>
                <w:rFonts w:ascii="Arial" w:hAnsi="Arial" w:cs="Arial"/>
              </w:rPr>
              <w:t>Implementation of the URTUC Action Plan.</w:t>
            </w:r>
          </w:p>
          <w:p w14:paraId="0CF60368" w14:textId="77777777" w:rsidR="00E617AA" w:rsidRPr="00655ACE" w:rsidRDefault="00E617AA" w:rsidP="00FA2442">
            <w:pPr>
              <w:spacing w:line="276" w:lineRule="auto"/>
              <w:rPr>
                <w:rFonts w:ascii="Arial" w:eastAsia="Times New Roman" w:hAnsi="Arial" w:cs="Arial"/>
                <w:kern w:val="36"/>
                <w:lang w:eastAsia="en-GB"/>
              </w:rPr>
            </w:pPr>
          </w:p>
        </w:tc>
        <w:tc>
          <w:tcPr>
            <w:tcW w:w="8080" w:type="dxa"/>
            <w:tcBorders>
              <w:top w:val="single" w:sz="4" w:space="0" w:color="auto"/>
              <w:left w:val="single" w:sz="4" w:space="0" w:color="auto"/>
              <w:bottom w:val="single" w:sz="4" w:space="0" w:color="auto"/>
              <w:right w:val="single" w:sz="4" w:space="0" w:color="auto"/>
            </w:tcBorders>
          </w:tcPr>
          <w:p w14:paraId="22144FCD" w14:textId="77777777" w:rsidR="00E617AA" w:rsidRPr="00655ACE" w:rsidRDefault="00E617AA" w:rsidP="00FA2442">
            <w:pPr>
              <w:spacing w:line="276" w:lineRule="auto"/>
              <w:ind w:left="360"/>
              <w:contextualSpacing/>
              <w:rPr>
                <w:rFonts w:ascii="Arial" w:eastAsia="Times New Roman" w:hAnsi="Arial" w:cs="Arial"/>
                <w:kern w:val="36"/>
                <w:lang w:eastAsia="en-GB"/>
              </w:rPr>
            </w:pPr>
            <w:r w:rsidRPr="00655ACE">
              <w:rPr>
                <w:rFonts w:ascii="Arial" w:eastAsia="Times New Roman" w:hAnsi="Arial" w:cs="Arial"/>
                <w:kern w:val="36"/>
                <w:lang w:eastAsia="en-GB"/>
              </w:rPr>
              <w:t>URTUC implementation includes:</w:t>
            </w:r>
          </w:p>
          <w:p w14:paraId="004629D1" w14:textId="25A2E995"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KPI on growing % of UK</w:t>
            </w:r>
            <w:r w:rsidR="00944908" w:rsidRPr="00655ACE">
              <w:rPr>
                <w:rFonts w:ascii="Arial" w:eastAsia="Times New Roman" w:hAnsi="Arial" w:cs="Arial"/>
                <w:kern w:val="36"/>
                <w:lang w:eastAsia="en-GB"/>
              </w:rPr>
              <w:t xml:space="preserve"> Minority Ethnic</w:t>
            </w:r>
            <w:r w:rsidRPr="00655ACE">
              <w:rPr>
                <w:rFonts w:ascii="Arial" w:eastAsia="Times New Roman" w:hAnsi="Arial" w:cs="Arial"/>
                <w:kern w:val="36"/>
                <w:lang w:eastAsia="en-GB"/>
              </w:rPr>
              <w:t xml:space="preserve"> staff</w:t>
            </w:r>
            <w:r w:rsidR="00944908" w:rsidRPr="00655ACE">
              <w:rPr>
                <w:rFonts w:ascii="Arial" w:eastAsia="Times New Roman" w:hAnsi="Arial" w:cs="Arial"/>
                <w:kern w:val="36"/>
                <w:lang w:eastAsia="en-GB"/>
              </w:rPr>
              <w:t xml:space="preserve"> – increased from 4.7% to 6.7%</w:t>
            </w:r>
            <w:r w:rsidRPr="00655ACE">
              <w:rPr>
                <w:rFonts w:ascii="Arial" w:eastAsia="Times New Roman" w:hAnsi="Arial" w:cs="Arial"/>
                <w:kern w:val="36"/>
                <w:lang w:eastAsia="en-GB"/>
              </w:rPr>
              <w:t>.</w:t>
            </w:r>
          </w:p>
          <w:p w14:paraId="1EBEEF33" w14:textId="3363B635"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 xml:space="preserve">UofG Global </w:t>
            </w:r>
            <w:r w:rsidR="001B2D93" w:rsidRPr="00655ACE">
              <w:rPr>
                <w:rFonts w:ascii="Arial" w:eastAsia="Times New Roman" w:hAnsi="Arial" w:cs="Arial"/>
                <w:kern w:val="36"/>
                <w:lang w:eastAsia="en-GB"/>
              </w:rPr>
              <w:t>M</w:t>
            </w:r>
            <w:r w:rsidRPr="00655ACE">
              <w:rPr>
                <w:rFonts w:ascii="Arial" w:eastAsia="Times New Roman" w:hAnsi="Arial" w:cs="Arial"/>
                <w:kern w:val="36"/>
                <w:lang w:eastAsia="en-GB"/>
              </w:rPr>
              <w:t xml:space="preserve">ajority </w:t>
            </w:r>
            <w:r w:rsidR="001B2D93" w:rsidRPr="00655ACE">
              <w:rPr>
                <w:rFonts w:ascii="Arial" w:eastAsia="Times New Roman" w:hAnsi="Arial" w:cs="Arial"/>
                <w:kern w:val="36"/>
                <w:lang w:eastAsia="en-GB"/>
              </w:rPr>
              <w:t>N</w:t>
            </w:r>
            <w:r w:rsidRPr="00655ACE">
              <w:rPr>
                <w:rFonts w:ascii="Arial" w:eastAsia="Times New Roman" w:hAnsi="Arial" w:cs="Arial"/>
                <w:kern w:val="36"/>
                <w:lang w:eastAsia="en-GB"/>
              </w:rPr>
              <w:t>etwork</w:t>
            </w:r>
            <w:r w:rsidR="001B2D93" w:rsidRPr="00655ACE">
              <w:rPr>
                <w:rFonts w:ascii="Arial" w:eastAsia="Times New Roman" w:hAnsi="Arial" w:cs="Arial"/>
                <w:kern w:val="36"/>
                <w:lang w:eastAsia="en-GB"/>
              </w:rPr>
              <w:t xml:space="preserve"> launched</w:t>
            </w:r>
            <w:r w:rsidR="00785D90" w:rsidRPr="00655ACE">
              <w:rPr>
                <w:rFonts w:ascii="Arial" w:eastAsia="Times New Roman" w:hAnsi="Arial" w:cs="Arial"/>
                <w:kern w:val="36"/>
                <w:lang w:eastAsia="en-GB"/>
              </w:rPr>
              <w:t xml:space="preserve"> 2022; hosted </w:t>
            </w:r>
            <w:r w:rsidR="00956103" w:rsidRPr="00655ACE">
              <w:rPr>
                <w:rFonts w:ascii="Arial" w:eastAsia="Times New Roman" w:hAnsi="Arial" w:cs="Arial"/>
                <w:kern w:val="36"/>
                <w:lang w:eastAsia="en-GB"/>
              </w:rPr>
              <w:t>c.12</w:t>
            </w:r>
            <w:r w:rsidR="00785D90" w:rsidRPr="00655ACE">
              <w:rPr>
                <w:rFonts w:ascii="Arial" w:eastAsia="Times New Roman" w:hAnsi="Arial" w:cs="Arial"/>
                <w:kern w:val="36"/>
                <w:lang w:eastAsia="en-GB"/>
              </w:rPr>
              <w:t xml:space="preserve"> </w:t>
            </w:r>
            <w:r w:rsidR="00956103" w:rsidRPr="00655ACE">
              <w:rPr>
                <w:rFonts w:ascii="Arial" w:eastAsia="Times New Roman" w:hAnsi="Arial" w:cs="Arial"/>
                <w:kern w:val="36"/>
                <w:lang w:eastAsia="en-GB"/>
              </w:rPr>
              <w:t xml:space="preserve">events alongside routine Network meetings; membership has grown </w:t>
            </w:r>
            <w:r w:rsidR="001B2D93" w:rsidRPr="00655ACE">
              <w:rPr>
                <w:rFonts w:ascii="Arial" w:eastAsia="Times New Roman" w:hAnsi="Arial" w:cs="Arial"/>
                <w:kern w:val="36"/>
                <w:lang w:eastAsia="en-GB"/>
              </w:rPr>
              <w:t xml:space="preserve">to </w:t>
            </w:r>
            <w:r w:rsidR="00066F93" w:rsidRPr="00655ACE">
              <w:rPr>
                <w:rFonts w:ascii="Arial" w:eastAsia="Times New Roman" w:hAnsi="Arial" w:cs="Arial"/>
                <w:kern w:val="36"/>
                <w:lang w:eastAsia="en-GB"/>
              </w:rPr>
              <w:t>&gt;</w:t>
            </w:r>
            <w:r w:rsidR="001B2D93" w:rsidRPr="00655ACE">
              <w:rPr>
                <w:rFonts w:ascii="Arial" w:eastAsia="Times New Roman" w:hAnsi="Arial" w:cs="Arial"/>
                <w:kern w:val="36"/>
                <w:lang w:eastAsia="en-GB"/>
              </w:rPr>
              <w:t>1</w:t>
            </w:r>
            <w:r w:rsidR="00066F93" w:rsidRPr="00655ACE">
              <w:rPr>
                <w:rFonts w:ascii="Arial" w:eastAsia="Times New Roman" w:hAnsi="Arial" w:cs="Arial"/>
                <w:kern w:val="36"/>
                <w:lang w:eastAsia="en-GB"/>
              </w:rPr>
              <w:t>50</w:t>
            </w:r>
            <w:r w:rsidR="001B2D93" w:rsidRPr="00655ACE">
              <w:rPr>
                <w:rFonts w:ascii="Arial" w:eastAsia="Times New Roman" w:hAnsi="Arial" w:cs="Arial"/>
                <w:kern w:val="36"/>
                <w:lang w:eastAsia="en-GB"/>
              </w:rPr>
              <w:t>members</w:t>
            </w:r>
            <w:r w:rsidRPr="00655ACE">
              <w:rPr>
                <w:rFonts w:ascii="Arial" w:eastAsia="Times New Roman" w:hAnsi="Arial" w:cs="Arial"/>
                <w:kern w:val="36"/>
                <w:lang w:eastAsia="en-GB"/>
              </w:rPr>
              <w:t>.</w:t>
            </w:r>
          </w:p>
          <w:p w14:paraId="1DEB3AD1" w14:textId="0BC49E19"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 xml:space="preserve">JMS PhD Scholarships </w:t>
            </w:r>
            <w:r w:rsidR="007607BA" w:rsidRPr="00655ACE">
              <w:rPr>
                <w:rFonts w:ascii="Arial" w:eastAsia="Times New Roman" w:hAnsi="Arial" w:cs="Arial"/>
                <w:kern w:val="36"/>
                <w:lang w:eastAsia="en-GB"/>
              </w:rPr>
              <w:t xml:space="preserve">introduced </w:t>
            </w:r>
            <w:r w:rsidRPr="00655ACE">
              <w:rPr>
                <w:rFonts w:ascii="Arial" w:eastAsia="Times New Roman" w:hAnsi="Arial" w:cs="Arial"/>
                <w:kern w:val="36"/>
                <w:lang w:eastAsia="en-GB"/>
              </w:rPr>
              <w:t>for UK Black students.</w:t>
            </w:r>
          </w:p>
          <w:p w14:paraId="643C2A22" w14:textId="77777777"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Together Against Racism campaign and resources.</w:t>
            </w:r>
          </w:p>
          <w:p w14:paraId="73293BC1" w14:textId="46A95AD9"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 xml:space="preserve">Data analysis for degree attainment and </w:t>
            </w:r>
            <w:r w:rsidR="00EC05AB">
              <w:rPr>
                <w:rFonts w:ascii="Arial" w:eastAsia="Times New Roman" w:hAnsi="Arial" w:cs="Arial"/>
                <w:kern w:val="36"/>
                <w:lang w:eastAsia="en-GB"/>
              </w:rPr>
              <w:t xml:space="preserve">staff </w:t>
            </w:r>
            <w:r w:rsidRPr="00655ACE">
              <w:rPr>
                <w:rFonts w:ascii="Arial" w:eastAsia="Times New Roman" w:hAnsi="Arial" w:cs="Arial"/>
                <w:kern w:val="36"/>
                <w:lang w:eastAsia="en-GB"/>
              </w:rPr>
              <w:t>recruitment completed.</w:t>
            </w:r>
          </w:p>
          <w:p w14:paraId="0FE6606A" w14:textId="2ABFC418"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Focus groups with academic</w:t>
            </w:r>
            <w:r w:rsidR="007607BA" w:rsidRPr="00655ACE">
              <w:rPr>
                <w:rFonts w:ascii="Arial" w:eastAsia="Times New Roman" w:hAnsi="Arial" w:cs="Arial"/>
                <w:kern w:val="36"/>
                <w:lang w:eastAsia="en-GB"/>
              </w:rPr>
              <w:t xml:space="preserve"> Minority Ethnic</w:t>
            </w:r>
            <w:r w:rsidRPr="00655ACE">
              <w:rPr>
                <w:rFonts w:ascii="Arial" w:eastAsia="Times New Roman" w:hAnsi="Arial" w:cs="Arial"/>
                <w:kern w:val="36"/>
                <w:lang w:eastAsia="en-GB"/>
              </w:rPr>
              <w:t xml:space="preserve"> staff completed.</w:t>
            </w:r>
          </w:p>
          <w:p w14:paraId="24226B1D" w14:textId="0476EA84" w:rsidR="00676E0B" w:rsidRPr="00655ACE" w:rsidRDefault="00676E0B"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Annual Racial Justice Lecture Series launched October 2024.</w:t>
            </w:r>
          </w:p>
          <w:p w14:paraId="140D7B62" w14:textId="77777777" w:rsidR="00E617AA" w:rsidRPr="00655ACE" w:rsidRDefault="00E617AA"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Training of SMG/Senior leaders/Operational staff.</w:t>
            </w:r>
          </w:p>
          <w:p w14:paraId="02769083" w14:textId="23E05969" w:rsidR="00E617AA" w:rsidRPr="00655ACE" w:rsidRDefault="00D436EB" w:rsidP="00FA2442">
            <w:pPr>
              <w:numPr>
                <w:ilvl w:val="0"/>
                <w:numId w:val="4"/>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Mandatory Let’s Talk About Race staff training introduced with &gt;95% completion.</w:t>
            </w:r>
          </w:p>
        </w:tc>
      </w:tr>
      <w:tr w:rsidR="00E617AA" w:rsidRPr="00655ACE" w14:paraId="15BC30F2" w14:textId="1992A930"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434AD85C" w14:textId="77777777" w:rsidR="00E617AA" w:rsidRPr="00655ACE" w:rsidRDefault="00E617AA" w:rsidP="00FA2442">
            <w:pPr>
              <w:spacing w:line="276" w:lineRule="auto"/>
              <w:rPr>
                <w:rFonts w:ascii="Arial" w:eastAsia="Times New Roman" w:hAnsi="Arial" w:cs="Arial"/>
                <w:color w:val="FFFFFF"/>
                <w:kern w:val="36"/>
                <w:lang w:eastAsia="en-GB"/>
              </w:rPr>
            </w:pPr>
            <w:r w:rsidRPr="00655ACE">
              <w:rPr>
                <w:rFonts w:ascii="Arial" w:eastAsia="Times New Roman" w:hAnsi="Arial" w:cs="Arial"/>
                <w:color w:val="FFFFFF"/>
                <w:kern w:val="36"/>
                <w:lang w:eastAsia="en-GB"/>
              </w:rPr>
              <w:lastRenderedPageBreak/>
              <w:t>3. Implement a whole university approach to ensure disabled people can engage and thrive in campus opportunities.</w:t>
            </w:r>
          </w:p>
        </w:tc>
        <w:tc>
          <w:tcPr>
            <w:tcW w:w="3650" w:type="dxa"/>
            <w:tcBorders>
              <w:top w:val="single" w:sz="4" w:space="0" w:color="auto"/>
              <w:left w:val="single" w:sz="4" w:space="0" w:color="auto"/>
              <w:bottom w:val="single" w:sz="4" w:space="0" w:color="auto"/>
              <w:right w:val="single" w:sz="4" w:space="0" w:color="auto"/>
            </w:tcBorders>
          </w:tcPr>
          <w:p w14:paraId="295B0A7B" w14:textId="77777777" w:rsidR="00E617AA" w:rsidRPr="00655ACE" w:rsidRDefault="00E617AA" w:rsidP="00FA2442">
            <w:pPr>
              <w:numPr>
                <w:ilvl w:val="0"/>
                <w:numId w:val="1"/>
              </w:numPr>
              <w:spacing w:line="276" w:lineRule="auto"/>
              <w:contextualSpacing/>
              <w:rPr>
                <w:rFonts w:ascii="Arial" w:eastAsia="Times New Roman" w:hAnsi="Arial" w:cs="Arial"/>
                <w:b/>
                <w:bCs/>
                <w:color w:val="003865"/>
                <w:kern w:val="36"/>
                <w:lang w:eastAsia="en-GB"/>
              </w:rPr>
            </w:pPr>
            <w:r w:rsidRPr="00655ACE">
              <w:rPr>
                <w:rFonts w:ascii="Arial" w:hAnsi="Arial" w:cs="Arial"/>
              </w:rPr>
              <w:t xml:space="preserve">Implementation of the </w:t>
            </w:r>
            <w:hyperlink r:id="rId13" w:history="1">
              <w:r w:rsidRPr="00655ACE">
                <w:rPr>
                  <w:rFonts w:ascii="Arial" w:hAnsi="Arial" w:cs="Arial"/>
                  <w:color w:val="0563C1"/>
                  <w:u w:val="single"/>
                </w:rPr>
                <w:t>Review of Provision for Students with Disabilities</w:t>
              </w:r>
            </w:hyperlink>
            <w:r w:rsidRPr="00655ACE">
              <w:rPr>
                <w:rFonts w:ascii="Arial" w:hAnsi="Arial" w:cs="Arial"/>
              </w:rPr>
              <w:t xml:space="preserve"> </w:t>
            </w:r>
          </w:p>
          <w:p w14:paraId="24ADC7FC" w14:textId="67804F08"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 xml:space="preserve">Improve declarations rates for Disabled staff – KPI </w:t>
            </w:r>
          </w:p>
          <w:p w14:paraId="39DDC3F9" w14:textId="5E65F100" w:rsidR="00E617AA" w:rsidRPr="00655ACE" w:rsidRDefault="00E617AA" w:rsidP="00FA2442">
            <w:pPr>
              <w:numPr>
                <w:ilvl w:val="0"/>
                <w:numId w:val="1"/>
              </w:numPr>
              <w:spacing w:line="276" w:lineRule="auto"/>
              <w:contextualSpacing/>
              <w:rPr>
                <w:rFonts w:ascii="Arial" w:eastAsia="Times New Roman" w:hAnsi="Arial" w:cs="Arial"/>
                <w:b/>
                <w:bCs/>
                <w:color w:val="003865"/>
                <w:kern w:val="36"/>
                <w:lang w:eastAsia="en-GB"/>
              </w:rPr>
            </w:pPr>
            <w:r w:rsidRPr="00655ACE">
              <w:rPr>
                <w:rFonts w:ascii="Arial" w:hAnsi="Arial" w:cs="Arial"/>
              </w:rPr>
              <w:t xml:space="preserve">Revision of the support mechanisms for </w:t>
            </w:r>
            <w:r w:rsidR="00832311">
              <w:rPr>
                <w:rFonts w:ascii="Arial" w:hAnsi="Arial" w:cs="Arial"/>
              </w:rPr>
              <w:t>d</w:t>
            </w:r>
            <w:r w:rsidRPr="00655ACE">
              <w:rPr>
                <w:rFonts w:ascii="Arial" w:hAnsi="Arial" w:cs="Arial"/>
              </w:rPr>
              <w:t>isabled staff to ensure a seamless service.</w:t>
            </w:r>
          </w:p>
          <w:p w14:paraId="0BB3EE7E" w14:textId="77777777" w:rsidR="00E617AA" w:rsidRPr="00655ACE" w:rsidRDefault="00E617AA" w:rsidP="00FA2442">
            <w:pPr>
              <w:numPr>
                <w:ilvl w:val="0"/>
                <w:numId w:val="1"/>
              </w:numPr>
              <w:spacing w:line="276" w:lineRule="auto"/>
              <w:contextualSpacing/>
              <w:rPr>
                <w:rFonts w:ascii="Arial" w:eastAsia="Times New Roman" w:hAnsi="Arial" w:cs="Arial"/>
                <w:b/>
                <w:bCs/>
                <w:color w:val="003865"/>
                <w:kern w:val="36"/>
                <w:lang w:eastAsia="en-GB"/>
              </w:rPr>
            </w:pPr>
            <w:r w:rsidRPr="00655ACE">
              <w:rPr>
                <w:rFonts w:ascii="Arial" w:hAnsi="Arial" w:cs="Arial"/>
              </w:rPr>
              <w:t>Use internal communications to devise and create positive narratives relating to disability.</w:t>
            </w:r>
          </w:p>
        </w:tc>
        <w:tc>
          <w:tcPr>
            <w:tcW w:w="8080" w:type="dxa"/>
            <w:tcBorders>
              <w:top w:val="single" w:sz="4" w:space="0" w:color="auto"/>
              <w:left w:val="single" w:sz="4" w:space="0" w:color="auto"/>
              <w:bottom w:val="single" w:sz="4" w:space="0" w:color="auto"/>
              <w:right w:val="single" w:sz="4" w:space="0" w:color="auto"/>
            </w:tcBorders>
          </w:tcPr>
          <w:p w14:paraId="464BEEF7" w14:textId="77777777" w:rsidR="00E617AA" w:rsidRPr="00655ACE" w:rsidRDefault="00E617AA"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A review of the process supporting Reasonable Adjustments complete and Disability and Neurodiversity Portal launched.</w:t>
            </w:r>
          </w:p>
          <w:p w14:paraId="6A1B65C6" w14:textId="4064DA0C" w:rsidR="00E617AA" w:rsidRPr="00655ACE" w:rsidRDefault="00E617AA"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Continued implementation of the Disability review for students; progress includes – procurement of a CRM system; increase in DS resourcing across a range of roles; AILP review complete and approved; Inclusive Assessment Working Group review complete; additional resources provided to SLD for study skills support.</w:t>
            </w:r>
          </w:p>
          <w:p w14:paraId="05B7C786" w14:textId="0CF46C97" w:rsidR="00E617AA" w:rsidRPr="00655ACE" w:rsidRDefault="00B80A21"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Accessible Formats Service l</w:t>
            </w:r>
            <w:r w:rsidR="004E38FF" w:rsidRPr="00655ACE">
              <w:rPr>
                <w:rFonts w:ascii="Arial" w:eastAsia="Times New Roman" w:hAnsi="Arial" w:cs="Arial"/>
                <w:kern w:val="36"/>
                <w:lang w:eastAsia="en-GB"/>
              </w:rPr>
              <w:t>aunched</w:t>
            </w:r>
            <w:r w:rsidR="001B02CF" w:rsidRPr="00655ACE">
              <w:rPr>
                <w:rFonts w:ascii="Arial" w:eastAsia="Times New Roman" w:hAnsi="Arial" w:cs="Arial"/>
                <w:kern w:val="36"/>
                <w:lang w:eastAsia="en-GB"/>
              </w:rPr>
              <w:t xml:space="preserve"> for use by students and staff.</w:t>
            </w:r>
            <w:r w:rsidR="004E38FF" w:rsidRPr="00655ACE">
              <w:rPr>
                <w:rFonts w:ascii="Arial" w:eastAsia="Times New Roman" w:hAnsi="Arial" w:cs="Arial"/>
                <w:kern w:val="36"/>
                <w:lang w:eastAsia="en-GB"/>
              </w:rPr>
              <w:t xml:space="preserve"> </w:t>
            </w:r>
          </w:p>
          <w:p w14:paraId="5C037367" w14:textId="07B9BA33" w:rsidR="00BA5405" w:rsidRPr="00655ACE" w:rsidRDefault="00405328"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Increased declaration rates for Disabled Staff KPI</w:t>
            </w:r>
            <w:r w:rsidR="00D84EEE" w:rsidRPr="00655ACE">
              <w:rPr>
                <w:rFonts w:ascii="Arial" w:eastAsia="Times New Roman" w:hAnsi="Arial" w:cs="Arial"/>
                <w:kern w:val="36"/>
                <w:lang w:eastAsia="en-GB"/>
              </w:rPr>
              <w:t xml:space="preserve"> from 4.9% to 9.2%.</w:t>
            </w:r>
          </w:p>
          <w:p w14:paraId="247DA18F" w14:textId="01D5486E" w:rsidR="00497309" w:rsidRPr="00655ACE" w:rsidRDefault="00497309"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 xml:space="preserve">Estates Accessibility Working Group established to ensure </w:t>
            </w:r>
            <w:r w:rsidR="00CF65CC" w:rsidRPr="00655ACE">
              <w:rPr>
                <w:rFonts w:ascii="Arial" w:eastAsia="Times New Roman" w:hAnsi="Arial" w:cs="Arial"/>
                <w:kern w:val="36"/>
                <w:lang w:eastAsia="en-GB"/>
              </w:rPr>
              <w:t>an efficient response to campus access issues and to identify plans for long-term improvements.</w:t>
            </w:r>
          </w:p>
          <w:p w14:paraId="15241579" w14:textId="77777777" w:rsidR="004E38FF" w:rsidRPr="00655ACE" w:rsidRDefault="004E38FF"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Dedicated support for Disabled staff resourced through new</w:t>
            </w:r>
            <w:r w:rsidR="00384080" w:rsidRPr="00655ACE">
              <w:rPr>
                <w:rFonts w:ascii="Arial" w:eastAsia="Times New Roman" w:hAnsi="Arial" w:cs="Arial"/>
                <w:kern w:val="36"/>
                <w:lang w:eastAsia="en-GB"/>
              </w:rPr>
              <w:t xml:space="preserve"> Assistant</w:t>
            </w:r>
            <w:r w:rsidRPr="00655ACE">
              <w:rPr>
                <w:rFonts w:ascii="Arial" w:eastAsia="Times New Roman" w:hAnsi="Arial" w:cs="Arial"/>
                <w:kern w:val="36"/>
                <w:lang w:eastAsia="en-GB"/>
              </w:rPr>
              <w:t xml:space="preserve"> Staff Disability Advisor role</w:t>
            </w:r>
            <w:r w:rsidR="0077060F" w:rsidRPr="00655ACE">
              <w:rPr>
                <w:rFonts w:ascii="Arial" w:eastAsia="Times New Roman" w:hAnsi="Arial" w:cs="Arial"/>
                <w:kern w:val="36"/>
                <w:lang w:eastAsia="en-GB"/>
              </w:rPr>
              <w:t>.</w:t>
            </w:r>
          </w:p>
          <w:p w14:paraId="2A7167BD" w14:textId="4C1CA1B2" w:rsidR="0077060F" w:rsidRPr="00655ACE" w:rsidRDefault="00261CE5" w:rsidP="00FA2442">
            <w:pPr>
              <w:numPr>
                <w:ilvl w:val="0"/>
                <w:numId w:val="6"/>
              </w:numPr>
              <w:spacing w:line="276" w:lineRule="auto"/>
              <w:contextualSpacing/>
              <w:rPr>
                <w:rFonts w:ascii="Arial" w:eastAsia="Times New Roman" w:hAnsi="Arial" w:cs="Arial"/>
                <w:kern w:val="36"/>
                <w:lang w:eastAsia="en-GB"/>
              </w:rPr>
            </w:pPr>
            <w:r w:rsidRPr="00655ACE">
              <w:rPr>
                <w:rFonts w:ascii="Arial" w:eastAsia="Times New Roman" w:hAnsi="Arial" w:cs="Arial"/>
                <w:kern w:val="36"/>
                <w:lang w:eastAsia="en-GB"/>
              </w:rPr>
              <w:t xml:space="preserve">2 Hidden Disabilities Events run for University Senior Leaders; ‘Experts by Experience’ poster initiative </w:t>
            </w:r>
            <w:r w:rsidR="00E44CE9" w:rsidRPr="00655ACE">
              <w:rPr>
                <w:rFonts w:ascii="Arial" w:eastAsia="Times New Roman" w:hAnsi="Arial" w:cs="Arial"/>
                <w:kern w:val="36"/>
                <w:lang w:eastAsia="en-GB"/>
              </w:rPr>
              <w:t xml:space="preserve">launched by School of Health and Wellbeing, expanded by CoSE and rolled out University-wide. </w:t>
            </w:r>
          </w:p>
        </w:tc>
      </w:tr>
      <w:tr w:rsidR="00E617AA" w:rsidRPr="00655ACE" w14:paraId="27D1CCF4" w14:textId="5BA58B36"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6FAE65F7" w14:textId="77777777" w:rsidR="00E617AA" w:rsidRPr="00655ACE" w:rsidRDefault="00E617AA" w:rsidP="00FA2442">
            <w:pPr>
              <w:spacing w:line="276" w:lineRule="auto"/>
              <w:rPr>
                <w:rFonts w:ascii="Arial" w:eastAsia="Times New Roman" w:hAnsi="Arial" w:cs="Arial"/>
                <w:color w:val="FFFFFF"/>
                <w:kern w:val="36"/>
                <w:lang w:eastAsia="en-GB"/>
              </w:rPr>
            </w:pPr>
            <w:r w:rsidRPr="00655ACE">
              <w:rPr>
                <w:rFonts w:ascii="Arial" w:eastAsia="Times New Roman" w:hAnsi="Arial" w:cs="Arial"/>
                <w:color w:val="FFFFFF"/>
                <w:kern w:val="36"/>
                <w:lang w:eastAsia="en-GB"/>
              </w:rPr>
              <w:t>4. Articulate and embed a values-led culture which establishes the expected behaviours of students and staff. Work towards an inclusive and respectful culture, which is free from violence, harassment and bullying.</w:t>
            </w:r>
          </w:p>
        </w:tc>
        <w:tc>
          <w:tcPr>
            <w:tcW w:w="3650" w:type="dxa"/>
            <w:tcBorders>
              <w:top w:val="single" w:sz="4" w:space="0" w:color="auto"/>
              <w:left w:val="single" w:sz="4" w:space="0" w:color="auto"/>
              <w:bottom w:val="single" w:sz="4" w:space="0" w:color="auto"/>
              <w:right w:val="single" w:sz="4" w:space="0" w:color="auto"/>
            </w:tcBorders>
          </w:tcPr>
          <w:p w14:paraId="108A9B76"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Mainstream the Glasgow Professional Behavioural Framework, and rollout and embed the University values.</w:t>
            </w:r>
          </w:p>
          <w:p w14:paraId="307AB28B"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Devise a pre-enrolment material for students which outlines expected behaviours.</w:t>
            </w:r>
          </w:p>
          <w:p w14:paraId="6E204C92"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Review and promote harassment reporting systems for students and staff; devise a case management system to support swift addressing of issues.</w:t>
            </w:r>
          </w:p>
          <w:p w14:paraId="68266137"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Engender an inclusive culture where all types of harassment are unacceptable.</w:t>
            </w:r>
          </w:p>
        </w:tc>
        <w:tc>
          <w:tcPr>
            <w:tcW w:w="8080" w:type="dxa"/>
            <w:tcBorders>
              <w:top w:val="single" w:sz="4" w:space="0" w:color="auto"/>
              <w:left w:val="single" w:sz="4" w:space="0" w:color="auto"/>
              <w:bottom w:val="single" w:sz="4" w:space="0" w:color="auto"/>
              <w:right w:val="single" w:sz="4" w:space="0" w:color="auto"/>
            </w:tcBorders>
          </w:tcPr>
          <w:p w14:paraId="6D7677F9" w14:textId="4A2E1863"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Code of Professional Conduct developed and launched, including mandatory training whiteboard animation on the Code.</w:t>
            </w:r>
          </w:p>
          <w:p w14:paraId="74E571A8" w14:textId="12A3805F"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Staff Guidance provided on how to respond to reports of harassment from a student or colleague.</w:t>
            </w:r>
          </w:p>
          <w:p w14:paraId="214630F2"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38 new Respect Advisers recruited and trained.</w:t>
            </w:r>
          </w:p>
          <w:p w14:paraId="1CD07195"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Case management system for staff in place and for students in development.</w:t>
            </w:r>
          </w:p>
          <w:p w14:paraId="0E95CC8F" w14:textId="572650D2" w:rsidR="00303DC3" w:rsidRPr="00655ACE" w:rsidRDefault="00303DC3" w:rsidP="00FA2442">
            <w:pPr>
              <w:numPr>
                <w:ilvl w:val="0"/>
                <w:numId w:val="1"/>
              </w:numPr>
              <w:spacing w:line="276" w:lineRule="auto"/>
              <w:contextualSpacing/>
              <w:rPr>
                <w:rFonts w:ascii="Arial" w:hAnsi="Arial" w:cs="Arial"/>
              </w:rPr>
            </w:pPr>
            <w:r w:rsidRPr="00655ACE">
              <w:rPr>
                <w:rFonts w:ascii="Arial" w:hAnsi="Arial" w:cs="Arial"/>
              </w:rPr>
              <w:t>Upstander Bitesize training developed and offered by People and Organisational Development</w:t>
            </w:r>
            <w:r w:rsidR="00A26F1C" w:rsidRPr="00655ACE">
              <w:rPr>
                <w:rFonts w:ascii="Arial" w:hAnsi="Arial" w:cs="Arial"/>
              </w:rPr>
              <w:t xml:space="preserve">, complemented by </w:t>
            </w:r>
            <w:r w:rsidR="00920818" w:rsidRPr="00655ACE">
              <w:rPr>
                <w:rFonts w:ascii="Arial" w:hAnsi="Arial" w:cs="Arial"/>
              </w:rPr>
              <w:t xml:space="preserve">new </w:t>
            </w:r>
            <w:r w:rsidR="00A26F1C" w:rsidRPr="00655ACE">
              <w:rPr>
                <w:rFonts w:ascii="Arial" w:hAnsi="Arial" w:cs="Arial"/>
              </w:rPr>
              <w:t xml:space="preserve">online training on Upstander Intervention in HE. </w:t>
            </w:r>
          </w:p>
          <w:p w14:paraId="70ED6095" w14:textId="466FE0D9" w:rsidR="00920818" w:rsidRPr="00655ACE" w:rsidRDefault="00920818" w:rsidP="00FA2442">
            <w:pPr>
              <w:numPr>
                <w:ilvl w:val="0"/>
                <w:numId w:val="1"/>
              </w:numPr>
              <w:spacing w:line="276" w:lineRule="auto"/>
              <w:contextualSpacing/>
              <w:rPr>
                <w:rFonts w:ascii="Arial" w:hAnsi="Arial" w:cs="Arial"/>
              </w:rPr>
            </w:pPr>
            <w:r w:rsidRPr="00655ACE">
              <w:rPr>
                <w:rFonts w:ascii="Arial" w:hAnsi="Arial" w:cs="Arial"/>
              </w:rPr>
              <w:t>#TogetherAgainst campaigns (</w:t>
            </w:r>
            <w:r w:rsidR="00C2503E" w:rsidRPr="00655ACE">
              <w:rPr>
                <w:rFonts w:ascii="Arial" w:hAnsi="Arial" w:cs="Arial"/>
              </w:rPr>
              <w:t>referenced</w:t>
            </w:r>
            <w:r w:rsidRPr="00655ACE">
              <w:rPr>
                <w:rFonts w:ascii="Arial" w:hAnsi="Arial" w:cs="Arial"/>
              </w:rPr>
              <w:t xml:space="preserve"> above)</w:t>
            </w:r>
            <w:r w:rsidR="00E9656B" w:rsidRPr="00655ACE">
              <w:rPr>
                <w:rFonts w:ascii="Arial" w:hAnsi="Arial" w:cs="Arial"/>
              </w:rPr>
              <w:t xml:space="preserve"> have</w:t>
            </w:r>
            <w:r w:rsidR="006B5DBA" w:rsidRPr="00655ACE">
              <w:rPr>
                <w:rFonts w:ascii="Arial" w:hAnsi="Arial" w:cs="Arial"/>
              </w:rPr>
              <w:t xml:space="preserve"> supported awareness raising </w:t>
            </w:r>
            <w:r w:rsidR="004E7815" w:rsidRPr="00655ACE">
              <w:rPr>
                <w:rFonts w:ascii="Arial" w:hAnsi="Arial" w:cs="Arial"/>
              </w:rPr>
              <w:t xml:space="preserve">and increased usage of online reporting systems. </w:t>
            </w:r>
          </w:p>
          <w:p w14:paraId="78DA7061" w14:textId="77777777" w:rsidR="00E617AA" w:rsidRPr="00655ACE" w:rsidRDefault="00E617AA" w:rsidP="00FA2442">
            <w:pPr>
              <w:spacing w:line="276" w:lineRule="auto"/>
              <w:ind w:left="360"/>
              <w:contextualSpacing/>
              <w:rPr>
                <w:rFonts w:ascii="Arial" w:hAnsi="Arial" w:cs="Arial"/>
              </w:rPr>
            </w:pPr>
          </w:p>
        </w:tc>
      </w:tr>
      <w:tr w:rsidR="00E617AA" w:rsidRPr="00655ACE" w14:paraId="72F0C3D3" w14:textId="6F162A4D" w:rsidTr="0082483A">
        <w:trPr>
          <w:trHeight w:val="1124"/>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36B077F2" w14:textId="77777777" w:rsidR="00E617AA" w:rsidRPr="00655ACE" w:rsidRDefault="00E617AA" w:rsidP="00FA2442">
            <w:pPr>
              <w:spacing w:line="276" w:lineRule="auto"/>
              <w:rPr>
                <w:rFonts w:ascii="Arial" w:eastAsia="Times New Roman" w:hAnsi="Arial" w:cs="Arial"/>
                <w:color w:val="FFFFFF"/>
                <w:kern w:val="36"/>
                <w:lang w:eastAsia="en-GB"/>
              </w:rPr>
            </w:pPr>
            <w:r w:rsidRPr="00655ACE">
              <w:rPr>
                <w:rFonts w:ascii="Arial" w:eastAsia="Times New Roman" w:hAnsi="Arial" w:cs="Arial"/>
                <w:color w:val="FFFFFF"/>
                <w:kern w:val="36"/>
                <w:lang w:eastAsia="en-GB"/>
              </w:rPr>
              <w:lastRenderedPageBreak/>
              <w:t xml:space="preserve">5. Learning and teaching </w:t>
            </w:r>
            <w:proofErr w:type="gramStart"/>
            <w:r w:rsidRPr="00655ACE">
              <w:rPr>
                <w:rFonts w:ascii="Arial" w:eastAsia="Times New Roman" w:hAnsi="Arial" w:cs="Arial"/>
                <w:color w:val="FFFFFF"/>
                <w:kern w:val="36"/>
                <w:lang w:eastAsia="en-GB"/>
              </w:rPr>
              <w:t>is</w:t>
            </w:r>
            <w:proofErr w:type="gramEnd"/>
            <w:r w:rsidRPr="00655ACE">
              <w:rPr>
                <w:rFonts w:ascii="Arial" w:eastAsia="Times New Roman" w:hAnsi="Arial" w:cs="Arial"/>
                <w:color w:val="FFFFFF"/>
                <w:kern w:val="36"/>
                <w:lang w:eastAsia="en-GB"/>
              </w:rPr>
              <w:t xml:space="preserve"> fully inclusive, accessible and promotes a global curriculum which is reflective of our community.</w:t>
            </w:r>
          </w:p>
        </w:tc>
        <w:tc>
          <w:tcPr>
            <w:tcW w:w="3650" w:type="dxa"/>
            <w:tcBorders>
              <w:top w:val="single" w:sz="4" w:space="0" w:color="auto"/>
              <w:left w:val="single" w:sz="4" w:space="0" w:color="auto"/>
              <w:bottom w:val="single" w:sz="4" w:space="0" w:color="auto"/>
              <w:right w:val="single" w:sz="4" w:space="0" w:color="auto"/>
            </w:tcBorders>
          </w:tcPr>
          <w:p w14:paraId="2AF64772"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Support inclusion, through co-creation with our student community.</w:t>
            </w:r>
          </w:p>
          <w:p w14:paraId="451FB3A9"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 xml:space="preserve">Maximise the data analytics from </w:t>
            </w:r>
            <w:proofErr w:type="spellStart"/>
            <w:r w:rsidRPr="00655ACE">
              <w:rPr>
                <w:rFonts w:ascii="Arial" w:hAnsi="Arial" w:cs="Arial"/>
              </w:rPr>
              <w:t>Qliksense</w:t>
            </w:r>
            <w:proofErr w:type="spellEnd"/>
            <w:r w:rsidRPr="00655ACE">
              <w:rPr>
                <w:rFonts w:ascii="Arial" w:hAnsi="Arial" w:cs="Arial"/>
              </w:rPr>
              <w:t xml:space="preserve"> Student Equality Monitoring Tool – use this to influence future decision making.</w:t>
            </w:r>
          </w:p>
          <w:p w14:paraId="6C3C2CAA"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Develop staff to fully recognise the decolonising the curriculum ambitions in URTUC action plan.</w:t>
            </w:r>
          </w:p>
          <w:p w14:paraId="5B8A6087"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Mainstream accessibility through continuous review and expansion of the AILP.</w:t>
            </w:r>
          </w:p>
          <w:p w14:paraId="66A61519"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Maximise the opportunity for inclusive assessment.</w:t>
            </w:r>
          </w:p>
        </w:tc>
        <w:tc>
          <w:tcPr>
            <w:tcW w:w="8080" w:type="dxa"/>
            <w:tcBorders>
              <w:top w:val="single" w:sz="4" w:space="0" w:color="auto"/>
              <w:left w:val="single" w:sz="4" w:space="0" w:color="auto"/>
              <w:bottom w:val="single" w:sz="4" w:space="0" w:color="auto"/>
              <w:right w:val="single" w:sz="4" w:space="0" w:color="auto"/>
            </w:tcBorders>
          </w:tcPr>
          <w:p w14:paraId="6F7AF8B6" w14:textId="4556CA21" w:rsidR="00E617AA" w:rsidRPr="00655ACE" w:rsidRDefault="00DA2E4A" w:rsidP="00FA2442">
            <w:pPr>
              <w:numPr>
                <w:ilvl w:val="0"/>
                <w:numId w:val="1"/>
              </w:numPr>
              <w:tabs>
                <w:tab w:val="num" w:pos="720"/>
              </w:tabs>
              <w:spacing w:line="276" w:lineRule="auto"/>
              <w:contextualSpacing/>
              <w:rPr>
                <w:rFonts w:ascii="Arial" w:hAnsi="Arial" w:cs="Arial"/>
              </w:rPr>
            </w:pPr>
            <w:r w:rsidRPr="00655ACE">
              <w:rPr>
                <w:rFonts w:ascii="Arial" w:hAnsi="Arial" w:cs="Arial"/>
              </w:rPr>
              <w:t xml:space="preserve">Power Bi tool under development to replace </w:t>
            </w:r>
            <w:proofErr w:type="spellStart"/>
            <w:r w:rsidRPr="00655ACE">
              <w:rPr>
                <w:rFonts w:ascii="Arial" w:hAnsi="Arial" w:cs="Arial"/>
              </w:rPr>
              <w:t>Qliksense</w:t>
            </w:r>
            <w:proofErr w:type="spellEnd"/>
            <w:r w:rsidRPr="00655ACE">
              <w:rPr>
                <w:rFonts w:ascii="Arial" w:hAnsi="Arial" w:cs="Arial"/>
              </w:rPr>
              <w:t xml:space="preserve"> reporting dashboard.</w:t>
            </w:r>
          </w:p>
          <w:p w14:paraId="5BA45554" w14:textId="3A928E90" w:rsidR="00E617AA" w:rsidRPr="00655ACE" w:rsidRDefault="00E617AA" w:rsidP="00FA2442">
            <w:pPr>
              <w:numPr>
                <w:ilvl w:val="0"/>
                <w:numId w:val="1"/>
              </w:numPr>
              <w:tabs>
                <w:tab w:val="num" w:pos="720"/>
              </w:tabs>
              <w:spacing w:line="276" w:lineRule="auto"/>
              <w:contextualSpacing/>
              <w:rPr>
                <w:rFonts w:ascii="Arial" w:hAnsi="Arial" w:cs="Arial"/>
              </w:rPr>
            </w:pPr>
            <w:r w:rsidRPr="00655ACE">
              <w:rPr>
                <w:rFonts w:ascii="Arial" w:hAnsi="Arial" w:cs="Arial"/>
              </w:rPr>
              <w:t>Decolonising the Curriculum (</w:t>
            </w:r>
            <w:proofErr w:type="spellStart"/>
            <w:r w:rsidRPr="00655ACE">
              <w:rPr>
                <w:rFonts w:ascii="Arial" w:hAnsi="Arial" w:cs="Arial"/>
              </w:rPr>
              <w:t>DtC</w:t>
            </w:r>
            <w:proofErr w:type="spellEnd"/>
            <w:r w:rsidRPr="00655ACE">
              <w:rPr>
                <w:rFonts w:ascii="Arial" w:hAnsi="Arial" w:cs="Arial"/>
              </w:rPr>
              <w:t>) Community of Practice established</w:t>
            </w:r>
            <w:r w:rsidR="00DA2E4A" w:rsidRPr="00655ACE">
              <w:rPr>
                <w:rFonts w:ascii="Arial" w:hAnsi="Arial" w:cs="Arial"/>
              </w:rPr>
              <w:t xml:space="preserve"> and underway</w:t>
            </w:r>
            <w:r w:rsidRPr="00655ACE">
              <w:rPr>
                <w:rFonts w:ascii="Arial" w:hAnsi="Arial" w:cs="Arial"/>
              </w:rPr>
              <w:t>.</w:t>
            </w:r>
          </w:p>
          <w:p w14:paraId="3DF14F63" w14:textId="3AAA8711" w:rsidR="007B3911" w:rsidRPr="00655ACE" w:rsidRDefault="00E617AA" w:rsidP="00FA2442">
            <w:pPr>
              <w:numPr>
                <w:ilvl w:val="0"/>
                <w:numId w:val="1"/>
              </w:numPr>
              <w:tabs>
                <w:tab w:val="num" w:pos="720"/>
              </w:tabs>
              <w:spacing w:line="276" w:lineRule="auto"/>
              <w:contextualSpacing/>
              <w:rPr>
                <w:rFonts w:ascii="Arial" w:hAnsi="Arial" w:cs="Arial"/>
              </w:rPr>
            </w:pPr>
            <w:proofErr w:type="spellStart"/>
            <w:r w:rsidRPr="00655ACE">
              <w:rPr>
                <w:rFonts w:ascii="Arial" w:hAnsi="Arial" w:cs="Arial"/>
              </w:rPr>
              <w:t>DtC</w:t>
            </w:r>
            <w:proofErr w:type="spellEnd"/>
            <w:r w:rsidRPr="00655ACE">
              <w:rPr>
                <w:rFonts w:ascii="Arial" w:hAnsi="Arial" w:cs="Arial"/>
              </w:rPr>
              <w:t xml:space="preserve"> internships available.</w:t>
            </w:r>
          </w:p>
          <w:p w14:paraId="5BD173F8" w14:textId="7E5FB43A" w:rsidR="00D574F3" w:rsidRPr="00655ACE" w:rsidRDefault="00425CBC" w:rsidP="00FA2442">
            <w:pPr>
              <w:numPr>
                <w:ilvl w:val="0"/>
                <w:numId w:val="1"/>
              </w:numPr>
              <w:tabs>
                <w:tab w:val="num" w:pos="720"/>
              </w:tabs>
              <w:spacing w:line="276" w:lineRule="auto"/>
              <w:contextualSpacing/>
              <w:rPr>
                <w:rFonts w:ascii="Arial" w:hAnsi="Arial" w:cs="Arial"/>
              </w:rPr>
            </w:pPr>
            <w:proofErr w:type="spellStart"/>
            <w:r w:rsidRPr="00655ACE">
              <w:rPr>
                <w:rFonts w:ascii="Arial" w:hAnsi="Arial" w:cs="Arial"/>
              </w:rPr>
              <w:t>DtC</w:t>
            </w:r>
            <w:proofErr w:type="spellEnd"/>
            <w:r w:rsidRPr="00655ACE">
              <w:rPr>
                <w:rFonts w:ascii="Arial" w:hAnsi="Arial" w:cs="Arial"/>
              </w:rPr>
              <w:t xml:space="preserve"> co-creation projects and others funded through LTDF</w:t>
            </w:r>
            <w:r w:rsidR="00D574F3" w:rsidRPr="00655ACE">
              <w:rPr>
                <w:rFonts w:ascii="Arial" w:hAnsi="Arial" w:cs="Arial"/>
              </w:rPr>
              <w:t xml:space="preserve"> and featured at Learning and Teaching Conferences over the reporting period.</w:t>
            </w:r>
          </w:p>
          <w:p w14:paraId="70DA3708" w14:textId="0624876D" w:rsidR="00D574F3" w:rsidRPr="00655ACE" w:rsidRDefault="00C0771E" w:rsidP="00FA2442">
            <w:pPr>
              <w:numPr>
                <w:ilvl w:val="0"/>
                <w:numId w:val="1"/>
              </w:numPr>
              <w:tabs>
                <w:tab w:val="num" w:pos="720"/>
              </w:tabs>
              <w:spacing w:line="276" w:lineRule="auto"/>
              <w:contextualSpacing/>
              <w:rPr>
                <w:rFonts w:ascii="Arial" w:hAnsi="Arial" w:cs="Arial"/>
              </w:rPr>
            </w:pPr>
            <w:r w:rsidRPr="00655ACE">
              <w:rPr>
                <w:rFonts w:ascii="Arial" w:hAnsi="Arial" w:cs="Arial"/>
              </w:rPr>
              <w:t xml:space="preserve">CPD options for </w:t>
            </w:r>
            <w:proofErr w:type="spellStart"/>
            <w:r w:rsidRPr="00655ACE">
              <w:rPr>
                <w:rFonts w:ascii="Arial" w:hAnsi="Arial" w:cs="Arial"/>
              </w:rPr>
              <w:t>DtC</w:t>
            </w:r>
            <w:proofErr w:type="spellEnd"/>
            <w:r w:rsidRPr="00655ACE">
              <w:rPr>
                <w:rFonts w:ascii="Arial" w:hAnsi="Arial" w:cs="Arial"/>
              </w:rPr>
              <w:t xml:space="preserve"> embedded by ADD. </w:t>
            </w:r>
          </w:p>
          <w:p w14:paraId="6BB4623F" w14:textId="1B0BDED5" w:rsidR="00E617AA" w:rsidRPr="00655ACE" w:rsidRDefault="00E617AA" w:rsidP="00FA2442">
            <w:pPr>
              <w:numPr>
                <w:ilvl w:val="0"/>
                <w:numId w:val="1"/>
              </w:numPr>
              <w:tabs>
                <w:tab w:val="num" w:pos="720"/>
              </w:tabs>
              <w:spacing w:line="276" w:lineRule="auto"/>
              <w:contextualSpacing/>
              <w:rPr>
                <w:rFonts w:ascii="Arial" w:hAnsi="Arial" w:cs="Arial"/>
              </w:rPr>
            </w:pPr>
            <w:r w:rsidRPr="00655ACE">
              <w:rPr>
                <w:rFonts w:ascii="Arial" w:hAnsi="Arial" w:cs="Arial"/>
              </w:rPr>
              <w:t>AILP review completed</w:t>
            </w:r>
            <w:r w:rsidR="00F301B9" w:rsidRPr="00655ACE">
              <w:rPr>
                <w:rFonts w:ascii="Arial" w:hAnsi="Arial" w:cs="Arial"/>
              </w:rPr>
              <w:t>.</w:t>
            </w:r>
          </w:p>
          <w:p w14:paraId="4061CFEC" w14:textId="09D23020" w:rsidR="00E617AA" w:rsidRPr="00655ACE" w:rsidRDefault="009D46BE" w:rsidP="00FA2442">
            <w:pPr>
              <w:numPr>
                <w:ilvl w:val="0"/>
                <w:numId w:val="1"/>
              </w:numPr>
              <w:tabs>
                <w:tab w:val="num" w:pos="720"/>
              </w:tabs>
              <w:spacing w:line="276" w:lineRule="auto"/>
              <w:contextualSpacing/>
              <w:rPr>
                <w:rFonts w:ascii="Arial" w:hAnsi="Arial" w:cs="Arial"/>
              </w:rPr>
            </w:pPr>
            <w:r w:rsidRPr="00655ACE">
              <w:rPr>
                <w:rFonts w:ascii="Arial" w:hAnsi="Arial" w:cs="Arial"/>
              </w:rPr>
              <w:t xml:space="preserve">Inclusive </w:t>
            </w:r>
            <w:r w:rsidR="004860F4" w:rsidRPr="00655ACE">
              <w:rPr>
                <w:rFonts w:ascii="Arial" w:hAnsi="Arial" w:cs="Arial"/>
              </w:rPr>
              <w:t>assessment embedded in</w:t>
            </w:r>
            <w:r w:rsidR="005C23A5" w:rsidRPr="00655ACE">
              <w:rPr>
                <w:rFonts w:ascii="Arial" w:hAnsi="Arial" w:cs="Arial"/>
              </w:rPr>
              <w:t xml:space="preserve"> Learning Through Assessment</w:t>
            </w:r>
            <w:r w:rsidR="00BD7051" w:rsidRPr="00655ACE">
              <w:rPr>
                <w:rFonts w:ascii="Arial" w:hAnsi="Arial" w:cs="Arial"/>
              </w:rPr>
              <w:t xml:space="preserve"> framework, launched 2023</w:t>
            </w:r>
            <w:r w:rsidR="00EB6C27" w:rsidRPr="00655ACE">
              <w:rPr>
                <w:rFonts w:ascii="Arial" w:hAnsi="Arial" w:cs="Arial"/>
              </w:rPr>
              <w:t xml:space="preserve"> and </w:t>
            </w:r>
            <w:r w:rsidR="00004ABE" w:rsidRPr="00655ACE">
              <w:rPr>
                <w:rFonts w:ascii="Arial" w:hAnsi="Arial" w:cs="Arial"/>
              </w:rPr>
              <w:t xml:space="preserve">supported </w:t>
            </w:r>
            <w:r w:rsidR="005A5973" w:rsidRPr="00655ACE">
              <w:rPr>
                <w:rFonts w:ascii="Arial" w:hAnsi="Arial" w:cs="Arial"/>
              </w:rPr>
              <w:t>via Practice Enhancement Tool and</w:t>
            </w:r>
            <w:r w:rsidR="006E7CF3" w:rsidRPr="00655ACE">
              <w:rPr>
                <w:rFonts w:ascii="Arial" w:hAnsi="Arial" w:cs="Arial"/>
              </w:rPr>
              <w:t xml:space="preserve"> Assessment </w:t>
            </w:r>
            <w:r w:rsidR="00004ABE" w:rsidRPr="00655ACE">
              <w:rPr>
                <w:rFonts w:ascii="Arial" w:hAnsi="Arial" w:cs="Arial"/>
              </w:rPr>
              <w:t>and Feedback Resource Hub</w:t>
            </w:r>
            <w:r w:rsidR="00BD7051" w:rsidRPr="00655ACE">
              <w:rPr>
                <w:rFonts w:ascii="Arial" w:hAnsi="Arial" w:cs="Arial"/>
              </w:rPr>
              <w:t>.</w:t>
            </w:r>
          </w:p>
        </w:tc>
      </w:tr>
      <w:tr w:rsidR="00E617AA" w:rsidRPr="00655ACE" w14:paraId="32D2EF2A" w14:textId="037265A2" w:rsidTr="0082483A">
        <w:trPr>
          <w:tblHeader/>
        </w:trPr>
        <w:tc>
          <w:tcPr>
            <w:tcW w:w="3721" w:type="dxa"/>
            <w:tcBorders>
              <w:top w:val="single" w:sz="4" w:space="0" w:color="auto"/>
              <w:left w:val="single" w:sz="4" w:space="0" w:color="auto"/>
              <w:bottom w:val="single" w:sz="4" w:space="0" w:color="auto"/>
              <w:right w:val="single" w:sz="4" w:space="0" w:color="auto"/>
            </w:tcBorders>
            <w:shd w:val="clear" w:color="auto" w:fill="003865"/>
            <w:vAlign w:val="center"/>
          </w:tcPr>
          <w:p w14:paraId="199562D3" w14:textId="140FF57B" w:rsidR="00E617AA" w:rsidRPr="00655ACE" w:rsidRDefault="00E617AA" w:rsidP="00FA2442">
            <w:pPr>
              <w:spacing w:line="276" w:lineRule="auto"/>
              <w:rPr>
                <w:rFonts w:ascii="Arial" w:eastAsia="Times New Roman" w:hAnsi="Arial" w:cs="Arial"/>
                <w:color w:val="FFFFFF"/>
                <w:kern w:val="36"/>
                <w:lang w:eastAsia="en-GB"/>
              </w:rPr>
            </w:pPr>
            <w:r w:rsidRPr="00655ACE">
              <w:rPr>
                <w:rFonts w:ascii="Arial" w:eastAsia="Times New Roman" w:hAnsi="Arial" w:cs="Arial"/>
                <w:color w:val="FFFFFF"/>
                <w:kern w:val="36"/>
                <w:lang w:eastAsia="en-GB"/>
              </w:rPr>
              <w:t xml:space="preserve">6. </w:t>
            </w:r>
            <w:r w:rsidR="00832311">
              <w:rPr>
                <w:rFonts w:ascii="Arial" w:eastAsia="Times New Roman" w:hAnsi="Arial" w:cs="Arial"/>
                <w:color w:val="FFFFFF"/>
                <w:kern w:val="36"/>
                <w:lang w:eastAsia="en-GB"/>
              </w:rPr>
              <w:t>E</w:t>
            </w:r>
            <w:r w:rsidRPr="00655ACE">
              <w:rPr>
                <w:rFonts w:ascii="Arial" w:eastAsia="Times New Roman" w:hAnsi="Arial" w:cs="Arial"/>
                <w:color w:val="FFFFFF"/>
                <w:kern w:val="36"/>
                <w:lang w:eastAsia="en-GB"/>
              </w:rPr>
              <w:t>ngender a campus environment where wellbeing is integral, valued and strategically significant.</w:t>
            </w:r>
          </w:p>
        </w:tc>
        <w:tc>
          <w:tcPr>
            <w:tcW w:w="3650" w:type="dxa"/>
            <w:tcBorders>
              <w:top w:val="single" w:sz="4" w:space="0" w:color="auto"/>
              <w:left w:val="single" w:sz="4" w:space="0" w:color="auto"/>
              <w:bottom w:val="single" w:sz="4" w:space="0" w:color="auto"/>
              <w:right w:val="single" w:sz="4" w:space="0" w:color="auto"/>
            </w:tcBorders>
          </w:tcPr>
          <w:p w14:paraId="12FD0528" w14:textId="77777777" w:rsidR="00E617AA" w:rsidRPr="00655ACE" w:rsidRDefault="00E617AA" w:rsidP="00FA2442">
            <w:pPr>
              <w:pStyle w:val="ListParagraph"/>
              <w:numPr>
                <w:ilvl w:val="0"/>
                <w:numId w:val="19"/>
              </w:numPr>
              <w:spacing w:line="276" w:lineRule="auto"/>
              <w:ind w:left="357" w:hanging="357"/>
              <w:rPr>
                <w:rFonts w:ascii="Arial" w:hAnsi="Arial" w:cs="Arial"/>
              </w:rPr>
            </w:pPr>
            <w:r w:rsidRPr="00655ACE">
              <w:rPr>
                <w:rFonts w:ascii="Arial" w:hAnsi="Arial" w:cs="Arial"/>
              </w:rPr>
              <w:t>Develop and promote holistic student and staff wellbeing strategies.</w:t>
            </w:r>
          </w:p>
          <w:p w14:paraId="0FBB9478" w14:textId="25123C5D"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 xml:space="preserve">Ensure reactive mental health services </w:t>
            </w:r>
            <w:r w:rsidR="00DE0C5D">
              <w:rPr>
                <w:rFonts w:ascii="Arial" w:hAnsi="Arial" w:cs="Arial"/>
              </w:rPr>
              <w:t>a</w:t>
            </w:r>
            <w:r w:rsidRPr="00655ACE">
              <w:rPr>
                <w:rFonts w:ascii="Arial" w:hAnsi="Arial" w:cs="Arial"/>
              </w:rPr>
              <w:t>dequately available to campus community.</w:t>
            </w:r>
          </w:p>
          <w:p w14:paraId="2A3B7744"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Revise and update the policy framework for students and staff.</w:t>
            </w:r>
          </w:p>
          <w:p w14:paraId="465B43F8" w14:textId="77777777" w:rsidR="00E617AA" w:rsidRPr="00655ACE" w:rsidRDefault="00E617AA" w:rsidP="00FA2442">
            <w:pPr>
              <w:numPr>
                <w:ilvl w:val="0"/>
                <w:numId w:val="1"/>
              </w:numPr>
              <w:spacing w:line="276" w:lineRule="auto"/>
              <w:contextualSpacing/>
              <w:rPr>
                <w:rFonts w:ascii="Arial" w:hAnsi="Arial" w:cs="Arial"/>
              </w:rPr>
            </w:pPr>
            <w:r w:rsidRPr="00655ACE">
              <w:rPr>
                <w:rFonts w:ascii="Arial" w:hAnsi="Arial" w:cs="Arial"/>
              </w:rPr>
              <w:t>Devise a wellbeing campaign linked to the strategies.</w:t>
            </w:r>
          </w:p>
        </w:tc>
        <w:tc>
          <w:tcPr>
            <w:tcW w:w="8080" w:type="dxa"/>
            <w:tcBorders>
              <w:top w:val="single" w:sz="4" w:space="0" w:color="auto"/>
              <w:left w:val="single" w:sz="4" w:space="0" w:color="auto"/>
              <w:bottom w:val="single" w:sz="4" w:space="0" w:color="auto"/>
              <w:right w:val="single" w:sz="4" w:space="0" w:color="auto"/>
            </w:tcBorders>
          </w:tcPr>
          <w:p w14:paraId="2518D12C" w14:textId="77777777" w:rsidR="00E617AA" w:rsidRPr="00655ACE" w:rsidRDefault="00E617AA" w:rsidP="00FA2442">
            <w:pPr>
              <w:numPr>
                <w:ilvl w:val="0"/>
                <w:numId w:val="1"/>
              </w:numPr>
              <w:spacing w:line="276" w:lineRule="auto"/>
              <w:ind w:left="357" w:hanging="357"/>
              <w:contextualSpacing/>
              <w:rPr>
                <w:rFonts w:ascii="Arial" w:hAnsi="Arial" w:cs="Arial"/>
              </w:rPr>
            </w:pPr>
            <w:r w:rsidRPr="00655ACE">
              <w:rPr>
                <w:rFonts w:ascii="Arial" w:hAnsi="Arial" w:cs="Arial"/>
              </w:rPr>
              <w:t>Colleague Wellbeing Strategy articulated through the Health and Wellbeing Portal; Student Wellbeing Strategy under review.</w:t>
            </w:r>
          </w:p>
          <w:p w14:paraId="441D5828" w14:textId="06A6177F" w:rsidR="00E617AA" w:rsidRPr="00655ACE" w:rsidRDefault="00E617AA" w:rsidP="00FA2442">
            <w:pPr>
              <w:numPr>
                <w:ilvl w:val="0"/>
                <w:numId w:val="1"/>
              </w:numPr>
              <w:spacing w:line="276" w:lineRule="auto"/>
              <w:ind w:left="357" w:hanging="357"/>
              <w:contextualSpacing/>
              <w:rPr>
                <w:rFonts w:ascii="Arial" w:hAnsi="Arial" w:cs="Arial"/>
              </w:rPr>
            </w:pPr>
            <w:r w:rsidRPr="00655ACE">
              <w:rPr>
                <w:rFonts w:ascii="Arial" w:hAnsi="Arial" w:cs="Arial"/>
              </w:rPr>
              <w:t xml:space="preserve">EAP </w:t>
            </w:r>
            <w:r w:rsidR="00993AB3" w:rsidRPr="00655ACE">
              <w:rPr>
                <w:rFonts w:ascii="Arial" w:hAnsi="Arial" w:cs="Arial"/>
              </w:rPr>
              <w:t>in place</w:t>
            </w:r>
            <w:r w:rsidRPr="00655ACE">
              <w:rPr>
                <w:rFonts w:ascii="Arial" w:hAnsi="Arial" w:cs="Arial"/>
              </w:rPr>
              <w:t>– Health Assured.</w:t>
            </w:r>
          </w:p>
          <w:p w14:paraId="34CBC1D6" w14:textId="44911746" w:rsidR="00E617AA" w:rsidRPr="00655ACE" w:rsidRDefault="00E617AA" w:rsidP="00FA2442">
            <w:pPr>
              <w:numPr>
                <w:ilvl w:val="0"/>
                <w:numId w:val="1"/>
              </w:numPr>
              <w:spacing w:line="276" w:lineRule="auto"/>
              <w:ind w:left="357" w:hanging="357"/>
              <w:contextualSpacing/>
              <w:rPr>
                <w:rFonts w:ascii="Arial" w:hAnsi="Arial" w:cs="Arial"/>
              </w:rPr>
            </w:pPr>
            <w:r w:rsidRPr="00655ACE">
              <w:rPr>
                <w:rFonts w:ascii="Arial" w:hAnsi="Arial" w:cs="Arial"/>
              </w:rPr>
              <w:t>24hr</w:t>
            </w:r>
            <w:r w:rsidR="004552B9" w:rsidRPr="00655ACE">
              <w:rPr>
                <w:rFonts w:ascii="Arial" w:hAnsi="Arial" w:cs="Arial"/>
              </w:rPr>
              <w:t xml:space="preserve"> counselling and advice line available</w:t>
            </w:r>
            <w:r w:rsidRPr="00655ACE">
              <w:rPr>
                <w:rFonts w:ascii="Arial" w:hAnsi="Arial" w:cs="Arial"/>
              </w:rPr>
              <w:t xml:space="preserve"> for students.</w:t>
            </w:r>
          </w:p>
          <w:p w14:paraId="07D7F747" w14:textId="45484D0A" w:rsidR="00E617AA" w:rsidRPr="00655ACE" w:rsidRDefault="00E617AA" w:rsidP="00FA2442">
            <w:pPr>
              <w:numPr>
                <w:ilvl w:val="0"/>
                <w:numId w:val="1"/>
              </w:numPr>
              <w:spacing w:line="276" w:lineRule="auto"/>
              <w:ind w:left="357" w:hanging="357"/>
              <w:contextualSpacing/>
              <w:rPr>
                <w:rFonts w:ascii="Arial" w:hAnsi="Arial" w:cs="Arial"/>
              </w:rPr>
            </w:pPr>
            <w:r w:rsidRPr="00655ACE">
              <w:rPr>
                <w:rFonts w:ascii="Arial" w:hAnsi="Arial" w:cs="Arial"/>
              </w:rPr>
              <w:t>Wellbeing services embedded in CAPS</w:t>
            </w:r>
            <w:r w:rsidR="00751ED7" w:rsidRPr="00655ACE">
              <w:rPr>
                <w:rFonts w:ascii="Arial" w:hAnsi="Arial" w:cs="Arial"/>
              </w:rPr>
              <w:t>, including Wellbeing Masterclasses and Student Listeners.</w:t>
            </w:r>
          </w:p>
          <w:p w14:paraId="51743E27" w14:textId="5D6E7F73" w:rsidR="00993AB3" w:rsidRPr="00655ACE" w:rsidRDefault="00E617AA" w:rsidP="00FA2442">
            <w:pPr>
              <w:numPr>
                <w:ilvl w:val="0"/>
                <w:numId w:val="1"/>
              </w:numPr>
              <w:spacing w:line="276" w:lineRule="auto"/>
              <w:ind w:left="357" w:hanging="357"/>
              <w:contextualSpacing/>
              <w:rPr>
                <w:rFonts w:ascii="Arial" w:hAnsi="Arial" w:cs="Arial"/>
              </w:rPr>
            </w:pPr>
            <w:r w:rsidRPr="00655ACE">
              <w:rPr>
                <w:rFonts w:ascii="Arial" w:hAnsi="Arial" w:cs="Arial"/>
              </w:rPr>
              <w:t>Waiting times reduced</w:t>
            </w:r>
            <w:r w:rsidR="0024799A" w:rsidRPr="00655ACE">
              <w:rPr>
                <w:rFonts w:ascii="Arial" w:hAnsi="Arial" w:cs="Arial"/>
              </w:rPr>
              <w:t xml:space="preserve"> </w:t>
            </w:r>
            <w:r w:rsidR="008E6715" w:rsidRPr="00655ACE">
              <w:rPr>
                <w:rFonts w:ascii="Arial" w:hAnsi="Arial" w:cs="Arial"/>
              </w:rPr>
              <w:t xml:space="preserve">for initial consultation </w:t>
            </w:r>
            <w:r w:rsidR="0024799A" w:rsidRPr="00655ACE">
              <w:rPr>
                <w:rFonts w:ascii="Arial" w:hAnsi="Arial" w:cs="Arial"/>
              </w:rPr>
              <w:t>to 9 working days</w:t>
            </w:r>
            <w:r w:rsidR="00993AB3" w:rsidRPr="00655ACE">
              <w:rPr>
                <w:rFonts w:ascii="Arial" w:hAnsi="Arial" w:cs="Arial"/>
              </w:rPr>
              <w:t>.</w:t>
            </w:r>
          </w:p>
          <w:p w14:paraId="56B1A39C" w14:textId="73F55EC9" w:rsidR="004045B4" w:rsidRPr="00655ACE" w:rsidRDefault="008E6715" w:rsidP="00FA2442">
            <w:pPr>
              <w:numPr>
                <w:ilvl w:val="0"/>
                <w:numId w:val="1"/>
              </w:numPr>
              <w:spacing w:line="276" w:lineRule="auto"/>
              <w:ind w:left="357" w:hanging="357"/>
              <w:contextualSpacing/>
              <w:rPr>
                <w:rFonts w:ascii="Arial" w:hAnsi="Arial" w:cs="Arial"/>
              </w:rPr>
            </w:pPr>
            <w:r w:rsidRPr="00655ACE">
              <w:rPr>
                <w:rFonts w:ascii="Arial" w:hAnsi="Arial" w:cs="Arial"/>
              </w:rPr>
              <w:t>NHS</w:t>
            </w:r>
            <w:r w:rsidR="004D5DB7">
              <w:rPr>
                <w:rFonts w:ascii="Arial" w:hAnsi="Arial" w:cs="Arial"/>
              </w:rPr>
              <w:t xml:space="preserve"> Mental Health Nurse</w:t>
            </w:r>
            <w:r w:rsidRPr="00655ACE">
              <w:rPr>
                <w:rFonts w:ascii="Arial" w:hAnsi="Arial" w:cs="Arial"/>
              </w:rPr>
              <w:t xml:space="preserve"> Liaison Pilot underway.</w:t>
            </w:r>
          </w:p>
        </w:tc>
      </w:tr>
    </w:tbl>
    <w:p w14:paraId="75C28D70" w14:textId="77777777" w:rsidR="006F74EC" w:rsidRPr="00655ACE" w:rsidRDefault="006F74EC" w:rsidP="00FA2442">
      <w:pPr>
        <w:spacing w:after="0" w:line="276" w:lineRule="auto"/>
        <w:rPr>
          <w:rFonts w:ascii="Arial" w:eastAsia="Times New Roman" w:hAnsi="Arial" w:cs="Arial"/>
          <w:b/>
          <w:bCs/>
          <w:color w:val="003865"/>
          <w:kern w:val="36"/>
          <w:sz w:val="22"/>
          <w:szCs w:val="22"/>
          <w:lang w:eastAsia="en-GB"/>
          <w14:ligatures w14:val="none"/>
        </w:rPr>
      </w:pPr>
    </w:p>
    <w:bookmarkEnd w:id="0"/>
    <w:p w14:paraId="26EA620A" w14:textId="77777777" w:rsidR="003B438F" w:rsidRPr="00655ACE" w:rsidRDefault="003B438F" w:rsidP="00FA2442">
      <w:pPr>
        <w:rPr>
          <w:rFonts w:ascii="Arial" w:hAnsi="Arial" w:cs="Arial"/>
          <w:sz w:val="22"/>
          <w:szCs w:val="22"/>
        </w:rPr>
      </w:pPr>
    </w:p>
    <w:sectPr w:rsidR="003B438F" w:rsidRPr="00655ACE" w:rsidSect="00F56F3A">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BC77A" w14:textId="77777777" w:rsidR="002E4E7E" w:rsidRDefault="002E4E7E" w:rsidP="00160895">
      <w:pPr>
        <w:spacing w:after="0" w:line="240" w:lineRule="auto"/>
      </w:pPr>
      <w:r>
        <w:separator/>
      </w:r>
    </w:p>
  </w:endnote>
  <w:endnote w:type="continuationSeparator" w:id="0">
    <w:p w14:paraId="0D260091" w14:textId="77777777" w:rsidR="002E4E7E" w:rsidRDefault="002E4E7E" w:rsidP="0016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261164"/>
      <w:docPartObj>
        <w:docPartGallery w:val="Page Numbers (Bottom of Page)"/>
        <w:docPartUnique/>
      </w:docPartObj>
    </w:sdtPr>
    <w:sdtEndPr>
      <w:rPr>
        <w:noProof/>
      </w:rPr>
    </w:sdtEndPr>
    <w:sdtContent>
      <w:p w14:paraId="2ED592CD" w14:textId="6E48687B" w:rsidR="003B02D4" w:rsidRDefault="003B02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656FC" w14:textId="77777777" w:rsidR="003B02D4" w:rsidRDefault="003B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843035"/>
      <w:docPartObj>
        <w:docPartGallery w:val="Page Numbers (Bottom of Page)"/>
        <w:docPartUnique/>
      </w:docPartObj>
    </w:sdtPr>
    <w:sdtEndPr>
      <w:rPr>
        <w:noProof/>
      </w:rPr>
    </w:sdtEndPr>
    <w:sdtContent>
      <w:p w14:paraId="45000CAB" w14:textId="32EFD0FE" w:rsidR="00457AB1" w:rsidRDefault="00457A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A6234" w14:textId="77777777" w:rsidR="00445EDC" w:rsidRDefault="00445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3532" w14:textId="16049709" w:rsidR="004F681C" w:rsidRDefault="004F681C" w:rsidP="00F7713B">
    <w:pPr>
      <w:pStyle w:val="Footer"/>
      <w:ind w:right="110"/>
      <w:jc w:val="right"/>
    </w:pPr>
  </w:p>
  <w:p w14:paraId="71A686A2" w14:textId="77777777" w:rsidR="00FA2442" w:rsidRDefault="00FA2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8502" w14:textId="77777777" w:rsidR="002E4E7E" w:rsidRDefault="002E4E7E" w:rsidP="00160895">
      <w:pPr>
        <w:spacing w:after="0" w:line="240" w:lineRule="auto"/>
      </w:pPr>
      <w:r>
        <w:separator/>
      </w:r>
    </w:p>
  </w:footnote>
  <w:footnote w:type="continuationSeparator" w:id="0">
    <w:p w14:paraId="47A05007" w14:textId="77777777" w:rsidR="002E4E7E" w:rsidRDefault="002E4E7E" w:rsidP="00160895">
      <w:pPr>
        <w:spacing w:after="0" w:line="240" w:lineRule="auto"/>
      </w:pPr>
      <w:r>
        <w:continuationSeparator/>
      </w:r>
    </w:p>
  </w:footnote>
  <w:footnote w:id="1">
    <w:p w14:paraId="2F5FF317" w14:textId="5A832603" w:rsidR="005939F8" w:rsidRPr="00F82B65" w:rsidRDefault="005939F8">
      <w:pPr>
        <w:pStyle w:val="FootnoteText"/>
      </w:pPr>
      <w:r>
        <w:rPr>
          <w:rStyle w:val="FootnoteReference"/>
        </w:rPr>
        <w:footnoteRef/>
      </w:r>
      <w:r>
        <w:t xml:space="preserve"> </w:t>
      </w:r>
      <w:r w:rsidR="00F82B65">
        <w:t xml:space="preserve">EHRC and SFC. 2023. </w:t>
      </w:r>
      <w:hyperlink r:id="rId1" w:history="1">
        <w:r w:rsidR="00F82B65" w:rsidRPr="00B717D3">
          <w:rPr>
            <w:rStyle w:val="Hyperlink"/>
            <w:i/>
            <w:iCs/>
          </w:rPr>
          <w:t>Tackling Persistent Inequalities Together</w:t>
        </w:r>
      </w:hyperlink>
      <w:r w:rsidR="00F82B65">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B75"/>
    <w:multiLevelType w:val="hybridMultilevel"/>
    <w:tmpl w:val="CA1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0290D"/>
    <w:multiLevelType w:val="hybridMultilevel"/>
    <w:tmpl w:val="6538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02D86"/>
    <w:multiLevelType w:val="hybridMultilevel"/>
    <w:tmpl w:val="4E02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479CD"/>
    <w:multiLevelType w:val="hybridMultilevel"/>
    <w:tmpl w:val="95008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E286D"/>
    <w:multiLevelType w:val="hybridMultilevel"/>
    <w:tmpl w:val="286E8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FF2962"/>
    <w:multiLevelType w:val="hybridMultilevel"/>
    <w:tmpl w:val="948E8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9E611C7"/>
    <w:multiLevelType w:val="hybridMultilevel"/>
    <w:tmpl w:val="8560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A5243"/>
    <w:multiLevelType w:val="hybridMultilevel"/>
    <w:tmpl w:val="21F6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24025"/>
    <w:multiLevelType w:val="hybridMultilevel"/>
    <w:tmpl w:val="19762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5023B81"/>
    <w:multiLevelType w:val="hybridMultilevel"/>
    <w:tmpl w:val="782C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2050D3"/>
    <w:multiLevelType w:val="hybridMultilevel"/>
    <w:tmpl w:val="C6E2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363F1"/>
    <w:multiLevelType w:val="hybridMultilevel"/>
    <w:tmpl w:val="9E969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CCB66C3"/>
    <w:multiLevelType w:val="hybridMultilevel"/>
    <w:tmpl w:val="34EE13FA"/>
    <w:lvl w:ilvl="0" w:tplc="08090001">
      <w:start w:val="1"/>
      <w:numFmt w:val="bullet"/>
      <w:lvlText w:val=""/>
      <w:lvlJc w:val="left"/>
      <w:pPr>
        <w:ind w:left="720" w:hanging="360"/>
      </w:pPr>
      <w:rPr>
        <w:rFonts w:ascii="Symbol" w:hAnsi="Symbol" w:hint="default"/>
      </w:rPr>
    </w:lvl>
    <w:lvl w:ilvl="1" w:tplc="A9E685C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01577"/>
    <w:multiLevelType w:val="hybridMultilevel"/>
    <w:tmpl w:val="2F94A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34E5A19"/>
    <w:multiLevelType w:val="multilevel"/>
    <w:tmpl w:val="733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1C9B"/>
    <w:multiLevelType w:val="hybridMultilevel"/>
    <w:tmpl w:val="8D3A8552"/>
    <w:lvl w:ilvl="0" w:tplc="170454CC">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80038"/>
    <w:multiLevelType w:val="hybridMultilevel"/>
    <w:tmpl w:val="56B4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D00155"/>
    <w:multiLevelType w:val="hybridMultilevel"/>
    <w:tmpl w:val="91AA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66B42"/>
    <w:multiLevelType w:val="hybridMultilevel"/>
    <w:tmpl w:val="2C18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F5F4C"/>
    <w:multiLevelType w:val="hybridMultilevel"/>
    <w:tmpl w:val="50A2C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23028B"/>
    <w:multiLevelType w:val="hybridMultilevel"/>
    <w:tmpl w:val="7430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8C22AA6"/>
    <w:multiLevelType w:val="hybridMultilevel"/>
    <w:tmpl w:val="99DC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4344237"/>
    <w:multiLevelType w:val="hybridMultilevel"/>
    <w:tmpl w:val="D5E4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346107">
    <w:abstractNumId w:val="20"/>
  </w:num>
  <w:num w:numId="2" w16cid:durableId="1117066422">
    <w:abstractNumId w:val="4"/>
  </w:num>
  <w:num w:numId="3" w16cid:durableId="1080717075">
    <w:abstractNumId w:val="13"/>
  </w:num>
  <w:num w:numId="4" w16cid:durableId="289822256">
    <w:abstractNumId w:val="21"/>
  </w:num>
  <w:num w:numId="5" w16cid:durableId="1297952243">
    <w:abstractNumId w:val="5"/>
  </w:num>
  <w:num w:numId="6" w16cid:durableId="492792804">
    <w:abstractNumId w:val="16"/>
  </w:num>
  <w:num w:numId="7" w16cid:durableId="1275285084">
    <w:abstractNumId w:val="11"/>
  </w:num>
  <w:num w:numId="8" w16cid:durableId="723413065">
    <w:abstractNumId w:val="8"/>
  </w:num>
  <w:num w:numId="9" w16cid:durableId="583760705">
    <w:abstractNumId w:val="6"/>
  </w:num>
  <w:num w:numId="10" w16cid:durableId="1604067557">
    <w:abstractNumId w:val="12"/>
  </w:num>
  <w:num w:numId="11" w16cid:durableId="1270039562">
    <w:abstractNumId w:val="2"/>
  </w:num>
  <w:num w:numId="12" w16cid:durableId="1448350578">
    <w:abstractNumId w:val="0"/>
  </w:num>
  <w:num w:numId="13" w16cid:durableId="194159527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16cid:durableId="10862170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16cid:durableId="172926365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16cid:durableId="9594830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16cid:durableId="142596017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16cid:durableId="236089496">
    <w:abstractNumId w:val="17"/>
  </w:num>
  <w:num w:numId="19" w16cid:durableId="419135364">
    <w:abstractNumId w:val="19"/>
  </w:num>
  <w:num w:numId="20" w16cid:durableId="656879021">
    <w:abstractNumId w:val="1"/>
  </w:num>
  <w:num w:numId="21" w16cid:durableId="595481419">
    <w:abstractNumId w:val="10"/>
  </w:num>
  <w:num w:numId="22" w16cid:durableId="1507791335">
    <w:abstractNumId w:val="15"/>
  </w:num>
  <w:num w:numId="23" w16cid:durableId="1192063355">
    <w:abstractNumId w:val="3"/>
  </w:num>
  <w:num w:numId="24" w16cid:durableId="423499778">
    <w:abstractNumId w:val="7"/>
  </w:num>
  <w:num w:numId="25" w16cid:durableId="777800667">
    <w:abstractNumId w:val="18"/>
  </w:num>
  <w:num w:numId="26" w16cid:durableId="267470193">
    <w:abstractNumId w:val="9"/>
  </w:num>
  <w:num w:numId="27" w16cid:durableId="9917626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EC"/>
    <w:rsid w:val="00004ABE"/>
    <w:rsid w:val="00007745"/>
    <w:rsid w:val="00011D3B"/>
    <w:rsid w:val="000139F1"/>
    <w:rsid w:val="0001740A"/>
    <w:rsid w:val="00030F71"/>
    <w:rsid w:val="0003354F"/>
    <w:rsid w:val="000336E7"/>
    <w:rsid w:val="00033B62"/>
    <w:rsid w:val="00034CFB"/>
    <w:rsid w:val="0003748C"/>
    <w:rsid w:val="00037A99"/>
    <w:rsid w:val="000406E4"/>
    <w:rsid w:val="00040A2D"/>
    <w:rsid w:val="000544A5"/>
    <w:rsid w:val="0005531C"/>
    <w:rsid w:val="00057C52"/>
    <w:rsid w:val="00060DA5"/>
    <w:rsid w:val="000617D9"/>
    <w:rsid w:val="00063062"/>
    <w:rsid w:val="00066F93"/>
    <w:rsid w:val="00080B40"/>
    <w:rsid w:val="000811FC"/>
    <w:rsid w:val="000854FA"/>
    <w:rsid w:val="000908A5"/>
    <w:rsid w:val="0009781D"/>
    <w:rsid w:val="000A20C7"/>
    <w:rsid w:val="000A5C0D"/>
    <w:rsid w:val="000A6330"/>
    <w:rsid w:val="000B09E3"/>
    <w:rsid w:val="000B529B"/>
    <w:rsid w:val="000B7B93"/>
    <w:rsid w:val="000C1497"/>
    <w:rsid w:val="000C44A3"/>
    <w:rsid w:val="000C4878"/>
    <w:rsid w:val="000C5B64"/>
    <w:rsid w:val="000D6B6A"/>
    <w:rsid w:val="000E123C"/>
    <w:rsid w:val="000E2916"/>
    <w:rsid w:val="000E6318"/>
    <w:rsid w:val="000E75E3"/>
    <w:rsid w:val="000F0433"/>
    <w:rsid w:val="000F78E2"/>
    <w:rsid w:val="00101BB1"/>
    <w:rsid w:val="00102C33"/>
    <w:rsid w:val="00106B3C"/>
    <w:rsid w:val="001268DC"/>
    <w:rsid w:val="00127715"/>
    <w:rsid w:val="00140505"/>
    <w:rsid w:val="00141310"/>
    <w:rsid w:val="0014447F"/>
    <w:rsid w:val="001514DC"/>
    <w:rsid w:val="00156BD1"/>
    <w:rsid w:val="00160895"/>
    <w:rsid w:val="00163B98"/>
    <w:rsid w:val="00163C36"/>
    <w:rsid w:val="00166180"/>
    <w:rsid w:val="00176914"/>
    <w:rsid w:val="0018253E"/>
    <w:rsid w:val="00186105"/>
    <w:rsid w:val="001973B4"/>
    <w:rsid w:val="001A1C3F"/>
    <w:rsid w:val="001A448B"/>
    <w:rsid w:val="001A456C"/>
    <w:rsid w:val="001B02CF"/>
    <w:rsid w:val="001B229D"/>
    <w:rsid w:val="001B2D93"/>
    <w:rsid w:val="001B319D"/>
    <w:rsid w:val="001B369F"/>
    <w:rsid w:val="001B3F36"/>
    <w:rsid w:val="001B5103"/>
    <w:rsid w:val="001B5647"/>
    <w:rsid w:val="001B66FC"/>
    <w:rsid w:val="001B6E5A"/>
    <w:rsid w:val="001C12C7"/>
    <w:rsid w:val="001C739F"/>
    <w:rsid w:val="001D2C9F"/>
    <w:rsid w:val="001D3DCC"/>
    <w:rsid w:val="001D7CD9"/>
    <w:rsid w:val="001E56EA"/>
    <w:rsid w:val="001E7C3F"/>
    <w:rsid w:val="001F7BCB"/>
    <w:rsid w:val="001F7E69"/>
    <w:rsid w:val="00207A13"/>
    <w:rsid w:val="00214344"/>
    <w:rsid w:val="00220E2E"/>
    <w:rsid w:val="00231E0E"/>
    <w:rsid w:val="00232B85"/>
    <w:rsid w:val="00242CEE"/>
    <w:rsid w:val="00245A10"/>
    <w:rsid w:val="0024799A"/>
    <w:rsid w:val="00253DAE"/>
    <w:rsid w:val="00260FAD"/>
    <w:rsid w:val="00261CE5"/>
    <w:rsid w:val="0027024D"/>
    <w:rsid w:val="00274C89"/>
    <w:rsid w:val="0027522B"/>
    <w:rsid w:val="00277129"/>
    <w:rsid w:val="002808A6"/>
    <w:rsid w:val="00282023"/>
    <w:rsid w:val="0028279C"/>
    <w:rsid w:val="00283ACF"/>
    <w:rsid w:val="002A0B80"/>
    <w:rsid w:val="002A2D8F"/>
    <w:rsid w:val="002B196C"/>
    <w:rsid w:val="002C0B82"/>
    <w:rsid w:val="002C2377"/>
    <w:rsid w:val="002C7F48"/>
    <w:rsid w:val="002D08DF"/>
    <w:rsid w:val="002D0B5F"/>
    <w:rsid w:val="002D3A37"/>
    <w:rsid w:val="002E1042"/>
    <w:rsid w:val="002E3B14"/>
    <w:rsid w:val="002E4E7E"/>
    <w:rsid w:val="002E6D28"/>
    <w:rsid w:val="002F2EAB"/>
    <w:rsid w:val="002F31E4"/>
    <w:rsid w:val="002F36F7"/>
    <w:rsid w:val="002F3B06"/>
    <w:rsid w:val="002F7726"/>
    <w:rsid w:val="003030FC"/>
    <w:rsid w:val="00303DC3"/>
    <w:rsid w:val="00306CB5"/>
    <w:rsid w:val="00311B72"/>
    <w:rsid w:val="00314275"/>
    <w:rsid w:val="00314D06"/>
    <w:rsid w:val="00314FE5"/>
    <w:rsid w:val="00322D1C"/>
    <w:rsid w:val="00327A76"/>
    <w:rsid w:val="00331D75"/>
    <w:rsid w:val="00331DE6"/>
    <w:rsid w:val="003354DE"/>
    <w:rsid w:val="00336758"/>
    <w:rsid w:val="00340B8F"/>
    <w:rsid w:val="0034308F"/>
    <w:rsid w:val="0034340E"/>
    <w:rsid w:val="00362683"/>
    <w:rsid w:val="003630A0"/>
    <w:rsid w:val="003643D1"/>
    <w:rsid w:val="00366E4B"/>
    <w:rsid w:val="00367392"/>
    <w:rsid w:val="0036787D"/>
    <w:rsid w:val="0037531A"/>
    <w:rsid w:val="00375DE3"/>
    <w:rsid w:val="003814BA"/>
    <w:rsid w:val="0038213B"/>
    <w:rsid w:val="003822C1"/>
    <w:rsid w:val="00384080"/>
    <w:rsid w:val="00386E82"/>
    <w:rsid w:val="00387957"/>
    <w:rsid w:val="00397E09"/>
    <w:rsid w:val="003A09BA"/>
    <w:rsid w:val="003A14CD"/>
    <w:rsid w:val="003A14D7"/>
    <w:rsid w:val="003A40B5"/>
    <w:rsid w:val="003A466D"/>
    <w:rsid w:val="003A7F12"/>
    <w:rsid w:val="003B02D4"/>
    <w:rsid w:val="003B3A17"/>
    <w:rsid w:val="003B438F"/>
    <w:rsid w:val="003B4450"/>
    <w:rsid w:val="003C02F4"/>
    <w:rsid w:val="003C2911"/>
    <w:rsid w:val="003C366D"/>
    <w:rsid w:val="003D1F68"/>
    <w:rsid w:val="003D236B"/>
    <w:rsid w:val="003D54D5"/>
    <w:rsid w:val="003E31E0"/>
    <w:rsid w:val="003E5A22"/>
    <w:rsid w:val="003E69EE"/>
    <w:rsid w:val="003E6D76"/>
    <w:rsid w:val="003E77B0"/>
    <w:rsid w:val="003F0932"/>
    <w:rsid w:val="003F0975"/>
    <w:rsid w:val="003F1978"/>
    <w:rsid w:val="003F2E01"/>
    <w:rsid w:val="003F40C2"/>
    <w:rsid w:val="003F6B69"/>
    <w:rsid w:val="003F6DBE"/>
    <w:rsid w:val="004045B4"/>
    <w:rsid w:val="004051C6"/>
    <w:rsid w:val="00405328"/>
    <w:rsid w:val="00405D30"/>
    <w:rsid w:val="004204EC"/>
    <w:rsid w:val="00423ACE"/>
    <w:rsid w:val="0042459C"/>
    <w:rsid w:val="00425CBC"/>
    <w:rsid w:val="004302A3"/>
    <w:rsid w:val="004341CB"/>
    <w:rsid w:val="00441B9B"/>
    <w:rsid w:val="00445EDC"/>
    <w:rsid w:val="004546AB"/>
    <w:rsid w:val="004552B9"/>
    <w:rsid w:val="00455405"/>
    <w:rsid w:val="004569D9"/>
    <w:rsid w:val="00457AB1"/>
    <w:rsid w:val="00457EE5"/>
    <w:rsid w:val="00464E37"/>
    <w:rsid w:val="00466D3C"/>
    <w:rsid w:val="00470781"/>
    <w:rsid w:val="004709DA"/>
    <w:rsid w:val="0047235E"/>
    <w:rsid w:val="00474128"/>
    <w:rsid w:val="00475772"/>
    <w:rsid w:val="00476CCB"/>
    <w:rsid w:val="00476F01"/>
    <w:rsid w:val="0048005D"/>
    <w:rsid w:val="00480C4F"/>
    <w:rsid w:val="004858CA"/>
    <w:rsid w:val="00485A65"/>
    <w:rsid w:val="004860F4"/>
    <w:rsid w:val="0049560B"/>
    <w:rsid w:val="0049626F"/>
    <w:rsid w:val="00497309"/>
    <w:rsid w:val="004A062E"/>
    <w:rsid w:val="004A0A1D"/>
    <w:rsid w:val="004A6EF2"/>
    <w:rsid w:val="004A7CDA"/>
    <w:rsid w:val="004B14EF"/>
    <w:rsid w:val="004D4396"/>
    <w:rsid w:val="004D4883"/>
    <w:rsid w:val="004D4B49"/>
    <w:rsid w:val="004D5DB7"/>
    <w:rsid w:val="004D6C6E"/>
    <w:rsid w:val="004D7198"/>
    <w:rsid w:val="004E325B"/>
    <w:rsid w:val="004E38FF"/>
    <w:rsid w:val="004E57F4"/>
    <w:rsid w:val="004E5C98"/>
    <w:rsid w:val="004E6291"/>
    <w:rsid w:val="004E7815"/>
    <w:rsid w:val="004F156A"/>
    <w:rsid w:val="004F681C"/>
    <w:rsid w:val="004F6B46"/>
    <w:rsid w:val="004F74F1"/>
    <w:rsid w:val="004F767D"/>
    <w:rsid w:val="004F7ECC"/>
    <w:rsid w:val="00500CCB"/>
    <w:rsid w:val="00503936"/>
    <w:rsid w:val="005070C8"/>
    <w:rsid w:val="0051495D"/>
    <w:rsid w:val="00515D89"/>
    <w:rsid w:val="00534E51"/>
    <w:rsid w:val="00536A5D"/>
    <w:rsid w:val="00545BE2"/>
    <w:rsid w:val="00547EE5"/>
    <w:rsid w:val="005563ED"/>
    <w:rsid w:val="005623B4"/>
    <w:rsid w:val="00564688"/>
    <w:rsid w:val="005666B9"/>
    <w:rsid w:val="00567650"/>
    <w:rsid w:val="00570142"/>
    <w:rsid w:val="00571C38"/>
    <w:rsid w:val="00576573"/>
    <w:rsid w:val="00583849"/>
    <w:rsid w:val="0058611A"/>
    <w:rsid w:val="005939F8"/>
    <w:rsid w:val="00593F34"/>
    <w:rsid w:val="00595D85"/>
    <w:rsid w:val="005A2267"/>
    <w:rsid w:val="005A4133"/>
    <w:rsid w:val="005A43B6"/>
    <w:rsid w:val="005A5973"/>
    <w:rsid w:val="005B491E"/>
    <w:rsid w:val="005C17A0"/>
    <w:rsid w:val="005C227B"/>
    <w:rsid w:val="005C23A5"/>
    <w:rsid w:val="005C3D6E"/>
    <w:rsid w:val="005C5715"/>
    <w:rsid w:val="005C6B1D"/>
    <w:rsid w:val="005D46E2"/>
    <w:rsid w:val="005D6635"/>
    <w:rsid w:val="005D67B4"/>
    <w:rsid w:val="005E0682"/>
    <w:rsid w:val="005E0807"/>
    <w:rsid w:val="005E0B21"/>
    <w:rsid w:val="005E63DD"/>
    <w:rsid w:val="005E7814"/>
    <w:rsid w:val="005F1933"/>
    <w:rsid w:val="005F2BC8"/>
    <w:rsid w:val="00602885"/>
    <w:rsid w:val="00603172"/>
    <w:rsid w:val="00605F66"/>
    <w:rsid w:val="00610461"/>
    <w:rsid w:val="00617383"/>
    <w:rsid w:val="0062141D"/>
    <w:rsid w:val="0062233E"/>
    <w:rsid w:val="006231A2"/>
    <w:rsid w:val="00630A39"/>
    <w:rsid w:val="00632079"/>
    <w:rsid w:val="00642456"/>
    <w:rsid w:val="00642F5C"/>
    <w:rsid w:val="006540DE"/>
    <w:rsid w:val="006551C0"/>
    <w:rsid w:val="00655ACE"/>
    <w:rsid w:val="00660561"/>
    <w:rsid w:val="006607FF"/>
    <w:rsid w:val="00664146"/>
    <w:rsid w:val="006673FC"/>
    <w:rsid w:val="00676E0B"/>
    <w:rsid w:val="00676E22"/>
    <w:rsid w:val="00680CB0"/>
    <w:rsid w:val="006810FF"/>
    <w:rsid w:val="00683F7D"/>
    <w:rsid w:val="0068673B"/>
    <w:rsid w:val="00687EE9"/>
    <w:rsid w:val="00691127"/>
    <w:rsid w:val="006922FB"/>
    <w:rsid w:val="0069285B"/>
    <w:rsid w:val="00696307"/>
    <w:rsid w:val="006A27D0"/>
    <w:rsid w:val="006B02DB"/>
    <w:rsid w:val="006B259C"/>
    <w:rsid w:val="006B5214"/>
    <w:rsid w:val="006B5DBA"/>
    <w:rsid w:val="006B7495"/>
    <w:rsid w:val="006C0384"/>
    <w:rsid w:val="006C3B89"/>
    <w:rsid w:val="006C67BB"/>
    <w:rsid w:val="006D35C8"/>
    <w:rsid w:val="006D5BC4"/>
    <w:rsid w:val="006E3143"/>
    <w:rsid w:val="006E570F"/>
    <w:rsid w:val="006E6692"/>
    <w:rsid w:val="006E7CF3"/>
    <w:rsid w:val="006F0806"/>
    <w:rsid w:val="006F3E0C"/>
    <w:rsid w:val="006F5600"/>
    <w:rsid w:val="006F70B9"/>
    <w:rsid w:val="006F7354"/>
    <w:rsid w:val="006F74EC"/>
    <w:rsid w:val="00700624"/>
    <w:rsid w:val="0070715B"/>
    <w:rsid w:val="00707400"/>
    <w:rsid w:val="0071033C"/>
    <w:rsid w:val="007103B7"/>
    <w:rsid w:val="00710C9B"/>
    <w:rsid w:val="007148BF"/>
    <w:rsid w:val="00722338"/>
    <w:rsid w:val="0072669F"/>
    <w:rsid w:val="007275D3"/>
    <w:rsid w:val="00730D80"/>
    <w:rsid w:val="00734D79"/>
    <w:rsid w:val="007351B0"/>
    <w:rsid w:val="00736CD1"/>
    <w:rsid w:val="00737DB9"/>
    <w:rsid w:val="007450BE"/>
    <w:rsid w:val="0075028C"/>
    <w:rsid w:val="007515CF"/>
    <w:rsid w:val="00751ED7"/>
    <w:rsid w:val="00752E61"/>
    <w:rsid w:val="00754B6D"/>
    <w:rsid w:val="00754E8E"/>
    <w:rsid w:val="00757560"/>
    <w:rsid w:val="007607BA"/>
    <w:rsid w:val="00763C0B"/>
    <w:rsid w:val="00766B81"/>
    <w:rsid w:val="007700CB"/>
    <w:rsid w:val="0077060F"/>
    <w:rsid w:val="00771581"/>
    <w:rsid w:val="007731FE"/>
    <w:rsid w:val="00773885"/>
    <w:rsid w:val="00777E0B"/>
    <w:rsid w:val="00781987"/>
    <w:rsid w:val="00782E00"/>
    <w:rsid w:val="007833FE"/>
    <w:rsid w:val="00785D90"/>
    <w:rsid w:val="00787517"/>
    <w:rsid w:val="007A128B"/>
    <w:rsid w:val="007A2F29"/>
    <w:rsid w:val="007A4449"/>
    <w:rsid w:val="007B320A"/>
    <w:rsid w:val="007B3911"/>
    <w:rsid w:val="007C309E"/>
    <w:rsid w:val="007D2DC2"/>
    <w:rsid w:val="007D7105"/>
    <w:rsid w:val="007E00FE"/>
    <w:rsid w:val="007E0878"/>
    <w:rsid w:val="007F1494"/>
    <w:rsid w:val="0080244A"/>
    <w:rsid w:val="008053A2"/>
    <w:rsid w:val="008053CE"/>
    <w:rsid w:val="00810DCC"/>
    <w:rsid w:val="00811520"/>
    <w:rsid w:val="00820794"/>
    <w:rsid w:val="0082483A"/>
    <w:rsid w:val="0082651A"/>
    <w:rsid w:val="00826602"/>
    <w:rsid w:val="00830A3B"/>
    <w:rsid w:val="00831D78"/>
    <w:rsid w:val="00832311"/>
    <w:rsid w:val="008327F4"/>
    <w:rsid w:val="008329AC"/>
    <w:rsid w:val="0083345A"/>
    <w:rsid w:val="00833F5F"/>
    <w:rsid w:val="00835548"/>
    <w:rsid w:val="0084186F"/>
    <w:rsid w:val="00842C94"/>
    <w:rsid w:val="0084442C"/>
    <w:rsid w:val="008461FE"/>
    <w:rsid w:val="00846CEB"/>
    <w:rsid w:val="00852EF1"/>
    <w:rsid w:val="00854BC1"/>
    <w:rsid w:val="00860F66"/>
    <w:rsid w:val="0086340E"/>
    <w:rsid w:val="00871010"/>
    <w:rsid w:val="0087240B"/>
    <w:rsid w:val="00882C19"/>
    <w:rsid w:val="0089165E"/>
    <w:rsid w:val="00891E2C"/>
    <w:rsid w:val="0089332E"/>
    <w:rsid w:val="008937DD"/>
    <w:rsid w:val="00894806"/>
    <w:rsid w:val="008A79A7"/>
    <w:rsid w:val="008B1376"/>
    <w:rsid w:val="008B5D38"/>
    <w:rsid w:val="008B7345"/>
    <w:rsid w:val="008C10D6"/>
    <w:rsid w:val="008C2ED8"/>
    <w:rsid w:val="008D3FC7"/>
    <w:rsid w:val="008D4D1A"/>
    <w:rsid w:val="008D63D6"/>
    <w:rsid w:val="008D7061"/>
    <w:rsid w:val="008E0A4C"/>
    <w:rsid w:val="008E57A8"/>
    <w:rsid w:val="008E5B74"/>
    <w:rsid w:val="008E6715"/>
    <w:rsid w:val="008F0ACF"/>
    <w:rsid w:val="008F41EB"/>
    <w:rsid w:val="008F4D37"/>
    <w:rsid w:val="008F50AA"/>
    <w:rsid w:val="008F547F"/>
    <w:rsid w:val="00900424"/>
    <w:rsid w:val="00901623"/>
    <w:rsid w:val="00915049"/>
    <w:rsid w:val="009150FC"/>
    <w:rsid w:val="00915CC2"/>
    <w:rsid w:val="00916972"/>
    <w:rsid w:val="00920818"/>
    <w:rsid w:val="00922FED"/>
    <w:rsid w:val="0092489D"/>
    <w:rsid w:val="00926CB3"/>
    <w:rsid w:val="00927123"/>
    <w:rsid w:val="0093083B"/>
    <w:rsid w:val="00933D7F"/>
    <w:rsid w:val="00940B1B"/>
    <w:rsid w:val="00940E4E"/>
    <w:rsid w:val="00941776"/>
    <w:rsid w:val="0094366F"/>
    <w:rsid w:val="009436D2"/>
    <w:rsid w:val="00944908"/>
    <w:rsid w:val="00945CAF"/>
    <w:rsid w:val="00950166"/>
    <w:rsid w:val="00953849"/>
    <w:rsid w:val="00953EB9"/>
    <w:rsid w:val="00956103"/>
    <w:rsid w:val="00956E26"/>
    <w:rsid w:val="00962FB3"/>
    <w:rsid w:val="00965FB4"/>
    <w:rsid w:val="00967AFA"/>
    <w:rsid w:val="00971232"/>
    <w:rsid w:val="009809AA"/>
    <w:rsid w:val="00982AF2"/>
    <w:rsid w:val="00985B42"/>
    <w:rsid w:val="00990692"/>
    <w:rsid w:val="00992E7E"/>
    <w:rsid w:val="00993AB3"/>
    <w:rsid w:val="009959C2"/>
    <w:rsid w:val="0099633A"/>
    <w:rsid w:val="009A2D2E"/>
    <w:rsid w:val="009A2F44"/>
    <w:rsid w:val="009A2F46"/>
    <w:rsid w:val="009B36FB"/>
    <w:rsid w:val="009B426C"/>
    <w:rsid w:val="009B6227"/>
    <w:rsid w:val="009B6C2D"/>
    <w:rsid w:val="009C1228"/>
    <w:rsid w:val="009C199B"/>
    <w:rsid w:val="009C359F"/>
    <w:rsid w:val="009D2404"/>
    <w:rsid w:val="009D3EA5"/>
    <w:rsid w:val="009D46BE"/>
    <w:rsid w:val="009D6D70"/>
    <w:rsid w:val="009E3A2C"/>
    <w:rsid w:val="009E3F7F"/>
    <w:rsid w:val="009E5F2C"/>
    <w:rsid w:val="009F16D7"/>
    <w:rsid w:val="009F30B3"/>
    <w:rsid w:val="00A00089"/>
    <w:rsid w:val="00A00FF6"/>
    <w:rsid w:val="00A02683"/>
    <w:rsid w:val="00A043DC"/>
    <w:rsid w:val="00A101A4"/>
    <w:rsid w:val="00A14E2D"/>
    <w:rsid w:val="00A177B4"/>
    <w:rsid w:val="00A248B2"/>
    <w:rsid w:val="00A26F1C"/>
    <w:rsid w:val="00A27568"/>
    <w:rsid w:val="00A34F7B"/>
    <w:rsid w:val="00A42CBE"/>
    <w:rsid w:val="00A43F85"/>
    <w:rsid w:val="00A45969"/>
    <w:rsid w:val="00A5037D"/>
    <w:rsid w:val="00A61ADF"/>
    <w:rsid w:val="00A61BC5"/>
    <w:rsid w:val="00A7120F"/>
    <w:rsid w:val="00A73C94"/>
    <w:rsid w:val="00A77C8E"/>
    <w:rsid w:val="00A94386"/>
    <w:rsid w:val="00AA23CF"/>
    <w:rsid w:val="00AA36CA"/>
    <w:rsid w:val="00AA762B"/>
    <w:rsid w:val="00AA78C5"/>
    <w:rsid w:val="00AB40C6"/>
    <w:rsid w:val="00AB68E6"/>
    <w:rsid w:val="00AD5361"/>
    <w:rsid w:val="00AE1195"/>
    <w:rsid w:val="00AE3DF9"/>
    <w:rsid w:val="00AE49F0"/>
    <w:rsid w:val="00AE5E11"/>
    <w:rsid w:val="00AE7EB8"/>
    <w:rsid w:val="00AF0D18"/>
    <w:rsid w:val="00AF4154"/>
    <w:rsid w:val="00B02613"/>
    <w:rsid w:val="00B03102"/>
    <w:rsid w:val="00B05211"/>
    <w:rsid w:val="00B06100"/>
    <w:rsid w:val="00B06ED3"/>
    <w:rsid w:val="00B12371"/>
    <w:rsid w:val="00B2102D"/>
    <w:rsid w:val="00B21FC6"/>
    <w:rsid w:val="00B3211A"/>
    <w:rsid w:val="00B35B09"/>
    <w:rsid w:val="00B4030B"/>
    <w:rsid w:val="00B42DCA"/>
    <w:rsid w:val="00B43E79"/>
    <w:rsid w:val="00B45C4D"/>
    <w:rsid w:val="00B52AC3"/>
    <w:rsid w:val="00B55502"/>
    <w:rsid w:val="00B6405F"/>
    <w:rsid w:val="00B64BBA"/>
    <w:rsid w:val="00B717D3"/>
    <w:rsid w:val="00B72873"/>
    <w:rsid w:val="00B728E1"/>
    <w:rsid w:val="00B802D0"/>
    <w:rsid w:val="00B80300"/>
    <w:rsid w:val="00B80A21"/>
    <w:rsid w:val="00B838A6"/>
    <w:rsid w:val="00B86CD1"/>
    <w:rsid w:val="00B941E2"/>
    <w:rsid w:val="00B96459"/>
    <w:rsid w:val="00B964E7"/>
    <w:rsid w:val="00B96D08"/>
    <w:rsid w:val="00B978B5"/>
    <w:rsid w:val="00B97B53"/>
    <w:rsid w:val="00BA20AF"/>
    <w:rsid w:val="00BA5405"/>
    <w:rsid w:val="00BA6704"/>
    <w:rsid w:val="00BC5DEC"/>
    <w:rsid w:val="00BC6206"/>
    <w:rsid w:val="00BC782F"/>
    <w:rsid w:val="00BD2D1F"/>
    <w:rsid w:val="00BD7051"/>
    <w:rsid w:val="00BD7A58"/>
    <w:rsid w:val="00BE12BD"/>
    <w:rsid w:val="00BE3A4C"/>
    <w:rsid w:val="00BE46C7"/>
    <w:rsid w:val="00BE6256"/>
    <w:rsid w:val="00BF1B57"/>
    <w:rsid w:val="00BF58BA"/>
    <w:rsid w:val="00BF7736"/>
    <w:rsid w:val="00C05648"/>
    <w:rsid w:val="00C0771E"/>
    <w:rsid w:val="00C07879"/>
    <w:rsid w:val="00C1038E"/>
    <w:rsid w:val="00C113E2"/>
    <w:rsid w:val="00C149D7"/>
    <w:rsid w:val="00C14A48"/>
    <w:rsid w:val="00C15FE3"/>
    <w:rsid w:val="00C16060"/>
    <w:rsid w:val="00C22740"/>
    <w:rsid w:val="00C24A4C"/>
    <w:rsid w:val="00C2503E"/>
    <w:rsid w:val="00C30040"/>
    <w:rsid w:val="00C30D9C"/>
    <w:rsid w:val="00C32786"/>
    <w:rsid w:val="00C3545F"/>
    <w:rsid w:val="00C365C6"/>
    <w:rsid w:val="00C4103B"/>
    <w:rsid w:val="00C41315"/>
    <w:rsid w:val="00C46B47"/>
    <w:rsid w:val="00C5139F"/>
    <w:rsid w:val="00C522DD"/>
    <w:rsid w:val="00C6040D"/>
    <w:rsid w:val="00C61E69"/>
    <w:rsid w:val="00C6601F"/>
    <w:rsid w:val="00C70967"/>
    <w:rsid w:val="00C7296A"/>
    <w:rsid w:val="00C75B4C"/>
    <w:rsid w:val="00C80226"/>
    <w:rsid w:val="00C848FB"/>
    <w:rsid w:val="00C85698"/>
    <w:rsid w:val="00C9433B"/>
    <w:rsid w:val="00C95910"/>
    <w:rsid w:val="00C95928"/>
    <w:rsid w:val="00CB2F01"/>
    <w:rsid w:val="00CB4313"/>
    <w:rsid w:val="00CB6C35"/>
    <w:rsid w:val="00CD0F12"/>
    <w:rsid w:val="00CD0FEB"/>
    <w:rsid w:val="00CD5C59"/>
    <w:rsid w:val="00CE2AC0"/>
    <w:rsid w:val="00CE6CC4"/>
    <w:rsid w:val="00CF00DF"/>
    <w:rsid w:val="00CF1254"/>
    <w:rsid w:val="00CF2DFE"/>
    <w:rsid w:val="00CF58D4"/>
    <w:rsid w:val="00CF5AC2"/>
    <w:rsid w:val="00CF65CC"/>
    <w:rsid w:val="00CF67EF"/>
    <w:rsid w:val="00CF7443"/>
    <w:rsid w:val="00D04253"/>
    <w:rsid w:val="00D045AF"/>
    <w:rsid w:val="00D07875"/>
    <w:rsid w:val="00D1113E"/>
    <w:rsid w:val="00D11284"/>
    <w:rsid w:val="00D144AA"/>
    <w:rsid w:val="00D21EC3"/>
    <w:rsid w:val="00D2313A"/>
    <w:rsid w:val="00D26FA4"/>
    <w:rsid w:val="00D30814"/>
    <w:rsid w:val="00D30C65"/>
    <w:rsid w:val="00D31074"/>
    <w:rsid w:val="00D31BDD"/>
    <w:rsid w:val="00D32CBA"/>
    <w:rsid w:val="00D355A0"/>
    <w:rsid w:val="00D35C0D"/>
    <w:rsid w:val="00D42A51"/>
    <w:rsid w:val="00D436EB"/>
    <w:rsid w:val="00D574F3"/>
    <w:rsid w:val="00D61310"/>
    <w:rsid w:val="00D62C9B"/>
    <w:rsid w:val="00D655DC"/>
    <w:rsid w:val="00D65665"/>
    <w:rsid w:val="00D662C3"/>
    <w:rsid w:val="00D66366"/>
    <w:rsid w:val="00D66E89"/>
    <w:rsid w:val="00D709FE"/>
    <w:rsid w:val="00D7258F"/>
    <w:rsid w:val="00D766E2"/>
    <w:rsid w:val="00D80B54"/>
    <w:rsid w:val="00D80B8F"/>
    <w:rsid w:val="00D84EEE"/>
    <w:rsid w:val="00D934E3"/>
    <w:rsid w:val="00D95590"/>
    <w:rsid w:val="00DA2E4A"/>
    <w:rsid w:val="00DA5FA5"/>
    <w:rsid w:val="00DA77BA"/>
    <w:rsid w:val="00DB0575"/>
    <w:rsid w:val="00DB2453"/>
    <w:rsid w:val="00DB2EB7"/>
    <w:rsid w:val="00DB57B0"/>
    <w:rsid w:val="00DC1938"/>
    <w:rsid w:val="00DC521A"/>
    <w:rsid w:val="00DD3781"/>
    <w:rsid w:val="00DE0C5D"/>
    <w:rsid w:val="00DE50CE"/>
    <w:rsid w:val="00DE75D0"/>
    <w:rsid w:val="00DF338D"/>
    <w:rsid w:val="00DF4133"/>
    <w:rsid w:val="00DF512A"/>
    <w:rsid w:val="00DF7032"/>
    <w:rsid w:val="00E01442"/>
    <w:rsid w:val="00E050C0"/>
    <w:rsid w:val="00E06BAD"/>
    <w:rsid w:val="00E07514"/>
    <w:rsid w:val="00E20107"/>
    <w:rsid w:val="00E30CD3"/>
    <w:rsid w:val="00E310BC"/>
    <w:rsid w:val="00E31523"/>
    <w:rsid w:val="00E31C21"/>
    <w:rsid w:val="00E31FB8"/>
    <w:rsid w:val="00E352E5"/>
    <w:rsid w:val="00E3796F"/>
    <w:rsid w:val="00E41A12"/>
    <w:rsid w:val="00E421FE"/>
    <w:rsid w:val="00E43765"/>
    <w:rsid w:val="00E43BB7"/>
    <w:rsid w:val="00E44CE9"/>
    <w:rsid w:val="00E44FB7"/>
    <w:rsid w:val="00E57904"/>
    <w:rsid w:val="00E602B1"/>
    <w:rsid w:val="00E617AA"/>
    <w:rsid w:val="00E61859"/>
    <w:rsid w:val="00E61B56"/>
    <w:rsid w:val="00E73D8E"/>
    <w:rsid w:val="00E76BE9"/>
    <w:rsid w:val="00E82BA6"/>
    <w:rsid w:val="00E84079"/>
    <w:rsid w:val="00E906B4"/>
    <w:rsid w:val="00E90719"/>
    <w:rsid w:val="00E91C3C"/>
    <w:rsid w:val="00E920F2"/>
    <w:rsid w:val="00E9656B"/>
    <w:rsid w:val="00E97D45"/>
    <w:rsid w:val="00EA2E24"/>
    <w:rsid w:val="00EA35BE"/>
    <w:rsid w:val="00EB0675"/>
    <w:rsid w:val="00EB16ED"/>
    <w:rsid w:val="00EB1DD2"/>
    <w:rsid w:val="00EB6C27"/>
    <w:rsid w:val="00EC05AB"/>
    <w:rsid w:val="00EC0B0B"/>
    <w:rsid w:val="00ED3FA8"/>
    <w:rsid w:val="00ED40FC"/>
    <w:rsid w:val="00EE0D70"/>
    <w:rsid w:val="00EE2DEA"/>
    <w:rsid w:val="00EE5044"/>
    <w:rsid w:val="00EF0065"/>
    <w:rsid w:val="00EF47A7"/>
    <w:rsid w:val="00F044DD"/>
    <w:rsid w:val="00F05F84"/>
    <w:rsid w:val="00F077D9"/>
    <w:rsid w:val="00F11F7A"/>
    <w:rsid w:val="00F1380B"/>
    <w:rsid w:val="00F15A11"/>
    <w:rsid w:val="00F23AFD"/>
    <w:rsid w:val="00F23E8A"/>
    <w:rsid w:val="00F301B9"/>
    <w:rsid w:val="00F316E6"/>
    <w:rsid w:val="00F32F5D"/>
    <w:rsid w:val="00F332A6"/>
    <w:rsid w:val="00F35F51"/>
    <w:rsid w:val="00F379A9"/>
    <w:rsid w:val="00F40F90"/>
    <w:rsid w:val="00F420FB"/>
    <w:rsid w:val="00F43D63"/>
    <w:rsid w:val="00F44BAE"/>
    <w:rsid w:val="00F4794B"/>
    <w:rsid w:val="00F5027F"/>
    <w:rsid w:val="00F56F3A"/>
    <w:rsid w:val="00F60AD5"/>
    <w:rsid w:val="00F623D7"/>
    <w:rsid w:val="00F62C92"/>
    <w:rsid w:val="00F6587F"/>
    <w:rsid w:val="00F70A1C"/>
    <w:rsid w:val="00F716F7"/>
    <w:rsid w:val="00F73D7C"/>
    <w:rsid w:val="00F75316"/>
    <w:rsid w:val="00F7713B"/>
    <w:rsid w:val="00F778BD"/>
    <w:rsid w:val="00F77DCF"/>
    <w:rsid w:val="00F80F82"/>
    <w:rsid w:val="00F82B65"/>
    <w:rsid w:val="00F8451F"/>
    <w:rsid w:val="00F8593F"/>
    <w:rsid w:val="00F91151"/>
    <w:rsid w:val="00F917DB"/>
    <w:rsid w:val="00FA016D"/>
    <w:rsid w:val="00FA2442"/>
    <w:rsid w:val="00FA410A"/>
    <w:rsid w:val="00FA4F31"/>
    <w:rsid w:val="00FA6407"/>
    <w:rsid w:val="00FA6669"/>
    <w:rsid w:val="00FB0AA6"/>
    <w:rsid w:val="00FB29F7"/>
    <w:rsid w:val="00FB2D30"/>
    <w:rsid w:val="00FC37A0"/>
    <w:rsid w:val="00FD0709"/>
    <w:rsid w:val="00FD1851"/>
    <w:rsid w:val="00FD60DA"/>
    <w:rsid w:val="00FD73BA"/>
    <w:rsid w:val="00FE565B"/>
    <w:rsid w:val="00FF0286"/>
    <w:rsid w:val="00FF1FD4"/>
    <w:rsid w:val="00FF4E37"/>
    <w:rsid w:val="00FF5CE1"/>
    <w:rsid w:val="00FF73D7"/>
    <w:rsid w:val="00FF7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2A27"/>
  <w15:chartTrackingRefBased/>
  <w15:docId w15:val="{29BA7DE8-39D6-475F-9A39-F56F6327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EC"/>
  </w:style>
  <w:style w:type="paragraph" w:styleId="Heading1">
    <w:name w:val="heading 1"/>
    <w:basedOn w:val="Normal"/>
    <w:next w:val="Normal"/>
    <w:link w:val="Heading1Char"/>
    <w:uiPriority w:val="9"/>
    <w:qFormat/>
    <w:rsid w:val="006F7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7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7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F7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7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7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F7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4EC"/>
    <w:rPr>
      <w:rFonts w:eastAsiaTheme="majorEastAsia" w:cstheme="majorBidi"/>
      <w:color w:val="272727" w:themeColor="text1" w:themeTint="D8"/>
    </w:rPr>
  </w:style>
  <w:style w:type="paragraph" w:styleId="Title">
    <w:name w:val="Title"/>
    <w:basedOn w:val="Normal"/>
    <w:next w:val="Normal"/>
    <w:link w:val="TitleChar"/>
    <w:uiPriority w:val="10"/>
    <w:qFormat/>
    <w:rsid w:val="006F7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4EC"/>
    <w:pPr>
      <w:spacing w:before="160"/>
      <w:jc w:val="center"/>
    </w:pPr>
    <w:rPr>
      <w:i/>
      <w:iCs/>
      <w:color w:val="404040" w:themeColor="text1" w:themeTint="BF"/>
    </w:rPr>
  </w:style>
  <w:style w:type="character" w:customStyle="1" w:styleId="QuoteChar">
    <w:name w:val="Quote Char"/>
    <w:basedOn w:val="DefaultParagraphFont"/>
    <w:link w:val="Quote"/>
    <w:uiPriority w:val="29"/>
    <w:rsid w:val="006F74EC"/>
    <w:rPr>
      <w:i/>
      <w:iCs/>
      <w:color w:val="404040" w:themeColor="text1" w:themeTint="BF"/>
    </w:rPr>
  </w:style>
  <w:style w:type="paragraph" w:styleId="ListParagraph">
    <w:name w:val="List Paragraph"/>
    <w:basedOn w:val="Normal"/>
    <w:uiPriority w:val="34"/>
    <w:qFormat/>
    <w:rsid w:val="006F74EC"/>
    <w:pPr>
      <w:ind w:left="720"/>
      <w:contextualSpacing/>
    </w:pPr>
  </w:style>
  <w:style w:type="character" w:styleId="IntenseEmphasis">
    <w:name w:val="Intense Emphasis"/>
    <w:basedOn w:val="DefaultParagraphFont"/>
    <w:uiPriority w:val="21"/>
    <w:qFormat/>
    <w:rsid w:val="006F74EC"/>
    <w:rPr>
      <w:i/>
      <w:iCs/>
      <w:color w:val="0F4761" w:themeColor="accent1" w:themeShade="BF"/>
    </w:rPr>
  </w:style>
  <w:style w:type="paragraph" w:styleId="IntenseQuote">
    <w:name w:val="Intense Quote"/>
    <w:basedOn w:val="Normal"/>
    <w:next w:val="Normal"/>
    <w:link w:val="IntenseQuoteChar"/>
    <w:uiPriority w:val="30"/>
    <w:qFormat/>
    <w:rsid w:val="006F7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4EC"/>
    <w:rPr>
      <w:i/>
      <w:iCs/>
      <w:color w:val="0F4761" w:themeColor="accent1" w:themeShade="BF"/>
    </w:rPr>
  </w:style>
  <w:style w:type="character" w:styleId="IntenseReference">
    <w:name w:val="Intense Reference"/>
    <w:basedOn w:val="DefaultParagraphFont"/>
    <w:uiPriority w:val="32"/>
    <w:qFormat/>
    <w:rsid w:val="006F74EC"/>
    <w:rPr>
      <w:b/>
      <w:bCs/>
      <w:smallCaps/>
      <w:color w:val="0F4761" w:themeColor="accent1" w:themeShade="BF"/>
      <w:spacing w:val="5"/>
    </w:rPr>
  </w:style>
  <w:style w:type="table" w:customStyle="1" w:styleId="TableGrid1">
    <w:name w:val="Table Grid1"/>
    <w:basedOn w:val="TableNormal"/>
    <w:next w:val="TableGrid"/>
    <w:uiPriority w:val="59"/>
    <w:rsid w:val="006F74EC"/>
    <w:pPr>
      <w:spacing w:after="0" w:line="240" w:lineRule="auto"/>
    </w:pPr>
    <w:rPr>
      <w:rFonts w:eastAsia="Calibr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74EC"/>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6F74EC"/>
    <w:rPr>
      <w:kern w:val="0"/>
      <w:sz w:val="22"/>
      <w:szCs w:val="22"/>
      <w14:ligatures w14:val="none"/>
    </w:rPr>
  </w:style>
  <w:style w:type="table" w:styleId="TableGrid">
    <w:name w:val="Table Grid"/>
    <w:basedOn w:val="TableNormal"/>
    <w:uiPriority w:val="39"/>
    <w:rsid w:val="006F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60DA"/>
    <w:pPr>
      <w:spacing w:after="0" w:line="240" w:lineRule="auto"/>
    </w:pPr>
  </w:style>
  <w:style w:type="character" w:styleId="CommentReference">
    <w:name w:val="annotation reference"/>
    <w:basedOn w:val="DefaultParagraphFont"/>
    <w:uiPriority w:val="99"/>
    <w:semiHidden/>
    <w:unhideWhenUsed/>
    <w:rsid w:val="000406E4"/>
    <w:rPr>
      <w:sz w:val="16"/>
      <w:szCs w:val="16"/>
    </w:rPr>
  </w:style>
  <w:style w:type="paragraph" w:styleId="CommentText">
    <w:name w:val="annotation text"/>
    <w:basedOn w:val="Normal"/>
    <w:link w:val="CommentTextChar"/>
    <w:uiPriority w:val="99"/>
    <w:unhideWhenUsed/>
    <w:rsid w:val="000406E4"/>
    <w:pPr>
      <w:spacing w:line="240" w:lineRule="auto"/>
    </w:pPr>
    <w:rPr>
      <w:sz w:val="20"/>
      <w:szCs w:val="20"/>
    </w:rPr>
  </w:style>
  <w:style w:type="character" w:customStyle="1" w:styleId="CommentTextChar">
    <w:name w:val="Comment Text Char"/>
    <w:basedOn w:val="DefaultParagraphFont"/>
    <w:link w:val="CommentText"/>
    <w:uiPriority w:val="99"/>
    <w:rsid w:val="000406E4"/>
    <w:rPr>
      <w:sz w:val="20"/>
      <w:szCs w:val="20"/>
    </w:rPr>
  </w:style>
  <w:style w:type="paragraph" w:styleId="CommentSubject">
    <w:name w:val="annotation subject"/>
    <w:basedOn w:val="CommentText"/>
    <w:next w:val="CommentText"/>
    <w:link w:val="CommentSubjectChar"/>
    <w:uiPriority w:val="99"/>
    <w:semiHidden/>
    <w:unhideWhenUsed/>
    <w:rsid w:val="000406E4"/>
    <w:rPr>
      <w:b/>
      <w:bCs/>
    </w:rPr>
  </w:style>
  <w:style w:type="character" w:customStyle="1" w:styleId="CommentSubjectChar">
    <w:name w:val="Comment Subject Char"/>
    <w:basedOn w:val="CommentTextChar"/>
    <w:link w:val="CommentSubject"/>
    <w:uiPriority w:val="99"/>
    <w:semiHidden/>
    <w:rsid w:val="000406E4"/>
    <w:rPr>
      <w:b/>
      <w:bCs/>
      <w:sz w:val="20"/>
      <w:szCs w:val="20"/>
    </w:rPr>
  </w:style>
  <w:style w:type="character" w:styleId="Hyperlink">
    <w:name w:val="Hyperlink"/>
    <w:basedOn w:val="DefaultParagraphFont"/>
    <w:uiPriority w:val="99"/>
    <w:unhideWhenUsed/>
    <w:rsid w:val="00894806"/>
    <w:rPr>
      <w:color w:val="467886" w:themeColor="hyperlink"/>
      <w:u w:val="single"/>
    </w:rPr>
  </w:style>
  <w:style w:type="character" w:styleId="UnresolvedMention">
    <w:name w:val="Unresolved Mention"/>
    <w:basedOn w:val="DefaultParagraphFont"/>
    <w:uiPriority w:val="99"/>
    <w:semiHidden/>
    <w:unhideWhenUsed/>
    <w:rsid w:val="00894806"/>
    <w:rPr>
      <w:color w:val="605E5C"/>
      <w:shd w:val="clear" w:color="auto" w:fill="E1DFDD"/>
    </w:rPr>
  </w:style>
  <w:style w:type="table" w:styleId="GridTable5Dark-Accent1">
    <w:name w:val="Grid Table 5 Dark Accent 1"/>
    <w:basedOn w:val="TableNormal"/>
    <w:uiPriority w:val="50"/>
    <w:rsid w:val="00FC37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stTable3-Accent1">
    <w:name w:val="List Table 3 Accent 1"/>
    <w:basedOn w:val="TableNormal"/>
    <w:uiPriority w:val="48"/>
    <w:rsid w:val="00FC37A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160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895"/>
  </w:style>
  <w:style w:type="paragraph" w:customStyle="1" w:styleId="pf0">
    <w:name w:val="pf0"/>
    <w:basedOn w:val="Normal"/>
    <w:rsid w:val="00BC782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BC782F"/>
    <w:rPr>
      <w:rFonts w:ascii="Segoe UI" w:hAnsi="Segoe UI" w:cs="Segoe UI" w:hint="default"/>
      <w:b/>
      <w:bCs/>
      <w:color w:val="156082"/>
      <w:sz w:val="18"/>
      <w:szCs w:val="18"/>
    </w:rPr>
  </w:style>
  <w:style w:type="character" w:customStyle="1" w:styleId="cf21">
    <w:name w:val="cf21"/>
    <w:basedOn w:val="DefaultParagraphFont"/>
    <w:rsid w:val="00BC782F"/>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BC782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593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F8"/>
    <w:rPr>
      <w:sz w:val="20"/>
      <w:szCs w:val="20"/>
    </w:rPr>
  </w:style>
  <w:style w:type="character" w:styleId="FootnoteReference">
    <w:name w:val="footnote reference"/>
    <w:basedOn w:val="DefaultParagraphFont"/>
    <w:uiPriority w:val="99"/>
    <w:semiHidden/>
    <w:unhideWhenUsed/>
    <w:rsid w:val="005939F8"/>
    <w:rPr>
      <w:vertAlign w:val="superscript"/>
    </w:rPr>
  </w:style>
  <w:style w:type="paragraph" w:styleId="NoSpacing">
    <w:name w:val="No Spacing"/>
    <w:link w:val="NoSpacingChar"/>
    <w:uiPriority w:val="1"/>
    <w:qFormat/>
    <w:rsid w:val="00457AB1"/>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457AB1"/>
    <w:rPr>
      <w:kern w:val="0"/>
      <w:sz w:val="22"/>
      <w:szCs w:val="22"/>
      <w:lang w:val="en-US" w:eastAsia="en-US"/>
      <w14:ligatures w14:val="none"/>
    </w:rPr>
  </w:style>
  <w:style w:type="paragraph" w:customStyle="1" w:styleId="Default">
    <w:name w:val="Default"/>
    <w:rsid w:val="00457AB1"/>
    <w:pPr>
      <w:autoSpaceDE w:val="0"/>
      <w:autoSpaceDN w:val="0"/>
      <w:adjustRightInd w:val="0"/>
      <w:spacing w:after="0" w:line="240" w:lineRule="auto"/>
    </w:pPr>
    <w:rPr>
      <w:rFonts w:ascii="Calibri" w:eastAsia="Calibri" w:hAnsi="Calibri" w:cs="Calibri"/>
      <w:color w:val="000000"/>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7551">
      <w:bodyDiv w:val="1"/>
      <w:marLeft w:val="0"/>
      <w:marRight w:val="0"/>
      <w:marTop w:val="0"/>
      <w:marBottom w:val="0"/>
      <w:divBdr>
        <w:top w:val="none" w:sz="0" w:space="0" w:color="auto"/>
        <w:left w:val="none" w:sz="0" w:space="0" w:color="auto"/>
        <w:bottom w:val="none" w:sz="0" w:space="0" w:color="auto"/>
        <w:right w:val="none" w:sz="0" w:space="0" w:color="auto"/>
      </w:divBdr>
    </w:div>
    <w:div w:id="379551252">
      <w:bodyDiv w:val="1"/>
      <w:marLeft w:val="0"/>
      <w:marRight w:val="0"/>
      <w:marTop w:val="0"/>
      <w:marBottom w:val="0"/>
      <w:divBdr>
        <w:top w:val="none" w:sz="0" w:space="0" w:color="auto"/>
        <w:left w:val="none" w:sz="0" w:space="0" w:color="auto"/>
        <w:bottom w:val="none" w:sz="0" w:space="0" w:color="auto"/>
        <w:right w:val="none" w:sz="0" w:space="0" w:color="auto"/>
      </w:divBdr>
    </w:div>
    <w:div w:id="585457419">
      <w:bodyDiv w:val="1"/>
      <w:marLeft w:val="0"/>
      <w:marRight w:val="0"/>
      <w:marTop w:val="0"/>
      <w:marBottom w:val="0"/>
      <w:divBdr>
        <w:top w:val="none" w:sz="0" w:space="0" w:color="auto"/>
        <w:left w:val="none" w:sz="0" w:space="0" w:color="auto"/>
        <w:bottom w:val="none" w:sz="0" w:space="0" w:color="auto"/>
        <w:right w:val="none" w:sz="0" w:space="0" w:color="auto"/>
      </w:divBdr>
    </w:div>
    <w:div w:id="734164864">
      <w:bodyDiv w:val="1"/>
      <w:marLeft w:val="0"/>
      <w:marRight w:val="0"/>
      <w:marTop w:val="0"/>
      <w:marBottom w:val="0"/>
      <w:divBdr>
        <w:top w:val="none" w:sz="0" w:space="0" w:color="auto"/>
        <w:left w:val="none" w:sz="0" w:space="0" w:color="auto"/>
        <w:bottom w:val="none" w:sz="0" w:space="0" w:color="auto"/>
        <w:right w:val="none" w:sz="0" w:space="0" w:color="auto"/>
      </w:divBdr>
    </w:div>
    <w:div w:id="909273093">
      <w:bodyDiv w:val="1"/>
      <w:marLeft w:val="0"/>
      <w:marRight w:val="0"/>
      <w:marTop w:val="0"/>
      <w:marBottom w:val="0"/>
      <w:divBdr>
        <w:top w:val="none" w:sz="0" w:space="0" w:color="auto"/>
        <w:left w:val="none" w:sz="0" w:space="0" w:color="auto"/>
        <w:bottom w:val="none" w:sz="0" w:space="0" w:color="auto"/>
        <w:right w:val="none" w:sz="0" w:space="0" w:color="auto"/>
      </w:divBdr>
    </w:div>
    <w:div w:id="991635562">
      <w:bodyDiv w:val="1"/>
      <w:marLeft w:val="0"/>
      <w:marRight w:val="0"/>
      <w:marTop w:val="0"/>
      <w:marBottom w:val="0"/>
      <w:divBdr>
        <w:top w:val="none" w:sz="0" w:space="0" w:color="auto"/>
        <w:left w:val="none" w:sz="0" w:space="0" w:color="auto"/>
        <w:bottom w:val="none" w:sz="0" w:space="0" w:color="auto"/>
        <w:right w:val="none" w:sz="0" w:space="0" w:color="auto"/>
      </w:divBdr>
    </w:div>
    <w:div w:id="1191184193">
      <w:bodyDiv w:val="1"/>
      <w:marLeft w:val="0"/>
      <w:marRight w:val="0"/>
      <w:marTop w:val="0"/>
      <w:marBottom w:val="0"/>
      <w:divBdr>
        <w:top w:val="none" w:sz="0" w:space="0" w:color="auto"/>
        <w:left w:val="none" w:sz="0" w:space="0" w:color="auto"/>
        <w:bottom w:val="none" w:sz="0" w:space="0" w:color="auto"/>
        <w:right w:val="none" w:sz="0" w:space="0" w:color="auto"/>
      </w:divBdr>
    </w:div>
    <w:div w:id="1199732674">
      <w:bodyDiv w:val="1"/>
      <w:marLeft w:val="0"/>
      <w:marRight w:val="0"/>
      <w:marTop w:val="0"/>
      <w:marBottom w:val="0"/>
      <w:divBdr>
        <w:top w:val="none" w:sz="0" w:space="0" w:color="auto"/>
        <w:left w:val="none" w:sz="0" w:space="0" w:color="auto"/>
        <w:bottom w:val="none" w:sz="0" w:space="0" w:color="auto"/>
        <w:right w:val="none" w:sz="0" w:space="0" w:color="auto"/>
      </w:divBdr>
    </w:div>
    <w:div w:id="1322613281">
      <w:bodyDiv w:val="1"/>
      <w:marLeft w:val="0"/>
      <w:marRight w:val="0"/>
      <w:marTop w:val="0"/>
      <w:marBottom w:val="0"/>
      <w:divBdr>
        <w:top w:val="none" w:sz="0" w:space="0" w:color="auto"/>
        <w:left w:val="none" w:sz="0" w:space="0" w:color="auto"/>
        <w:bottom w:val="none" w:sz="0" w:space="0" w:color="auto"/>
        <w:right w:val="none" w:sz="0" w:space="0" w:color="auto"/>
      </w:divBdr>
    </w:div>
    <w:div w:id="1543057829">
      <w:bodyDiv w:val="1"/>
      <w:marLeft w:val="0"/>
      <w:marRight w:val="0"/>
      <w:marTop w:val="0"/>
      <w:marBottom w:val="0"/>
      <w:divBdr>
        <w:top w:val="none" w:sz="0" w:space="0" w:color="auto"/>
        <w:left w:val="none" w:sz="0" w:space="0" w:color="auto"/>
        <w:bottom w:val="none" w:sz="0" w:space="0" w:color="auto"/>
        <w:right w:val="none" w:sz="0" w:space="0" w:color="auto"/>
      </w:divBdr>
    </w:div>
    <w:div w:id="1788503167">
      <w:bodyDiv w:val="1"/>
      <w:marLeft w:val="0"/>
      <w:marRight w:val="0"/>
      <w:marTop w:val="0"/>
      <w:marBottom w:val="0"/>
      <w:divBdr>
        <w:top w:val="none" w:sz="0" w:space="0" w:color="auto"/>
        <w:left w:val="none" w:sz="0" w:space="0" w:color="auto"/>
        <w:bottom w:val="none" w:sz="0" w:space="0" w:color="auto"/>
        <w:right w:val="none" w:sz="0" w:space="0" w:color="auto"/>
      </w:divBdr>
    </w:div>
    <w:div w:id="1802993243">
      <w:bodyDiv w:val="1"/>
      <w:marLeft w:val="0"/>
      <w:marRight w:val="0"/>
      <w:marTop w:val="0"/>
      <w:marBottom w:val="0"/>
      <w:divBdr>
        <w:top w:val="none" w:sz="0" w:space="0" w:color="auto"/>
        <w:left w:val="none" w:sz="0" w:space="0" w:color="auto"/>
        <w:bottom w:val="none" w:sz="0" w:space="0" w:color="auto"/>
        <w:right w:val="none" w:sz="0" w:space="0" w:color="auto"/>
      </w:divBdr>
    </w:div>
    <w:div w:id="2038774353">
      <w:bodyDiv w:val="1"/>
      <w:marLeft w:val="0"/>
      <w:marRight w:val="0"/>
      <w:marTop w:val="0"/>
      <w:marBottom w:val="0"/>
      <w:divBdr>
        <w:top w:val="none" w:sz="0" w:space="0" w:color="auto"/>
        <w:left w:val="none" w:sz="0" w:space="0" w:color="auto"/>
        <w:bottom w:val="none" w:sz="0" w:space="0" w:color="auto"/>
        <w:right w:val="none" w:sz="0" w:space="0" w:color="auto"/>
      </w:divBdr>
    </w:div>
    <w:div w:id="20457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la.ac.uk/media/Media_778095_smxx.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fc.ac.uk/wp-content/uploads/uploadedFiles/Tackling_persistent_inequalities_togeth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F0B47F-512E-4185-A2D2-9F31DCA42544}">
  <ds:schemaRefs>
    <ds:schemaRef ds:uri="http://schemas.openxmlformats.org/officeDocument/2006/bibliography"/>
  </ds:schemaRefs>
</ds:datastoreItem>
</file>

<file path=customXml/itemProps2.xml><?xml version="1.0" encoding="utf-8"?>
<ds:datastoreItem xmlns:ds="http://schemas.openxmlformats.org/officeDocument/2006/customXml" ds:itemID="{D1E59959-E1FE-4934-A2C9-D89EECC2A2B7}"/>
</file>

<file path=customXml/itemProps3.xml><?xml version="1.0" encoding="utf-8"?>
<ds:datastoreItem xmlns:ds="http://schemas.openxmlformats.org/officeDocument/2006/customXml" ds:itemID="{9BAF7DEE-7787-4803-A092-0E5FF30874DF}"/>
</file>

<file path=customXml/itemProps4.xml><?xml version="1.0" encoding="utf-8"?>
<ds:datastoreItem xmlns:ds="http://schemas.openxmlformats.org/officeDocument/2006/customXml" ds:itemID="{E43A25F9-987E-4EFD-BB79-4B1F0F2A1CCD}"/>
</file>

<file path=docProps/app.xml><?xml version="1.0" encoding="utf-8"?>
<Properties xmlns="http://schemas.openxmlformats.org/officeDocument/2006/extended-properties" xmlns:vt="http://schemas.openxmlformats.org/officeDocument/2006/docPropsVTypes">
  <Template>Normal.dotm</Template>
  <TotalTime>2</TotalTime>
  <Pages>12</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Farrell</dc:creator>
  <cp:keywords/>
  <dc:description/>
  <cp:lastModifiedBy>Katie Farrell</cp:lastModifiedBy>
  <cp:revision>2</cp:revision>
  <cp:lastPrinted>2025-04-04T14:09:00Z</cp:lastPrinted>
  <dcterms:created xsi:type="dcterms:W3CDTF">2025-04-23T08:33:00Z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