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48AB" w14:textId="77777777" w:rsidR="000E1728" w:rsidRPr="000E1728" w:rsidRDefault="000E1728" w:rsidP="000E1728">
      <w:pPr>
        <w:spacing w:after="0" w:line="240" w:lineRule="auto"/>
        <w:rPr>
          <w:rFonts w:asciiTheme="minorBidi" w:hAnsiTheme="minorBidi"/>
          <w:b/>
          <w:bCs/>
          <w:sz w:val="22"/>
          <w:szCs w:val="22"/>
        </w:rPr>
      </w:pPr>
      <w:r w:rsidRPr="000E1728">
        <w:rPr>
          <w:rFonts w:asciiTheme="minorBidi" w:hAnsiTheme="minorBidi"/>
          <w:b/>
          <w:bCs/>
          <w:sz w:val="22"/>
          <w:szCs w:val="22"/>
        </w:rPr>
        <w:t>Guidance on completion of form</w:t>
      </w:r>
    </w:p>
    <w:p w14:paraId="24E08EC8" w14:textId="77777777" w:rsidR="000E1728" w:rsidRPr="000E1728" w:rsidRDefault="000E1728" w:rsidP="000E1728">
      <w:pPr>
        <w:spacing w:after="0" w:line="240" w:lineRule="auto"/>
        <w:rPr>
          <w:rFonts w:asciiTheme="minorBidi" w:hAnsiTheme="minorBidi"/>
          <w:sz w:val="22"/>
          <w:szCs w:val="22"/>
        </w:rPr>
      </w:pPr>
    </w:p>
    <w:p w14:paraId="55D24D25" w14:textId="77777777" w:rsidR="000E1728" w:rsidRPr="000E1728" w:rsidRDefault="000E1728" w:rsidP="000E1728">
      <w:pPr>
        <w:spacing w:after="0" w:line="240" w:lineRule="auto"/>
        <w:rPr>
          <w:rFonts w:asciiTheme="minorBidi" w:hAnsiTheme="minorBidi"/>
          <w:sz w:val="22"/>
          <w:szCs w:val="22"/>
        </w:rPr>
      </w:pPr>
      <w:r w:rsidRPr="000E1728">
        <w:rPr>
          <w:rFonts w:asciiTheme="minorBidi" w:hAnsiTheme="minorBidi"/>
          <w:sz w:val="22"/>
          <w:szCs w:val="22"/>
        </w:rPr>
        <w:t xml:space="preserve">Font and size should not be altered on the cover sheet (Arial, 12pt). Spacing should remain as single throughout and unjustified.  Text in brackets should be removed/typed over. Cover sheets should be concise and brief – no more than 2 pages.  </w:t>
      </w:r>
    </w:p>
    <w:p w14:paraId="7FE67102" w14:textId="77777777" w:rsidR="000E1728" w:rsidRPr="000E1728" w:rsidRDefault="000E1728" w:rsidP="000E1728">
      <w:pPr>
        <w:spacing w:after="0" w:line="240" w:lineRule="auto"/>
        <w:rPr>
          <w:rFonts w:asciiTheme="minorBidi" w:hAnsiTheme="minorBidi"/>
          <w:sz w:val="22"/>
          <w:szCs w:val="22"/>
        </w:rPr>
      </w:pPr>
    </w:p>
    <w:p w14:paraId="468A617F" w14:textId="77777777" w:rsidR="000E1728" w:rsidRPr="000E1728" w:rsidRDefault="000E1728" w:rsidP="000E1728">
      <w:pPr>
        <w:spacing w:after="0" w:line="240" w:lineRule="auto"/>
        <w:rPr>
          <w:rFonts w:asciiTheme="minorBidi" w:hAnsiTheme="minorBidi"/>
          <w:sz w:val="22"/>
          <w:szCs w:val="22"/>
        </w:rPr>
      </w:pPr>
    </w:p>
    <w:p w14:paraId="1D33A5B3" w14:textId="132D82C0" w:rsidR="000E1728" w:rsidRPr="000E1728" w:rsidRDefault="000E1728" w:rsidP="000E1728">
      <w:pPr>
        <w:spacing w:after="0" w:line="240" w:lineRule="auto"/>
        <w:ind w:left="3402" w:hanging="3402"/>
        <w:rPr>
          <w:rFonts w:asciiTheme="minorBidi" w:hAnsiTheme="minorBidi"/>
          <w:sz w:val="22"/>
          <w:szCs w:val="22"/>
        </w:rPr>
      </w:pPr>
      <w:r w:rsidRPr="000E1728">
        <w:rPr>
          <w:rFonts w:asciiTheme="minorBidi" w:hAnsiTheme="minorBidi"/>
          <w:b/>
          <w:bCs/>
          <w:sz w:val="22"/>
          <w:szCs w:val="22"/>
        </w:rPr>
        <w:t>Court Meeting:</w:t>
      </w:r>
      <w:r w:rsidRPr="000E1728">
        <w:rPr>
          <w:rFonts w:asciiTheme="minorBidi" w:hAnsiTheme="minorBidi"/>
          <w:b/>
          <w:bCs/>
          <w:sz w:val="22"/>
          <w:szCs w:val="22"/>
        </w:rPr>
        <w:tab/>
      </w:r>
      <w:r w:rsidRPr="000E1728">
        <w:rPr>
          <w:rFonts w:asciiTheme="minorBidi" w:hAnsiTheme="minorBidi"/>
          <w:sz w:val="22"/>
          <w:szCs w:val="22"/>
        </w:rPr>
        <w:t>Insert the date of the Court Meeting this is going to.</w:t>
      </w:r>
    </w:p>
    <w:p w14:paraId="616891BA" w14:textId="77777777" w:rsidR="000E1728" w:rsidRPr="000E1728" w:rsidRDefault="000E1728" w:rsidP="000E1728">
      <w:pPr>
        <w:spacing w:after="0" w:line="240" w:lineRule="auto"/>
        <w:ind w:left="3402" w:hanging="3402"/>
        <w:rPr>
          <w:rFonts w:asciiTheme="minorBidi" w:hAnsiTheme="minorBidi"/>
          <w:sz w:val="22"/>
          <w:szCs w:val="22"/>
        </w:rPr>
      </w:pPr>
    </w:p>
    <w:p w14:paraId="03AB7446" w14:textId="77777777" w:rsidR="000E1728" w:rsidRPr="000E1728" w:rsidRDefault="000E1728" w:rsidP="000E1728">
      <w:pPr>
        <w:spacing w:after="0" w:line="240" w:lineRule="auto"/>
        <w:ind w:left="3402" w:hanging="3402"/>
        <w:rPr>
          <w:rFonts w:asciiTheme="minorBidi" w:hAnsiTheme="minorBidi"/>
          <w:sz w:val="22"/>
          <w:szCs w:val="22"/>
        </w:rPr>
      </w:pPr>
      <w:r w:rsidRPr="000E1728">
        <w:rPr>
          <w:rFonts w:asciiTheme="minorBidi" w:hAnsiTheme="minorBidi"/>
          <w:b/>
          <w:bCs/>
          <w:sz w:val="22"/>
          <w:szCs w:val="22"/>
        </w:rPr>
        <w:t>Document Title:</w:t>
      </w:r>
      <w:r w:rsidRPr="000E1728">
        <w:rPr>
          <w:rFonts w:asciiTheme="minorBidi" w:hAnsiTheme="minorBidi"/>
          <w:b/>
          <w:bCs/>
          <w:sz w:val="22"/>
          <w:szCs w:val="22"/>
        </w:rPr>
        <w:tab/>
      </w:r>
      <w:r w:rsidRPr="000E1728">
        <w:rPr>
          <w:rFonts w:asciiTheme="minorBidi" w:hAnsiTheme="minorBidi"/>
          <w:sz w:val="22"/>
          <w:szCs w:val="22"/>
        </w:rPr>
        <w:t>Insert the title of the document.</w:t>
      </w:r>
    </w:p>
    <w:p w14:paraId="683D0016" w14:textId="77777777" w:rsidR="000E1728" w:rsidRPr="000E1728" w:rsidRDefault="000E1728" w:rsidP="000E1728">
      <w:pPr>
        <w:spacing w:after="0" w:line="240" w:lineRule="auto"/>
        <w:rPr>
          <w:rFonts w:asciiTheme="minorBidi" w:hAnsiTheme="minorBidi"/>
          <w:sz w:val="22"/>
          <w:szCs w:val="22"/>
        </w:rPr>
      </w:pPr>
    </w:p>
    <w:p w14:paraId="0739392B" w14:textId="77777777" w:rsidR="000E1728" w:rsidRPr="000E1728" w:rsidRDefault="000E1728" w:rsidP="000E1728">
      <w:pPr>
        <w:spacing w:after="0" w:line="240" w:lineRule="auto"/>
        <w:ind w:left="3402" w:hanging="3402"/>
        <w:rPr>
          <w:rFonts w:asciiTheme="minorBidi" w:hAnsiTheme="minorBidi"/>
          <w:sz w:val="22"/>
          <w:szCs w:val="22"/>
        </w:rPr>
      </w:pPr>
      <w:r w:rsidRPr="000E1728">
        <w:rPr>
          <w:rFonts w:asciiTheme="minorBidi" w:hAnsiTheme="minorBidi"/>
          <w:b/>
          <w:bCs/>
          <w:sz w:val="22"/>
          <w:szCs w:val="22"/>
        </w:rPr>
        <w:t>Responsible:</w:t>
      </w:r>
      <w:r w:rsidRPr="000E1728">
        <w:rPr>
          <w:rFonts w:asciiTheme="minorBidi" w:hAnsiTheme="minorBidi"/>
        </w:rPr>
        <w:tab/>
      </w:r>
      <w:r w:rsidRPr="000E1728">
        <w:rPr>
          <w:rFonts w:asciiTheme="minorBidi" w:hAnsiTheme="minorBidi"/>
          <w:sz w:val="22"/>
          <w:szCs w:val="22"/>
        </w:rPr>
        <w:t>Insert full name(s) and job title(s) of authors of the paper.  In the case of a report from the Committee, it should be the Chair.</w:t>
      </w:r>
    </w:p>
    <w:p w14:paraId="388339E7" w14:textId="77777777" w:rsidR="000E1728" w:rsidRPr="000E1728" w:rsidRDefault="000E1728" w:rsidP="000E1728">
      <w:pPr>
        <w:spacing w:after="0" w:line="240" w:lineRule="auto"/>
        <w:rPr>
          <w:rFonts w:asciiTheme="minorBidi" w:hAnsiTheme="minorBidi"/>
          <w:sz w:val="22"/>
          <w:szCs w:val="22"/>
        </w:rPr>
      </w:pPr>
    </w:p>
    <w:p w14:paraId="1D513514" w14:textId="77777777" w:rsidR="000E1728" w:rsidRPr="000E1728" w:rsidRDefault="000E1728" w:rsidP="000E1728">
      <w:pPr>
        <w:spacing w:after="0" w:line="240" w:lineRule="auto"/>
        <w:ind w:left="3402" w:hanging="3402"/>
        <w:rPr>
          <w:rFonts w:asciiTheme="minorBidi" w:hAnsiTheme="minorBidi"/>
          <w:sz w:val="22"/>
          <w:szCs w:val="22"/>
        </w:rPr>
      </w:pPr>
      <w:r w:rsidRPr="000E1728">
        <w:rPr>
          <w:rFonts w:asciiTheme="minorBidi" w:hAnsiTheme="minorBidi"/>
          <w:b/>
          <w:bCs/>
          <w:sz w:val="22"/>
          <w:szCs w:val="22"/>
        </w:rPr>
        <w:t>Executive Summary:</w:t>
      </w:r>
      <w:r w:rsidRPr="000E1728">
        <w:rPr>
          <w:rFonts w:asciiTheme="minorBidi" w:hAnsiTheme="minorBidi"/>
          <w:b/>
          <w:bCs/>
          <w:sz w:val="22"/>
          <w:szCs w:val="22"/>
        </w:rPr>
        <w:tab/>
      </w:r>
      <w:r w:rsidRPr="000E1728">
        <w:rPr>
          <w:rFonts w:asciiTheme="minorBidi" w:hAnsiTheme="minorBidi"/>
          <w:sz w:val="22"/>
          <w:szCs w:val="22"/>
        </w:rPr>
        <w:t>The executive summary should be comprehensive enough to allow members to fully engage with the topic and emphasise the key information that Court needs to consider. It should be tailored for a lay member audience, clearly defining acronyms and explaining higher education terminology. Additionally, if questions arise, the summary must provide sufficient context to facilitate meaningful discussion.</w:t>
      </w:r>
    </w:p>
    <w:p w14:paraId="47E1D50F" w14:textId="77777777" w:rsidR="000E1728" w:rsidRPr="000E1728" w:rsidRDefault="000E1728" w:rsidP="000E1728">
      <w:pPr>
        <w:spacing w:after="0" w:line="240" w:lineRule="auto"/>
        <w:rPr>
          <w:rFonts w:asciiTheme="minorBidi" w:hAnsiTheme="minorBidi"/>
          <w:sz w:val="22"/>
          <w:szCs w:val="22"/>
        </w:rPr>
      </w:pPr>
    </w:p>
    <w:p w14:paraId="3DB771E6" w14:textId="77777777" w:rsidR="000E1728" w:rsidRPr="000E1728" w:rsidRDefault="000E1728" w:rsidP="000E1728">
      <w:pPr>
        <w:spacing w:after="0" w:line="240" w:lineRule="auto"/>
        <w:ind w:left="3402" w:hanging="3402"/>
        <w:rPr>
          <w:rFonts w:asciiTheme="minorBidi" w:hAnsiTheme="minorBidi"/>
          <w:b/>
          <w:bCs/>
          <w:sz w:val="22"/>
          <w:szCs w:val="22"/>
        </w:rPr>
      </w:pPr>
      <w:r w:rsidRPr="000E1728">
        <w:rPr>
          <w:rFonts w:asciiTheme="minorBidi" w:hAnsiTheme="minorBidi"/>
          <w:b/>
          <w:bCs/>
          <w:sz w:val="22"/>
          <w:szCs w:val="22"/>
        </w:rPr>
        <w:t>Action Required:</w:t>
      </w:r>
      <w:r w:rsidRPr="000E1728">
        <w:rPr>
          <w:rFonts w:asciiTheme="minorBidi" w:hAnsiTheme="minorBidi"/>
          <w:b/>
          <w:bCs/>
          <w:sz w:val="22"/>
          <w:szCs w:val="22"/>
        </w:rPr>
        <w:tab/>
        <w:t>Clearly and concisely state here what Court is being asked to do. Provide any specific questions for members to consider.</w:t>
      </w:r>
    </w:p>
    <w:p w14:paraId="4199490A" w14:textId="77777777" w:rsidR="000E1728" w:rsidRPr="000E1728" w:rsidRDefault="000E1728" w:rsidP="000E1728">
      <w:pPr>
        <w:spacing w:after="0" w:line="240" w:lineRule="auto"/>
        <w:ind w:left="3402" w:hanging="3402"/>
        <w:rPr>
          <w:rFonts w:asciiTheme="minorBidi" w:hAnsiTheme="minorBidi"/>
          <w:b/>
          <w:bCs/>
          <w:sz w:val="22"/>
          <w:szCs w:val="22"/>
        </w:rPr>
      </w:pPr>
    </w:p>
    <w:p w14:paraId="3093DF39" w14:textId="77777777" w:rsidR="000E1728" w:rsidRPr="000E1728" w:rsidRDefault="000E1728" w:rsidP="000E1728">
      <w:pPr>
        <w:spacing w:after="0" w:line="240" w:lineRule="auto"/>
        <w:ind w:left="3402"/>
        <w:rPr>
          <w:rFonts w:asciiTheme="minorBidi" w:hAnsiTheme="minorBidi"/>
          <w:sz w:val="22"/>
          <w:szCs w:val="22"/>
        </w:rPr>
      </w:pPr>
      <w:r w:rsidRPr="000E1728">
        <w:rPr>
          <w:rFonts w:asciiTheme="minorBidi" w:hAnsiTheme="minorBidi"/>
          <w:sz w:val="22"/>
          <w:szCs w:val="22"/>
          <w:u w:val="single"/>
        </w:rPr>
        <w:t xml:space="preserve">Formally Approve </w:t>
      </w:r>
      <w:r w:rsidRPr="000E1728">
        <w:rPr>
          <w:rFonts w:asciiTheme="minorBidi" w:hAnsiTheme="minorBidi"/>
          <w:sz w:val="22"/>
          <w:szCs w:val="22"/>
        </w:rPr>
        <w:t>- This section includes matters where Court is expected to take action based on its Statement of Primary Responsibilities and Scheme of Delegation. These requests include seeking approval for new recommendations or items that have been discussed previously but require final agreement. There may be some overlap with the next category.</w:t>
      </w:r>
    </w:p>
    <w:p w14:paraId="33E75856" w14:textId="77777777" w:rsidR="000E1728" w:rsidRPr="000E1728" w:rsidRDefault="000E1728" w:rsidP="000E1728">
      <w:pPr>
        <w:spacing w:after="0" w:line="240" w:lineRule="auto"/>
        <w:ind w:left="3402" w:hanging="3402"/>
        <w:rPr>
          <w:rFonts w:asciiTheme="minorBidi" w:hAnsiTheme="minorBidi"/>
          <w:sz w:val="22"/>
          <w:szCs w:val="22"/>
        </w:rPr>
      </w:pPr>
    </w:p>
    <w:p w14:paraId="4D34B1C9" w14:textId="77777777" w:rsidR="000E1728" w:rsidRPr="000E1728" w:rsidRDefault="000E1728" w:rsidP="000E1728">
      <w:pPr>
        <w:spacing w:after="0" w:line="240" w:lineRule="auto"/>
        <w:ind w:left="3402"/>
        <w:rPr>
          <w:rFonts w:asciiTheme="minorBidi" w:hAnsiTheme="minorBidi"/>
          <w:sz w:val="22"/>
          <w:szCs w:val="22"/>
        </w:rPr>
      </w:pPr>
      <w:r w:rsidRPr="000E1728">
        <w:rPr>
          <w:rFonts w:asciiTheme="minorBidi" w:hAnsiTheme="minorBidi"/>
          <w:sz w:val="22"/>
          <w:szCs w:val="22"/>
          <w:u w:val="single"/>
        </w:rPr>
        <w:t>For Discussion</w:t>
      </w:r>
      <w:r w:rsidRPr="000E1728">
        <w:rPr>
          <w:rFonts w:asciiTheme="minorBidi" w:hAnsiTheme="minorBidi"/>
          <w:sz w:val="22"/>
          <w:szCs w:val="22"/>
        </w:rPr>
        <w:t xml:space="preserve"> - These are matters that Court should focus on and may need to comment on for other bodies. They require adequate time for thorough discussion, especially if Court is expected to feedback on specific points. </w:t>
      </w:r>
    </w:p>
    <w:p w14:paraId="79953DFD" w14:textId="77777777" w:rsidR="000E1728" w:rsidRPr="000E1728" w:rsidRDefault="000E1728" w:rsidP="000E1728">
      <w:pPr>
        <w:spacing w:after="0" w:line="240" w:lineRule="auto"/>
        <w:rPr>
          <w:rFonts w:asciiTheme="minorBidi" w:hAnsiTheme="minorBidi"/>
          <w:sz w:val="22"/>
          <w:szCs w:val="22"/>
        </w:rPr>
      </w:pPr>
    </w:p>
    <w:p w14:paraId="6D78082C" w14:textId="77777777" w:rsidR="000E1728" w:rsidRPr="000E1728" w:rsidRDefault="000E1728" w:rsidP="000E1728">
      <w:pPr>
        <w:spacing w:after="0" w:line="240" w:lineRule="auto"/>
        <w:ind w:left="3402"/>
        <w:rPr>
          <w:rFonts w:asciiTheme="minorBidi" w:hAnsiTheme="minorBidi"/>
          <w:sz w:val="22"/>
          <w:szCs w:val="22"/>
        </w:rPr>
      </w:pPr>
      <w:r w:rsidRPr="000E1728">
        <w:rPr>
          <w:rFonts w:asciiTheme="minorBidi" w:hAnsiTheme="minorBidi"/>
          <w:sz w:val="22"/>
          <w:szCs w:val="22"/>
          <w:u w:val="single"/>
        </w:rPr>
        <w:t xml:space="preserve">To Note/For Information </w:t>
      </w:r>
      <w:r w:rsidRPr="000E1728">
        <w:rPr>
          <w:rFonts w:asciiTheme="minorBidi" w:hAnsiTheme="minorBidi"/>
          <w:sz w:val="22"/>
          <w:szCs w:val="22"/>
        </w:rPr>
        <w:t>- These are relevant matters that are unlikely to require extensive discussion. They include regular updates from reporting committees, which can be assumed to need no discussion unless the Chair or Clerk is informed otherwise in advance. If any items require approval, this must be noted on the cover sheet.</w:t>
      </w:r>
    </w:p>
    <w:p w14:paraId="5EB5738D" w14:textId="77777777" w:rsidR="000E1728" w:rsidRPr="000E1728" w:rsidRDefault="000E1728" w:rsidP="000E1728">
      <w:pPr>
        <w:spacing w:after="0" w:line="240" w:lineRule="auto"/>
        <w:rPr>
          <w:rFonts w:asciiTheme="minorBidi" w:hAnsiTheme="minorBidi"/>
          <w:sz w:val="22"/>
          <w:szCs w:val="22"/>
        </w:rPr>
      </w:pPr>
    </w:p>
    <w:p w14:paraId="721ECF52" w14:textId="77777777" w:rsidR="000E1728" w:rsidRPr="000E1728" w:rsidRDefault="000E1728" w:rsidP="000E1728">
      <w:pPr>
        <w:spacing w:after="0" w:line="240" w:lineRule="auto"/>
        <w:jc w:val="both"/>
        <w:rPr>
          <w:rFonts w:asciiTheme="minorBidi" w:hAnsiTheme="minorBidi"/>
          <w:b/>
          <w:bCs/>
          <w:sz w:val="22"/>
          <w:szCs w:val="22"/>
        </w:rPr>
      </w:pPr>
      <w:r w:rsidRPr="000E1728">
        <w:rPr>
          <w:rFonts w:asciiTheme="minorBidi" w:hAnsiTheme="minorBidi"/>
          <w:b/>
          <w:bCs/>
          <w:sz w:val="22"/>
          <w:szCs w:val="22"/>
        </w:rPr>
        <w:t>If applicable, the cover sheet should also include the following information.  N/A can be entered.</w:t>
      </w:r>
    </w:p>
    <w:p w14:paraId="23047A99" w14:textId="77777777" w:rsidR="000E1728" w:rsidRPr="000E1728" w:rsidRDefault="000E1728" w:rsidP="000E1728">
      <w:pPr>
        <w:spacing w:after="0" w:line="240" w:lineRule="auto"/>
        <w:ind w:left="3402" w:hanging="3294"/>
        <w:jc w:val="both"/>
        <w:rPr>
          <w:rFonts w:asciiTheme="minorBidi" w:hAnsiTheme="minorBidi"/>
          <w:sz w:val="22"/>
          <w:szCs w:val="22"/>
        </w:rPr>
      </w:pPr>
    </w:p>
    <w:p w14:paraId="7DDFF228" w14:textId="77777777" w:rsidR="000E1728" w:rsidRPr="000E1728" w:rsidRDefault="000E1728" w:rsidP="000E1728">
      <w:pPr>
        <w:tabs>
          <w:tab w:val="left" w:pos="3195"/>
        </w:tabs>
        <w:spacing w:after="0" w:line="240" w:lineRule="auto"/>
        <w:ind w:left="3402" w:hanging="3402"/>
        <w:rPr>
          <w:rFonts w:asciiTheme="minorBidi" w:hAnsiTheme="minorBidi"/>
          <w:sz w:val="22"/>
          <w:szCs w:val="22"/>
        </w:rPr>
      </w:pPr>
      <w:r w:rsidRPr="000E1728">
        <w:rPr>
          <w:rFonts w:asciiTheme="minorBidi" w:hAnsiTheme="minorBidi"/>
          <w:b/>
          <w:bCs/>
          <w:sz w:val="22"/>
          <w:szCs w:val="22"/>
        </w:rPr>
        <w:t>Resource Implications:</w:t>
      </w:r>
      <w:r w:rsidRPr="000E1728">
        <w:rPr>
          <w:rFonts w:asciiTheme="minorBidi" w:hAnsiTheme="minorBidi"/>
          <w:b/>
          <w:bCs/>
          <w:sz w:val="22"/>
          <w:szCs w:val="22"/>
        </w:rPr>
        <w:tab/>
      </w:r>
      <w:r w:rsidRPr="000E1728">
        <w:rPr>
          <w:rFonts w:asciiTheme="minorBidi" w:hAnsiTheme="minorBidi"/>
          <w:b/>
          <w:bCs/>
          <w:sz w:val="22"/>
          <w:szCs w:val="22"/>
        </w:rPr>
        <w:tab/>
      </w:r>
      <w:r w:rsidRPr="000E1728">
        <w:rPr>
          <w:rFonts w:asciiTheme="minorBidi" w:hAnsiTheme="minorBidi"/>
          <w:sz w:val="22"/>
          <w:szCs w:val="22"/>
        </w:rPr>
        <w:t>What are the resource implications (including financial considerations) of doing/not doing.  If the paper includes a funding request, please state the source of funding.</w:t>
      </w:r>
    </w:p>
    <w:p w14:paraId="1359D9AD" w14:textId="77777777" w:rsidR="000E1728" w:rsidRPr="000E1728" w:rsidRDefault="000E1728" w:rsidP="000E1728">
      <w:pPr>
        <w:spacing w:after="0" w:line="240" w:lineRule="auto"/>
        <w:rPr>
          <w:rFonts w:asciiTheme="minorBidi" w:hAnsiTheme="minorBidi"/>
          <w:b/>
          <w:bCs/>
          <w:sz w:val="22"/>
          <w:szCs w:val="22"/>
        </w:rPr>
      </w:pPr>
    </w:p>
    <w:p w14:paraId="7900801C" w14:textId="77777777" w:rsidR="000E1728" w:rsidRPr="000E1728" w:rsidRDefault="000E1728" w:rsidP="000E1728">
      <w:pPr>
        <w:spacing w:after="0" w:line="240" w:lineRule="auto"/>
        <w:ind w:left="3402" w:hanging="3402"/>
        <w:rPr>
          <w:rFonts w:asciiTheme="minorBidi" w:hAnsiTheme="minorBidi"/>
          <w:sz w:val="22"/>
          <w:szCs w:val="22"/>
        </w:rPr>
      </w:pPr>
      <w:r w:rsidRPr="000E1728">
        <w:rPr>
          <w:rFonts w:asciiTheme="minorBidi" w:hAnsiTheme="minorBidi"/>
          <w:b/>
          <w:bCs/>
          <w:sz w:val="22"/>
          <w:szCs w:val="22"/>
        </w:rPr>
        <w:t>Risk and Assurance:</w:t>
      </w:r>
      <w:r w:rsidRPr="000E1728">
        <w:rPr>
          <w:rFonts w:asciiTheme="minorBidi" w:hAnsiTheme="minorBidi"/>
          <w:b/>
          <w:bCs/>
          <w:sz w:val="22"/>
          <w:szCs w:val="22"/>
        </w:rPr>
        <w:tab/>
      </w:r>
      <w:r w:rsidRPr="000E1728">
        <w:rPr>
          <w:rFonts w:asciiTheme="minorBidi" w:hAnsiTheme="minorBidi"/>
          <w:sz w:val="22"/>
          <w:szCs w:val="22"/>
        </w:rPr>
        <w:t>If the purpose of this paper is to provide assurance regarding compliance requirements, state this explicitly. Additionally:</w:t>
      </w:r>
    </w:p>
    <w:p w14:paraId="233FB034" w14:textId="77777777" w:rsidR="000E1728" w:rsidRPr="000E1728" w:rsidRDefault="000E1728" w:rsidP="000E1728">
      <w:pPr>
        <w:spacing w:after="0" w:line="240" w:lineRule="auto"/>
        <w:ind w:left="3402" w:hanging="3402"/>
        <w:rPr>
          <w:rFonts w:asciiTheme="minorBidi" w:hAnsiTheme="minorBidi"/>
          <w:sz w:val="22"/>
          <w:szCs w:val="22"/>
        </w:rPr>
      </w:pPr>
    </w:p>
    <w:p w14:paraId="5D578272" w14:textId="77777777" w:rsidR="000E1728" w:rsidRPr="000E1728" w:rsidRDefault="000E1728" w:rsidP="000E1728">
      <w:pPr>
        <w:pStyle w:val="ListParagraph"/>
        <w:numPr>
          <w:ilvl w:val="4"/>
          <w:numId w:val="1"/>
        </w:numPr>
        <w:spacing w:after="0" w:line="240" w:lineRule="auto"/>
        <w:ind w:left="3686" w:hanging="284"/>
        <w:rPr>
          <w:rFonts w:asciiTheme="minorBidi" w:hAnsiTheme="minorBidi"/>
          <w:sz w:val="22"/>
          <w:szCs w:val="22"/>
        </w:rPr>
      </w:pPr>
      <w:r w:rsidRPr="000E1728">
        <w:rPr>
          <w:rFonts w:asciiTheme="minorBidi" w:hAnsiTheme="minorBidi"/>
          <w:sz w:val="22"/>
          <w:szCs w:val="22"/>
        </w:rPr>
        <w:t>Highlight any links to risks on other registers (e.g., operational) and their relevance.</w:t>
      </w:r>
    </w:p>
    <w:p w14:paraId="01343B2A" w14:textId="77777777" w:rsidR="000E1728" w:rsidRPr="000E1728" w:rsidRDefault="000E1728" w:rsidP="000E1728">
      <w:pPr>
        <w:pStyle w:val="ListParagraph"/>
        <w:numPr>
          <w:ilvl w:val="4"/>
          <w:numId w:val="1"/>
        </w:numPr>
        <w:spacing w:after="0" w:line="240" w:lineRule="auto"/>
        <w:ind w:left="3686" w:hanging="284"/>
        <w:rPr>
          <w:rFonts w:asciiTheme="minorBidi" w:hAnsiTheme="minorBidi"/>
          <w:sz w:val="22"/>
          <w:szCs w:val="22"/>
        </w:rPr>
      </w:pPr>
      <w:r w:rsidRPr="000E1728">
        <w:rPr>
          <w:rFonts w:asciiTheme="minorBidi" w:hAnsiTheme="minorBidi"/>
          <w:sz w:val="22"/>
          <w:szCs w:val="22"/>
        </w:rPr>
        <w:t>Indicate whether this paper introduces any new risks or opportunities for the University to consider.</w:t>
      </w:r>
    </w:p>
    <w:p w14:paraId="4BCE7560" w14:textId="77777777" w:rsidR="000E1728" w:rsidRPr="000E1728" w:rsidRDefault="000E1728" w:rsidP="000E1728">
      <w:pPr>
        <w:pStyle w:val="ListParagraph"/>
        <w:numPr>
          <w:ilvl w:val="4"/>
          <w:numId w:val="1"/>
        </w:numPr>
        <w:spacing w:after="0" w:line="240" w:lineRule="auto"/>
        <w:ind w:left="3686" w:hanging="284"/>
        <w:rPr>
          <w:rFonts w:asciiTheme="minorBidi" w:hAnsiTheme="minorBidi"/>
          <w:sz w:val="22"/>
          <w:szCs w:val="22"/>
        </w:rPr>
      </w:pPr>
      <w:r w:rsidRPr="000E1728">
        <w:rPr>
          <w:rFonts w:asciiTheme="minorBidi" w:hAnsiTheme="minorBidi"/>
          <w:sz w:val="22"/>
          <w:szCs w:val="22"/>
        </w:rPr>
        <w:t>What are the potential risks if the proposed actions in this paper are not approved?</w:t>
      </w:r>
    </w:p>
    <w:p w14:paraId="4A79C9C7" w14:textId="77777777" w:rsidR="000E1728" w:rsidRPr="000E1728" w:rsidRDefault="000E1728" w:rsidP="000E1728">
      <w:pPr>
        <w:spacing w:after="0" w:line="240" w:lineRule="auto"/>
        <w:rPr>
          <w:rFonts w:asciiTheme="minorBidi" w:hAnsiTheme="minorBidi"/>
          <w:b/>
          <w:bCs/>
          <w:sz w:val="22"/>
          <w:szCs w:val="22"/>
        </w:rPr>
      </w:pPr>
    </w:p>
    <w:p w14:paraId="3D3EBDCC" w14:textId="77777777" w:rsidR="000E1728" w:rsidRPr="000E1728" w:rsidRDefault="000E1728" w:rsidP="000E1728">
      <w:pPr>
        <w:tabs>
          <w:tab w:val="left" w:pos="3195"/>
        </w:tabs>
        <w:spacing w:after="0" w:line="240" w:lineRule="auto"/>
        <w:ind w:left="3402" w:hanging="3402"/>
        <w:rPr>
          <w:rFonts w:asciiTheme="minorBidi" w:hAnsiTheme="minorBidi"/>
          <w:sz w:val="22"/>
          <w:szCs w:val="22"/>
        </w:rPr>
      </w:pPr>
      <w:r w:rsidRPr="000E1728">
        <w:rPr>
          <w:rFonts w:asciiTheme="minorBidi" w:hAnsiTheme="minorBidi"/>
          <w:b/>
          <w:bCs/>
          <w:sz w:val="22"/>
          <w:szCs w:val="22"/>
        </w:rPr>
        <w:t>University Strategy:</w:t>
      </w:r>
      <w:r w:rsidRPr="000E1728">
        <w:rPr>
          <w:rFonts w:asciiTheme="minorBidi" w:hAnsiTheme="minorBidi"/>
        </w:rPr>
        <w:tab/>
      </w:r>
      <w:r w:rsidRPr="000E1728">
        <w:rPr>
          <w:rFonts w:asciiTheme="minorBidi" w:hAnsiTheme="minorBidi"/>
        </w:rPr>
        <w:tab/>
      </w:r>
      <w:r w:rsidRPr="000E1728">
        <w:rPr>
          <w:rFonts w:asciiTheme="minorBidi" w:hAnsiTheme="minorBidi"/>
          <w:sz w:val="22"/>
          <w:szCs w:val="22"/>
        </w:rPr>
        <w:t xml:space="preserve">Indicate which of the University’s </w:t>
      </w:r>
      <w:hyperlink r:id="rId5" w:history="1">
        <w:r w:rsidRPr="000E1728">
          <w:rPr>
            <w:rStyle w:val="Hyperlink"/>
            <w:rFonts w:asciiTheme="minorBidi" w:hAnsiTheme="minorBidi"/>
            <w:sz w:val="22"/>
            <w:szCs w:val="22"/>
          </w:rPr>
          <w:t xml:space="preserve">strategies </w:t>
        </w:r>
      </w:hyperlink>
      <w:r w:rsidRPr="000E1728">
        <w:rPr>
          <w:rFonts w:asciiTheme="minorBidi" w:hAnsiTheme="minorBidi"/>
          <w:sz w:val="22"/>
          <w:szCs w:val="22"/>
        </w:rPr>
        <w:t>the paper is addressing.</w:t>
      </w:r>
      <w:r w:rsidRPr="000E1728">
        <w:rPr>
          <w:rFonts w:asciiTheme="minorBidi" w:hAnsiTheme="minorBidi"/>
          <w:color w:val="242424"/>
          <w:sz w:val="22"/>
          <w:szCs w:val="22"/>
          <w:shd w:val="clear" w:color="auto" w:fill="FFFFFF"/>
        </w:rPr>
        <w:t xml:space="preserve"> </w:t>
      </w:r>
      <w:r w:rsidRPr="000E1728">
        <w:rPr>
          <w:rFonts w:asciiTheme="minorBidi" w:hAnsiTheme="minorBidi"/>
          <w:sz w:val="22"/>
          <w:szCs w:val="22"/>
        </w:rPr>
        <w:t xml:space="preserve">  </w:t>
      </w:r>
    </w:p>
    <w:p w14:paraId="2B04012B" w14:textId="77777777" w:rsidR="000E1728" w:rsidRPr="000E1728" w:rsidRDefault="000E1728" w:rsidP="000E1728">
      <w:pPr>
        <w:tabs>
          <w:tab w:val="left" w:pos="3195"/>
        </w:tabs>
        <w:spacing w:after="0" w:line="240" w:lineRule="auto"/>
        <w:ind w:left="3402" w:hanging="3402"/>
        <w:rPr>
          <w:rFonts w:asciiTheme="minorBidi" w:hAnsiTheme="minorBidi"/>
          <w:sz w:val="22"/>
          <w:szCs w:val="22"/>
        </w:rPr>
      </w:pPr>
    </w:p>
    <w:p w14:paraId="53ADA217" w14:textId="5744EF64" w:rsidR="000E1728" w:rsidRPr="000E1728" w:rsidRDefault="000E1728" w:rsidP="000E1728">
      <w:pPr>
        <w:spacing w:after="0" w:line="240" w:lineRule="auto"/>
        <w:ind w:left="3402" w:hanging="3402"/>
        <w:rPr>
          <w:rFonts w:asciiTheme="minorBidi" w:hAnsiTheme="minorBidi"/>
          <w:sz w:val="22"/>
          <w:szCs w:val="22"/>
        </w:rPr>
      </w:pPr>
      <w:r w:rsidRPr="000E1728">
        <w:rPr>
          <w:rFonts w:asciiTheme="minorBidi" w:hAnsiTheme="minorBidi"/>
          <w:b/>
          <w:bCs/>
          <w:sz w:val="22"/>
          <w:szCs w:val="22"/>
        </w:rPr>
        <w:lastRenderedPageBreak/>
        <w:t>Sustainability Implications/</w:t>
      </w:r>
      <w:r w:rsidRPr="000E1728">
        <w:rPr>
          <w:rFonts w:asciiTheme="minorBidi" w:hAnsiTheme="minorBidi"/>
          <w:b/>
          <w:bCs/>
          <w:sz w:val="22"/>
          <w:szCs w:val="22"/>
        </w:rPr>
        <w:tab/>
      </w:r>
      <w:r w:rsidRPr="000E1728">
        <w:rPr>
          <w:rFonts w:asciiTheme="minorBidi" w:hAnsiTheme="minorBidi"/>
          <w:sz w:val="22"/>
          <w:szCs w:val="22"/>
        </w:rPr>
        <w:t>Does the proposal have any implications for Glasgow</w:t>
      </w:r>
      <w:r w:rsidRPr="000E1728">
        <w:rPr>
          <w:rFonts w:asciiTheme="minorBidi" w:hAnsiTheme="minorBidi"/>
          <w:sz w:val="22"/>
          <w:szCs w:val="22"/>
        </w:rPr>
        <w:t xml:space="preserve"> </w:t>
      </w:r>
      <w:r w:rsidRPr="000E1728">
        <w:rPr>
          <w:rFonts w:asciiTheme="minorBidi" w:hAnsiTheme="minorBidi"/>
          <w:sz w:val="22"/>
          <w:szCs w:val="22"/>
        </w:rPr>
        <w:t>Green?</w:t>
      </w:r>
    </w:p>
    <w:p w14:paraId="47303388" w14:textId="7165DE5E" w:rsidR="000E1728" w:rsidRPr="000E1728" w:rsidRDefault="000E1728" w:rsidP="000E1728">
      <w:pPr>
        <w:spacing w:after="0" w:line="240" w:lineRule="auto"/>
        <w:ind w:left="3402" w:hanging="3402"/>
        <w:rPr>
          <w:rFonts w:asciiTheme="minorBidi" w:hAnsiTheme="minorBidi"/>
          <w:b/>
          <w:bCs/>
          <w:sz w:val="22"/>
          <w:szCs w:val="22"/>
        </w:rPr>
      </w:pPr>
      <w:r w:rsidRPr="000E1728">
        <w:rPr>
          <w:rFonts w:asciiTheme="minorBidi" w:hAnsiTheme="minorBidi"/>
          <w:b/>
          <w:bCs/>
          <w:sz w:val="22"/>
          <w:szCs w:val="22"/>
        </w:rPr>
        <w:t>Assessment:</w:t>
      </w:r>
      <w:r w:rsidRPr="000E1728">
        <w:rPr>
          <w:rFonts w:asciiTheme="minorBidi" w:hAnsiTheme="minorBidi"/>
          <w:sz w:val="22"/>
          <w:szCs w:val="22"/>
        </w:rPr>
        <w:t xml:space="preserve"> </w:t>
      </w:r>
      <w:r w:rsidRPr="000E1728">
        <w:rPr>
          <w:rFonts w:asciiTheme="minorBidi" w:hAnsiTheme="minorBidi"/>
          <w:sz w:val="22"/>
          <w:szCs w:val="22"/>
        </w:rPr>
        <w:tab/>
      </w:r>
    </w:p>
    <w:p w14:paraId="1F35C6D1" w14:textId="77777777" w:rsidR="000E1728" w:rsidRPr="000E1728" w:rsidRDefault="000E1728" w:rsidP="000E1728">
      <w:pPr>
        <w:tabs>
          <w:tab w:val="left" w:pos="3195"/>
        </w:tabs>
        <w:spacing w:after="0" w:line="240" w:lineRule="auto"/>
        <w:ind w:left="3402" w:hanging="3402"/>
        <w:rPr>
          <w:rFonts w:asciiTheme="minorBidi" w:hAnsiTheme="minorBidi"/>
          <w:color w:val="FF0000"/>
          <w:sz w:val="22"/>
          <w:szCs w:val="22"/>
        </w:rPr>
      </w:pPr>
      <w:r w:rsidRPr="000E1728">
        <w:rPr>
          <w:rFonts w:asciiTheme="minorBidi" w:hAnsiTheme="minorBidi"/>
          <w:b/>
          <w:bCs/>
          <w:sz w:val="22"/>
          <w:szCs w:val="22"/>
        </w:rPr>
        <w:tab/>
      </w:r>
    </w:p>
    <w:p w14:paraId="6D1914AB" w14:textId="77777777" w:rsidR="000E1728" w:rsidRPr="000E1728" w:rsidRDefault="000E1728" w:rsidP="000E1728">
      <w:pPr>
        <w:tabs>
          <w:tab w:val="left" w:pos="3195"/>
        </w:tabs>
        <w:spacing w:after="0" w:line="240" w:lineRule="auto"/>
        <w:ind w:left="3402" w:hanging="3402"/>
        <w:rPr>
          <w:rFonts w:asciiTheme="minorBidi" w:hAnsiTheme="minorBidi"/>
          <w:sz w:val="22"/>
          <w:szCs w:val="22"/>
        </w:rPr>
      </w:pPr>
      <w:r w:rsidRPr="000E1728">
        <w:rPr>
          <w:rFonts w:asciiTheme="minorBidi" w:hAnsiTheme="minorBidi"/>
          <w:b/>
          <w:bCs/>
          <w:sz w:val="22"/>
          <w:szCs w:val="22"/>
        </w:rPr>
        <w:t>Student Experience:</w:t>
      </w:r>
      <w:r w:rsidRPr="000E1728">
        <w:rPr>
          <w:rFonts w:asciiTheme="minorBidi" w:hAnsiTheme="minorBidi"/>
          <w:sz w:val="22"/>
          <w:szCs w:val="22"/>
        </w:rPr>
        <w:tab/>
      </w:r>
      <w:r w:rsidRPr="000E1728">
        <w:rPr>
          <w:rFonts w:asciiTheme="minorBidi" w:hAnsiTheme="minorBidi"/>
          <w:sz w:val="22"/>
          <w:szCs w:val="22"/>
        </w:rPr>
        <w:tab/>
        <w:t>How will it support and/or enhance the student experience/student life?</w:t>
      </w:r>
    </w:p>
    <w:p w14:paraId="763ACEAB" w14:textId="77777777" w:rsidR="000E1728" w:rsidRPr="000E1728" w:rsidRDefault="000E1728" w:rsidP="000E1728">
      <w:pPr>
        <w:spacing w:after="0" w:line="240" w:lineRule="auto"/>
        <w:ind w:left="3402" w:hanging="3402"/>
        <w:rPr>
          <w:rFonts w:asciiTheme="minorBidi" w:hAnsiTheme="minorBidi"/>
          <w:sz w:val="22"/>
          <w:szCs w:val="22"/>
        </w:rPr>
      </w:pPr>
    </w:p>
    <w:p w14:paraId="49175B59" w14:textId="77777777" w:rsidR="000E1728" w:rsidRPr="000E1728" w:rsidRDefault="000E1728" w:rsidP="000E1728">
      <w:pPr>
        <w:spacing w:after="0" w:line="240" w:lineRule="auto"/>
        <w:ind w:left="3402" w:hanging="3402"/>
        <w:rPr>
          <w:rFonts w:asciiTheme="minorBidi" w:hAnsiTheme="minorBidi"/>
          <w:sz w:val="22"/>
          <w:szCs w:val="22"/>
        </w:rPr>
      </w:pPr>
      <w:r w:rsidRPr="000E1728">
        <w:rPr>
          <w:rFonts w:asciiTheme="minorBidi" w:hAnsiTheme="minorBidi"/>
          <w:b/>
          <w:bCs/>
          <w:sz w:val="22"/>
          <w:szCs w:val="22"/>
        </w:rPr>
        <w:t>Equality Considerations:</w:t>
      </w:r>
      <w:r w:rsidRPr="000E1728">
        <w:rPr>
          <w:rFonts w:asciiTheme="minorBidi" w:hAnsiTheme="minorBidi"/>
          <w:sz w:val="22"/>
          <w:szCs w:val="22"/>
        </w:rPr>
        <w:tab/>
        <w:t>Are there any ED&amp;I implications. Has an Equality Impact Assessment has been completed?  Completed Equality Impact Assessment Templates should be attached to the cover sheet.  Wherever possible, such assessments should be undertaken prior to presenting the matter to a committee.</w:t>
      </w:r>
    </w:p>
    <w:p w14:paraId="20184E75" w14:textId="77777777" w:rsidR="000E1728" w:rsidRPr="000E1728" w:rsidRDefault="000E1728" w:rsidP="000E1728">
      <w:pPr>
        <w:spacing w:after="0" w:line="240" w:lineRule="auto"/>
        <w:ind w:left="3402" w:hanging="3402"/>
        <w:rPr>
          <w:rFonts w:asciiTheme="minorBidi" w:hAnsiTheme="minorBidi"/>
          <w:sz w:val="22"/>
          <w:szCs w:val="22"/>
        </w:rPr>
      </w:pPr>
    </w:p>
    <w:p w14:paraId="5F86B246" w14:textId="77777777" w:rsidR="000E1728" w:rsidRPr="000E1728" w:rsidRDefault="000E1728" w:rsidP="000E1728">
      <w:pPr>
        <w:tabs>
          <w:tab w:val="left" w:pos="3195"/>
        </w:tabs>
        <w:spacing w:after="0" w:line="240" w:lineRule="auto"/>
        <w:ind w:left="3402" w:hanging="3402"/>
        <w:rPr>
          <w:rFonts w:asciiTheme="minorBidi" w:hAnsiTheme="minorBidi"/>
          <w:sz w:val="22"/>
          <w:szCs w:val="22"/>
        </w:rPr>
      </w:pPr>
      <w:r w:rsidRPr="000E1728">
        <w:rPr>
          <w:rFonts w:asciiTheme="minorBidi" w:hAnsiTheme="minorBidi"/>
          <w:b/>
          <w:bCs/>
          <w:sz w:val="22"/>
          <w:szCs w:val="22"/>
        </w:rPr>
        <w:t>Supporting Information:</w:t>
      </w:r>
      <w:r w:rsidRPr="000E1728">
        <w:rPr>
          <w:rFonts w:asciiTheme="minorBidi" w:hAnsiTheme="minorBidi"/>
          <w:b/>
          <w:bCs/>
          <w:sz w:val="22"/>
          <w:szCs w:val="22"/>
        </w:rPr>
        <w:tab/>
      </w:r>
      <w:r w:rsidRPr="000E1728">
        <w:rPr>
          <w:rFonts w:asciiTheme="minorBidi" w:hAnsiTheme="minorBidi"/>
          <w:b/>
          <w:bCs/>
          <w:sz w:val="22"/>
          <w:szCs w:val="22"/>
        </w:rPr>
        <w:tab/>
      </w:r>
      <w:r w:rsidRPr="000E1728">
        <w:rPr>
          <w:rFonts w:asciiTheme="minorBidi" w:hAnsiTheme="minorBidi"/>
          <w:sz w:val="22"/>
          <w:szCs w:val="22"/>
        </w:rPr>
        <w:t>If there are any appendices or supplementary documents that provide additional details. Do not expect these to be essential reading for the main discussion.</w:t>
      </w:r>
    </w:p>
    <w:p w14:paraId="2A14C0D3" w14:textId="77777777" w:rsidR="000E1728" w:rsidRPr="000E1728" w:rsidRDefault="000E1728" w:rsidP="000E1728">
      <w:pPr>
        <w:tabs>
          <w:tab w:val="left" w:pos="3195"/>
        </w:tabs>
        <w:spacing w:after="0" w:line="240" w:lineRule="auto"/>
        <w:rPr>
          <w:rFonts w:asciiTheme="minorBidi" w:hAnsiTheme="minorBidi"/>
          <w:sz w:val="22"/>
          <w:szCs w:val="22"/>
        </w:rPr>
      </w:pPr>
    </w:p>
    <w:p w14:paraId="793634E4" w14:textId="77777777" w:rsidR="000E1728" w:rsidRPr="000E1728" w:rsidRDefault="000E1728" w:rsidP="000E1728">
      <w:pPr>
        <w:tabs>
          <w:tab w:val="left" w:pos="3770"/>
        </w:tabs>
        <w:spacing w:after="0" w:line="240" w:lineRule="auto"/>
        <w:ind w:left="3402" w:hanging="3402"/>
        <w:rPr>
          <w:rFonts w:asciiTheme="minorBidi" w:hAnsiTheme="minorBidi"/>
          <w:b/>
          <w:bCs/>
          <w:sz w:val="22"/>
          <w:szCs w:val="22"/>
        </w:rPr>
      </w:pPr>
      <w:r w:rsidRPr="000E1728">
        <w:rPr>
          <w:rFonts w:asciiTheme="minorBidi" w:hAnsiTheme="minorBidi"/>
          <w:b/>
          <w:bCs/>
          <w:sz w:val="22"/>
          <w:szCs w:val="22"/>
        </w:rPr>
        <w:t>Paper classification:</w:t>
      </w:r>
      <w:r w:rsidRPr="000E1728">
        <w:rPr>
          <w:rFonts w:asciiTheme="minorBidi" w:hAnsiTheme="minorBidi"/>
        </w:rPr>
        <w:tab/>
      </w:r>
      <w:r w:rsidRPr="000E1728">
        <w:rPr>
          <w:rFonts w:asciiTheme="minorBidi" w:hAnsiTheme="minorBidi"/>
          <w:b/>
          <w:bCs/>
          <w:sz w:val="22"/>
          <w:szCs w:val="22"/>
        </w:rPr>
        <w:t>If Confidential or Strictly Confidential, a brief rationale for the classification must be supplied.</w:t>
      </w:r>
    </w:p>
    <w:p w14:paraId="2F9811A7" w14:textId="77777777" w:rsidR="000E1728" w:rsidRPr="000E1728" w:rsidRDefault="000E1728" w:rsidP="000E1728">
      <w:pPr>
        <w:tabs>
          <w:tab w:val="left" w:pos="3770"/>
        </w:tabs>
        <w:spacing w:after="0" w:line="240" w:lineRule="auto"/>
        <w:rPr>
          <w:rFonts w:asciiTheme="minorBidi" w:hAnsiTheme="minorBidi"/>
          <w:sz w:val="22"/>
          <w:szCs w:val="22"/>
          <w:u w:val="single"/>
        </w:rPr>
      </w:pPr>
    </w:p>
    <w:p w14:paraId="77EA1333" w14:textId="77777777" w:rsidR="000E1728" w:rsidRPr="000E1728" w:rsidRDefault="000E1728" w:rsidP="000E1728">
      <w:pPr>
        <w:tabs>
          <w:tab w:val="left" w:pos="3770"/>
        </w:tabs>
        <w:spacing w:after="0" w:line="240" w:lineRule="auto"/>
        <w:ind w:left="3402"/>
        <w:rPr>
          <w:rFonts w:asciiTheme="minorBidi" w:hAnsiTheme="minorBidi"/>
          <w:sz w:val="22"/>
          <w:szCs w:val="22"/>
        </w:rPr>
      </w:pPr>
      <w:r w:rsidRPr="000E1728">
        <w:rPr>
          <w:rFonts w:asciiTheme="minorBidi" w:hAnsiTheme="minorBidi"/>
          <w:sz w:val="22"/>
          <w:szCs w:val="22"/>
          <w:u w:val="single"/>
        </w:rPr>
        <w:t>Open</w:t>
      </w:r>
      <w:r w:rsidRPr="000E1728">
        <w:rPr>
          <w:rFonts w:asciiTheme="minorBidi" w:hAnsiTheme="minorBidi"/>
          <w:sz w:val="22"/>
          <w:szCs w:val="22"/>
        </w:rPr>
        <w:t>: Available to all and will be published within a month of the Court Meeting. Most papers will fall into this category.</w:t>
      </w:r>
    </w:p>
    <w:p w14:paraId="69EF7C11" w14:textId="77777777" w:rsidR="000E1728" w:rsidRPr="000E1728" w:rsidRDefault="000E1728" w:rsidP="000E1728">
      <w:pPr>
        <w:tabs>
          <w:tab w:val="left" w:pos="3770"/>
        </w:tabs>
        <w:spacing w:after="0" w:line="240" w:lineRule="auto"/>
        <w:ind w:left="3402" w:hanging="3402"/>
        <w:rPr>
          <w:rFonts w:asciiTheme="minorBidi" w:hAnsiTheme="minorBidi"/>
          <w:sz w:val="22"/>
          <w:szCs w:val="22"/>
        </w:rPr>
      </w:pPr>
    </w:p>
    <w:p w14:paraId="237791C9" w14:textId="77777777" w:rsidR="000E1728" w:rsidRPr="000E1728" w:rsidRDefault="000E1728" w:rsidP="000E1728">
      <w:pPr>
        <w:spacing w:after="0" w:line="240" w:lineRule="auto"/>
        <w:ind w:left="3402"/>
        <w:rPr>
          <w:rFonts w:asciiTheme="minorBidi" w:hAnsiTheme="minorBidi"/>
          <w:sz w:val="22"/>
          <w:szCs w:val="22"/>
        </w:rPr>
      </w:pPr>
      <w:r w:rsidRPr="000E1728">
        <w:rPr>
          <w:rFonts w:asciiTheme="minorBidi" w:hAnsiTheme="minorBidi"/>
          <w:sz w:val="22"/>
          <w:szCs w:val="22"/>
          <w:u w:val="single"/>
        </w:rPr>
        <w:t>Confidential</w:t>
      </w:r>
      <w:r w:rsidRPr="000E1728">
        <w:rPr>
          <w:rFonts w:asciiTheme="minorBidi" w:hAnsiTheme="minorBidi"/>
          <w:sz w:val="22"/>
          <w:szCs w:val="22"/>
        </w:rPr>
        <w:t>: Restricted to Court/SMG access only and will not be published online following the Court meeting. These papers may contain commercially or financially sensitive information where disclosure could pose a risk or cause reputational damage. Examples include but is not exhaustive -  IP, release of student application data, identification of significant risks, financial and commercially sensitive information, contract negations or concerns</w:t>
      </w:r>
    </w:p>
    <w:p w14:paraId="3D209E4B" w14:textId="77777777" w:rsidR="000E1728" w:rsidRPr="000E1728" w:rsidRDefault="000E1728" w:rsidP="000E1728">
      <w:pPr>
        <w:spacing w:after="0" w:line="240" w:lineRule="auto"/>
        <w:ind w:left="3402"/>
        <w:rPr>
          <w:rFonts w:asciiTheme="minorBidi" w:hAnsiTheme="minorBidi"/>
          <w:sz w:val="22"/>
          <w:szCs w:val="22"/>
        </w:rPr>
      </w:pPr>
    </w:p>
    <w:p w14:paraId="276567A8" w14:textId="77777777" w:rsidR="000E1728" w:rsidRPr="000E1728" w:rsidRDefault="000E1728" w:rsidP="000E1728">
      <w:pPr>
        <w:tabs>
          <w:tab w:val="left" w:pos="3770"/>
        </w:tabs>
        <w:spacing w:after="0" w:line="240" w:lineRule="auto"/>
        <w:ind w:left="3402"/>
        <w:rPr>
          <w:rFonts w:asciiTheme="minorBidi" w:hAnsiTheme="minorBidi"/>
          <w:b/>
          <w:bCs/>
          <w:sz w:val="22"/>
          <w:szCs w:val="22"/>
        </w:rPr>
      </w:pPr>
      <w:r w:rsidRPr="000E1728">
        <w:rPr>
          <w:rFonts w:asciiTheme="minorBidi" w:hAnsiTheme="minorBidi"/>
          <w:b/>
          <w:bCs/>
          <w:sz w:val="22"/>
          <w:szCs w:val="22"/>
        </w:rPr>
        <w:t>If any information is to be redacted before publishing, those responsible are expected to supply a redacted copy to the Clerk of Court.</w:t>
      </w:r>
    </w:p>
    <w:p w14:paraId="78466BA6" w14:textId="77777777" w:rsidR="000E1728" w:rsidRPr="000E1728" w:rsidRDefault="000E1728" w:rsidP="000E1728">
      <w:pPr>
        <w:spacing w:after="0" w:line="240" w:lineRule="auto"/>
        <w:ind w:left="3402"/>
        <w:rPr>
          <w:rFonts w:asciiTheme="minorBidi" w:hAnsiTheme="minorBidi"/>
          <w:sz w:val="22"/>
          <w:szCs w:val="22"/>
        </w:rPr>
      </w:pPr>
    </w:p>
    <w:p w14:paraId="409CB46B" w14:textId="77777777" w:rsidR="000E1728" w:rsidRPr="000E1728" w:rsidRDefault="000E1728" w:rsidP="000E1728">
      <w:pPr>
        <w:spacing w:after="0" w:line="240" w:lineRule="auto"/>
        <w:ind w:left="3402"/>
        <w:rPr>
          <w:rFonts w:asciiTheme="minorBidi" w:hAnsiTheme="minorBidi"/>
          <w:sz w:val="22"/>
          <w:szCs w:val="22"/>
        </w:rPr>
      </w:pPr>
      <w:r w:rsidRPr="000E1728">
        <w:rPr>
          <w:rFonts w:asciiTheme="minorBidi" w:hAnsiTheme="minorBidi"/>
          <w:sz w:val="22"/>
          <w:szCs w:val="22"/>
        </w:rPr>
        <w:t>Authors should consider if parts of the paper could be redacted or if the whole papers should be withheld. Authors should clearly identify sensitive areas and specify the timeframe after which the information could be released.</w:t>
      </w:r>
    </w:p>
    <w:p w14:paraId="56C2431D" w14:textId="77777777" w:rsidR="000E1728" w:rsidRPr="000E1728" w:rsidRDefault="000E1728" w:rsidP="000E1728">
      <w:pPr>
        <w:spacing w:after="0" w:line="240" w:lineRule="auto"/>
        <w:ind w:left="3402" w:hanging="3294"/>
        <w:rPr>
          <w:rFonts w:asciiTheme="minorBidi" w:hAnsiTheme="minorBidi"/>
          <w:sz w:val="22"/>
          <w:szCs w:val="22"/>
        </w:rPr>
      </w:pPr>
    </w:p>
    <w:p w14:paraId="2265C36C" w14:textId="3784D865" w:rsidR="009E5F70" w:rsidRPr="000E1728" w:rsidRDefault="000E1728" w:rsidP="000E1728">
      <w:pPr>
        <w:ind w:left="3402"/>
        <w:rPr>
          <w:rFonts w:asciiTheme="minorBidi" w:hAnsiTheme="minorBidi"/>
        </w:rPr>
      </w:pPr>
      <w:r w:rsidRPr="000E1728">
        <w:rPr>
          <w:rFonts w:asciiTheme="minorBidi" w:hAnsiTheme="minorBidi"/>
          <w:sz w:val="22"/>
          <w:szCs w:val="22"/>
          <w:u w:val="single"/>
        </w:rPr>
        <w:t>Strictly confidential</w:t>
      </w:r>
      <w:r w:rsidRPr="000E1728">
        <w:rPr>
          <w:rFonts w:asciiTheme="minorBidi" w:hAnsiTheme="minorBidi"/>
          <w:sz w:val="22"/>
          <w:szCs w:val="22"/>
        </w:rPr>
        <w:t>:  Restricted to Court Members only and will not be published.  Examples include but is not exhaustive - personal data such as contract details, information that could have significant reputational impact or could lead to identification of individuals in relation to confidential staff matters such as employment tribunals. Any document classified as strictly confidential will be reviewed annually to assess when it can be made published.</w:t>
      </w:r>
      <w:r w:rsidRPr="000E1728">
        <w:rPr>
          <w:rFonts w:asciiTheme="minorBidi" w:hAnsiTheme="minorBidi"/>
          <w:sz w:val="22"/>
          <w:szCs w:val="22"/>
          <w:u w:val="single"/>
        </w:rPr>
        <w:t xml:space="preserve"> Authors should clearly identify a timeframe for publication</w:t>
      </w:r>
      <w:r>
        <w:rPr>
          <w:rFonts w:asciiTheme="minorBidi" w:hAnsiTheme="minorBidi"/>
          <w:sz w:val="22"/>
          <w:szCs w:val="22"/>
          <w:u w:val="single"/>
        </w:rPr>
        <w:t>.</w:t>
      </w:r>
    </w:p>
    <w:sectPr w:rsidR="009E5F70" w:rsidRPr="000E1728" w:rsidSect="000E17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D36B9"/>
    <w:multiLevelType w:val="hybridMultilevel"/>
    <w:tmpl w:val="50F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66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1728"/>
    <w:rsid w:val="000020E1"/>
    <w:rsid w:val="00064E70"/>
    <w:rsid w:val="00085156"/>
    <w:rsid w:val="000936C1"/>
    <w:rsid w:val="000D6C02"/>
    <w:rsid w:val="000E1728"/>
    <w:rsid w:val="001202DF"/>
    <w:rsid w:val="00125490"/>
    <w:rsid w:val="00136FE3"/>
    <w:rsid w:val="00160B27"/>
    <w:rsid w:val="001A2303"/>
    <w:rsid w:val="001C6BF0"/>
    <w:rsid w:val="001C6D08"/>
    <w:rsid w:val="001F2A01"/>
    <w:rsid w:val="001F3D25"/>
    <w:rsid w:val="002C1F84"/>
    <w:rsid w:val="002C5A48"/>
    <w:rsid w:val="003134A0"/>
    <w:rsid w:val="00316EB2"/>
    <w:rsid w:val="0034764D"/>
    <w:rsid w:val="00362813"/>
    <w:rsid w:val="00364EAD"/>
    <w:rsid w:val="0038534A"/>
    <w:rsid w:val="003949B7"/>
    <w:rsid w:val="003D104B"/>
    <w:rsid w:val="003F29BE"/>
    <w:rsid w:val="003F7464"/>
    <w:rsid w:val="00403249"/>
    <w:rsid w:val="00420107"/>
    <w:rsid w:val="00425BD0"/>
    <w:rsid w:val="00431AA2"/>
    <w:rsid w:val="0044599F"/>
    <w:rsid w:val="00451469"/>
    <w:rsid w:val="00486BC5"/>
    <w:rsid w:val="004B51D4"/>
    <w:rsid w:val="004C6339"/>
    <w:rsid w:val="004E0A6C"/>
    <w:rsid w:val="004F7F4A"/>
    <w:rsid w:val="0051575B"/>
    <w:rsid w:val="00523565"/>
    <w:rsid w:val="00524DF2"/>
    <w:rsid w:val="0056116A"/>
    <w:rsid w:val="00575DEE"/>
    <w:rsid w:val="005802CD"/>
    <w:rsid w:val="005A5A93"/>
    <w:rsid w:val="005C2D6F"/>
    <w:rsid w:val="005F502F"/>
    <w:rsid w:val="00603EB0"/>
    <w:rsid w:val="006052BF"/>
    <w:rsid w:val="00671368"/>
    <w:rsid w:val="00673150"/>
    <w:rsid w:val="00682C8C"/>
    <w:rsid w:val="00684B3E"/>
    <w:rsid w:val="0068582C"/>
    <w:rsid w:val="00696F02"/>
    <w:rsid w:val="006B7191"/>
    <w:rsid w:val="00726377"/>
    <w:rsid w:val="007754E9"/>
    <w:rsid w:val="0078393E"/>
    <w:rsid w:val="007C3F3C"/>
    <w:rsid w:val="00802DBC"/>
    <w:rsid w:val="00856B64"/>
    <w:rsid w:val="008B0FD7"/>
    <w:rsid w:val="009617EE"/>
    <w:rsid w:val="009955FD"/>
    <w:rsid w:val="009B759C"/>
    <w:rsid w:val="009E5F70"/>
    <w:rsid w:val="00A013FC"/>
    <w:rsid w:val="00A125C9"/>
    <w:rsid w:val="00A200A5"/>
    <w:rsid w:val="00A639E6"/>
    <w:rsid w:val="00A67F69"/>
    <w:rsid w:val="00AB35F5"/>
    <w:rsid w:val="00AB4016"/>
    <w:rsid w:val="00AD1A0A"/>
    <w:rsid w:val="00AF203A"/>
    <w:rsid w:val="00AF532C"/>
    <w:rsid w:val="00B0529C"/>
    <w:rsid w:val="00B07443"/>
    <w:rsid w:val="00B2432D"/>
    <w:rsid w:val="00B44A33"/>
    <w:rsid w:val="00B61A46"/>
    <w:rsid w:val="00B74719"/>
    <w:rsid w:val="00B90EA7"/>
    <w:rsid w:val="00BF1FAF"/>
    <w:rsid w:val="00C13069"/>
    <w:rsid w:val="00CB60C1"/>
    <w:rsid w:val="00CC12E9"/>
    <w:rsid w:val="00CC7594"/>
    <w:rsid w:val="00CE4E3E"/>
    <w:rsid w:val="00CE5A09"/>
    <w:rsid w:val="00D3147A"/>
    <w:rsid w:val="00D41CE8"/>
    <w:rsid w:val="00D50CB9"/>
    <w:rsid w:val="00D511A2"/>
    <w:rsid w:val="00D90EC1"/>
    <w:rsid w:val="00DE72E9"/>
    <w:rsid w:val="00DF48B4"/>
    <w:rsid w:val="00E14EDD"/>
    <w:rsid w:val="00E32A03"/>
    <w:rsid w:val="00E446A3"/>
    <w:rsid w:val="00E47157"/>
    <w:rsid w:val="00E70EE1"/>
    <w:rsid w:val="00EC46AD"/>
    <w:rsid w:val="00ED62D0"/>
    <w:rsid w:val="00EE2996"/>
    <w:rsid w:val="00EE4FC2"/>
    <w:rsid w:val="00EF640F"/>
    <w:rsid w:val="00F25323"/>
    <w:rsid w:val="00F772A5"/>
    <w:rsid w:val="00F8688F"/>
    <w:rsid w:val="00F9613E"/>
    <w:rsid w:val="00FB1A44"/>
    <w:rsid w:val="00FB243F"/>
    <w:rsid w:val="00FB27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CF0C"/>
  <w15:chartTrackingRefBased/>
  <w15:docId w15:val="{EDB691F6-1EDC-4D04-B36D-95BFE9A1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28"/>
    <w:rPr>
      <w:rFonts w:eastAsiaTheme="minorHAnsi"/>
      <w:lang w:eastAsia="en-US"/>
    </w:rPr>
  </w:style>
  <w:style w:type="paragraph" w:styleId="Heading1">
    <w:name w:val="heading 1"/>
    <w:basedOn w:val="Normal"/>
    <w:next w:val="Normal"/>
    <w:link w:val="Heading1Char"/>
    <w:uiPriority w:val="9"/>
    <w:qFormat/>
    <w:rsid w:val="000E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7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7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7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7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7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7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7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7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7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7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7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728"/>
    <w:rPr>
      <w:rFonts w:eastAsiaTheme="majorEastAsia" w:cstheme="majorBidi"/>
      <w:color w:val="272727" w:themeColor="text1" w:themeTint="D8"/>
    </w:rPr>
  </w:style>
  <w:style w:type="paragraph" w:styleId="Title">
    <w:name w:val="Title"/>
    <w:basedOn w:val="Normal"/>
    <w:next w:val="Normal"/>
    <w:link w:val="TitleChar"/>
    <w:uiPriority w:val="10"/>
    <w:qFormat/>
    <w:rsid w:val="000E1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7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728"/>
    <w:pPr>
      <w:spacing w:before="160"/>
      <w:jc w:val="center"/>
    </w:pPr>
    <w:rPr>
      <w:i/>
      <w:iCs/>
      <w:color w:val="404040" w:themeColor="text1" w:themeTint="BF"/>
    </w:rPr>
  </w:style>
  <w:style w:type="character" w:customStyle="1" w:styleId="QuoteChar">
    <w:name w:val="Quote Char"/>
    <w:basedOn w:val="DefaultParagraphFont"/>
    <w:link w:val="Quote"/>
    <w:uiPriority w:val="29"/>
    <w:rsid w:val="000E1728"/>
    <w:rPr>
      <w:i/>
      <w:iCs/>
      <w:color w:val="404040" w:themeColor="text1" w:themeTint="BF"/>
    </w:rPr>
  </w:style>
  <w:style w:type="paragraph" w:styleId="ListParagraph">
    <w:name w:val="List Paragraph"/>
    <w:basedOn w:val="Normal"/>
    <w:uiPriority w:val="34"/>
    <w:qFormat/>
    <w:rsid w:val="000E1728"/>
    <w:pPr>
      <w:ind w:left="720"/>
      <w:contextualSpacing/>
    </w:pPr>
  </w:style>
  <w:style w:type="character" w:styleId="IntenseEmphasis">
    <w:name w:val="Intense Emphasis"/>
    <w:basedOn w:val="DefaultParagraphFont"/>
    <w:uiPriority w:val="21"/>
    <w:qFormat/>
    <w:rsid w:val="000E1728"/>
    <w:rPr>
      <w:i/>
      <w:iCs/>
      <w:color w:val="0F4761" w:themeColor="accent1" w:themeShade="BF"/>
    </w:rPr>
  </w:style>
  <w:style w:type="paragraph" w:styleId="IntenseQuote">
    <w:name w:val="Intense Quote"/>
    <w:basedOn w:val="Normal"/>
    <w:next w:val="Normal"/>
    <w:link w:val="IntenseQuoteChar"/>
    <w:uiPriority w:val="30"/>
    <w:qFormat/>
    <w:rsid w:val="000E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728"/>
    <w:rPr>
      <w:i/>
      <w:iCs/>
      <w:color w:val="0F4761" w:themeColor="accent1" w:themeShade="BF"/>
    </w:rPr>
  </w:style>
  <w:style w:type="character" w:styleId="IntenseReference">
    <w:name w:val="Intense Reference"/>
    <w:basedOn w:val="DefaultParagraphFont"/>
    <w:uiPriority w:val="32"/>
    <w:qFormat/>
    <w:rsid w:val="000E1728"/>
    <w:rPr>
      <w:b/>
      <w:bCs/>
      <w:smallCaps/>
      <w:color w:val="0F4761" w:themeColor="accent1" w:themeShade="BF"/>
      <w:spacing w:val="5"/>
    </w:rPr>
  </w:style>
  <w:style w:type="character" w:styleId="Hyperlink">
    <w:name w:val="Hyperlink"/>
    <w:basedOn w:val="DefaultParagraphFont"/>
    <w:uiPriority w:val="99"/>
    <w:unhideWhenUsed/>
    <w:rsid w:val="000E17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la.ac.uk/explore/strategi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Props1.xml><?xml version="1.0" encoding="utf-8"?>
<ds:datastoreItem xmlns:ds="http://schemas.openxmlformats.org/officeDocument/2006/customXml" ds:itemID="{E1E3EC36-42FA-4363-B855-9B87EFF3AD0F}"/>
</file>

<file path=customXml/itemProps2.xml><?xml version="1.0" encoding="utf-8"?>
<ds:datastoreItem xmlns:ds="http://schemas.openxmlformats.org/officeDocument/2006/customXml" ds:itemID="{324EDB53-5F71-47F5-BBF7-C9ACB4E9A6B2}"/>
</file>

<file path=customXml/itemProps3.xml><?xml version="1.0" encoding="utf-8"?>
<ds:datastoreItem xmlns:ds="http://schemas.openxmlformats.org/officeDocument/2006/customXml" ds:itemID="{0154E66C-80D1-4244-8152-23F4C826175F}"/>
</file>

<file path=docProps/app.xml><?xml version="1.0" encoding="utf-8"?>
<Properties xmlns="http://schemas.openxmlformats.org/officeDocument/2006/extended-properties" xmlns:vt="http://schemas.openxmlformats.org/officeDocument/2006/docPropsVTypes">
  <Template>Normal.dotm</Template>
  <TotalTime>3</TotalTime>
  <Pages>2</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McClure</dc:creator>
  <cp:keywords/>
  <dc:description/>
  <cp:lastModifiedBy>Lee McClure</cp:lastModifiedBy>
  <cp:revision>1</cp:revision>
  <dcterms:created xsi:type="dcterms:W3CDTF">2025-01-17T08:04:00Z</dcterms:created>
  <dcterms:modified xsi:type="dcterms:W3CDTF">2025-01-17T08:07:00Z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ies>
</file>