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FA8E" w14:textId="77777777" w:rsidR="00702724" w:rsidRPr="000C1A10" w:rsidRDefault="00702724" w:rsidP="00F111AD">
      <w:bookmarkStart w:id="0" w:name="_Hlk147223887"/>
      <w:bookmarkEnd w:id="0"/>
      <w:r w:rsidRPr="000C1A10">
        <w:rPr>
          <w:noProof/>
        </w:rPr>
        <w:drawing>
          <wp:anchor distT="0" distB="0" distL="114300" distR="114300" simplePos="0" relativeHeight="251658240" behindDoc="1" locked="0" layoutInCell="1" allowOverlap="1" wp14:anchorId="6203AC9E" wp14:editId="2E27ABFC">
            <wp:simplePos x="0" y="0"/>
            <wp:positionH relativeFrom="margin">
              <wp:align>left</wp:align>
            </wp:positionH>
            <wp:positionV relativeFrom="paragraph">
              <wp:posOffset>0</wp:posOffset>
            </wp:positionV>
            <wp:extent cx="1968500" cy="609600"/>
            <wp:effectExtent l="0" t="0" r="0" b="0"/>
            <wp:wrapSquare wrapText="bothSides"/>
            <wp:docPr id="1703787164" name="Picture 1703787164"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87164" name="Picture 1" descr="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8500" cy="609600"/>
                    </a:xfrm>
                    <a:prstGeom prst="rect">
                      <a:avLst/>
                    </a:prstGeom>
                  </pic:spPr>
                </pic:pic>
              </a:graphicData>
            </a:graphic>
            <wp14:sizeRelH relativeFrom="page">
              <wp14:pctWidth>0</wp14:pctWidth>
            </wp14:sizeRelH>
            <wp14:sizeRelV relativeFrom="page">
              <wp14:pctHeight>0</wp14:pctHeight>
            </wp14:sizeRelV>
          </wp:anchor>
        </w:drawing>
      </w:r>
    </w:p>
    <w:p w14:paraId="43BBF200" w14:textId="77777777" w:rsidR="00702724" w:rsidRPr="000C1A10" w:rsidRDefault="00702724" w:rsidP="00F111AD"/>
    <w:p w14:paraId="1C3FD0BB" w14:textId="77777777" w:rsidR="00702724" w:rsidRPr="000C1A10" w:rsidRDefault="00702724" w:rsidP="00F111AD"/>
    <w:p w14:paraId="57374A88" w14:textId="77777777" w:rsidR="00702724" w:rsidRPr="000C1A10" w:rsidRDefault="00702724" w:rsidP="00F111AD"/>
    <w:p w14:paraId="7F3330DF" w14:textId="77777777" w:rsidR="00702724" w:rsidRPr="000C1A10" w:rsidRDefault="00702724" w:rsidP="00F111AD"/>
    <w:p w14:paraId="69E6E9AC" w14:textId="77777777" w:rsidR="00702724" w:rsidRPr="000C1A10" w:rsidRDefault="00702724" w:rsidP="00F111AD"/>
    <w:p w14:paraId="5A9F65B1" w14:textId="77777777" w:rsidR="00702724" w:rsidRPr="000C1A10" w:rsidRDefault="00702724" w:rsidP="00F111AD"/>
    <w:p w14:paraId="300D1AF5" w14:textId="77777777" w:rsidR="00702724" w:rsidRPr="000C1A10" w:rsidRDefault="007D287E" w:rsidP="00F111AD">
      <w:r>
        <w:tab/>
      </w:r>
    </w:p>
    <w:p w14:paraId="01CFF2D0" w14:textId="77777777" w:rsidR="00702724" w:rsidRPr="008E1C7A" w:rsidRDefault="00702724" w:rsidP="008E1C7A">
      <w:pPr>
        <w:jc w:val="center"/>
        <w:rPr>
          <w:sz w:val="40"/>
          <w:szCs w:val="40"/>
        </w:rPr>
      </w:pPr>
    </w:p>
    <w:p w14:paraId="488DC00D" w14:textId="77436336" w:rsidR="00432750" w:rsidRPr="00432750" w:rsidRDefault="00B21001" w:rsidP="00432750">
      <w:pPr>
        <w:spacing w:after="160" w:line="259" w:lineRule="auto"/>
        <w:ind w:left="0"/>
        <w:jc w:val="center"/>
        <w:rPr>
          <w:b/>
          <w:bCs/>
          <w:color w:val="000000" w:themeColor="text1"/>
          <w:sz w:val="40"/>
          <w:szCs w:val="40"/>
        </w:rPr>
      </w:pPr>
      <w:r w:rsidRPr="008E1C7A">
        <w:rPr>
          <w:b/>
          <w:bCs/>
          <w:color w:val="000000" w:themeColor="text1"/>
          <w:sz w:val="40"/>
          <w:szCs w:val="40"/>
        </w:rPr>
        <w:t>Policy for Intellectual Property and Rewarding Participation in Commercialisation</w:t>
      </w:r>
    </w:p>
    <w:tbl>
      <w:tblPr>
        <w:tblStyle w:val="TableGrid"/>
        <w:tblpPr w:leftFromText="180" w:rightFromText="180" w:vertAnchor="text" w:horzAnchor="margin" w:tblpY="5002"/>
        <w:tblW w:w="0" w:type="auto"/>
        <w:tblLook w:val="04A0" w:firstRow="1" w:lastRow="0" w:firstColumn="1" w:lastColumn="0" w:noHBand="0" w:noVBand="1"/>
      </w:tblPr>
      <w:tblGrid>
        <w:gridCol w:w="2263"/>
        <w:gridCol w:w="6753"/>
      </w:tblGrid>
      <w:tr w:rsidR="00702724" w:rsidRPr="000C1A10" w14:paraId="34F5C954" w14:textId="77777777" w:rsidTr="002440AF">
        <w:tc>
          <w:tcPr>
            <w:tcW w:w="2263" w:type="dxa"/>
          </w:tcPr>
          <w:p w14:paraId="751CC66C" w14:textId="77777777" w:rsidR="00702724" w:rsidRPr="000C1A10" w:rsidRDefault="00702724" w:rsidP="002440AF">
            <w:pPr>
              <w:spacing w:after="0"/>
              <w:ind w:left="0"/>
            </w:pPr>
            <w:r w:rsidRPr="000C1A10">
              <w:t>Policy Name</w:t>
            </w:r>
          </w:p>
        </w:tc>
        <w:tc>
          <w:tcPr>
            <w:tcW w:w="6753" w:type="dxa"/>
          </w:tcPr>
          <w:p w14:paraId="6BF51A10" w14:textId="1C48333C" w:rsidR="00702724" w:rsidRPr="000C1A10" w:rsidRDefault="00B21001" w:rsidP="0032257C">
            <w:pPr>
              <w:spacing w:after="0"/>
              <w:ind w:left="0"/>
            </w:pPr>
            <w:r w:rsidRPr="00B21001">
              <w:t>Policy for Intellectual Property and Rewarding Participation in Commercialisation</w:t>
            </w:r>
          </w:p>
        </w:tc>
      </w:tr>
      <w:tr w:rsidR="00702724" w:rsidRPr="000C1A10" w14:paraId="12E295D4" w14:textId="77777777" w:rsidTr="002440AF">
        <w:tc>
          <w:tcPr>
            <w:tcW w:w="2263" w:type="dxa"/>
          </w:tcPr>
          <w:p w14:paraId="54397C8C" w14:textId="77777777" w:rsidR="00702724" w:rsidRPr="000C1A10" w:rsidRDefault="00702724" w:rsidP="002440AF">
            <w:pPr>
              <w:spacing w:after="0"/>
              <w:ind w:left="0"/>
            </w:pPr>
            <w:r w:rsidRPr="000C1A10">
              <w:t xml:space="preserve">Approved by </w:t>
            </w:r>
          </w:p>
        </w:tc>
        <w:tc>
          <w:tcPr>
            <w:tcW w:w="6753" w:type="dxa"/>
          </w:tcPr>
          <w:p w14:paraId="3C6BE951" w14:textId="12C93049" w:rsidR="00702724" w:rsidRPr="000C1A10" w:rsidRDefault="00B21001" w:rsidP="0032257C">
            <w:pPr>
              <w:spacing w:after="0"/>
              <w:ind w:left="0"/>
            </w:pPr>
            <w:r>
              <w:t>Senior Management Group</w:t>
            </w:r>
          </w:p>
        </w:tc>
      </w:tr>
      <w:tr w:rsidR="00702724" w:rsidRPr="000C1A10" w14:paraId="0DEF8546" w14:textId="77777777" w:rsidTr="002440AF">
        <w:tc>
          <w:tcPr>
            <w:tcW w:w="2263" w:type="dxa"/>
          </w:tcPr>
          <w:p w14:paraId="199AB1D9" w14:textId="77777777" w:rsidR="00702724" w:rsidRPr="000C1A10" w:rsidRDefault="00300609" w:rsidP="002440AF">
            <w:pPr>
              <w:spacing w:after="0"/>
              <w:ind w:left="0"/>
            </w:pPr>
            <w:r w:rsidRPr="000C1A10">
              <w:t>Implementation Date</w:t>
            </w:r>
          </w:p>
        </w:tc>
        <w:tc>
          <w:tcPr>
            <w:tcW w:w="6753" w:type="dxa"/>
          </w:tcPr>
          <w:p w14:paraId="5EA57E6A" w14:textId="79F1869F" w:rsidR="00702724" w:rsidRPr="000C1A10" w:rsidRDefault="00B21001" w:rsidP="0032257C">
            <w:pPr>
              <w:spacing w:after="0"/>
              <w:ind w:left="0"/>
            </w:pPr>
            <w:r>
              <w:t>23 January 2024</w:t>
            </w:r>
          </w:p>
        </w:tc>
      </w:tr>
      <w:tr w:rsidR="00702724" w:rsidRPr="000C1A10" w14:paraId="55AB873F" w14:textId="77777777" w:rsidTr="002440AF">
        <w:tc>
          <w:tcPr>
            <w:tcW w:w="2263" w:type="dxa"/>
          </w:tcPr>
          <w:p w14:paraId="38D87CF6" w14:textId="77777777" w:rsidR="00702724" w:rsidRPr="000C1A10" w:rsidRDefault="00702724" w:rsidP="002440AF">
            <w:pPr>
              <w:spacing w:after="0"/>
              <w:ind w:left="0"/>
            </w:pPr>
            <w:r w:rsidRPr="000C1A10">
              <w:t xml:space="preserve">Last </w:t>
            </w:r>
            <w:r w:rsidR="00707204" w:rsidRPr="000C1A10">
              <w:t>review</w:t>
            </w:r>
            <w:r w:rsidR="007C551A" w:rsidRPr="000C1A10">
              <w:t>ed</w:t>
            </w:r>
            <w:r w:rsidR="0025665D" w:rsidRPr="000C1A10">
              <w:t xml:space="preserve"> </w:t>
            </w:r>
          </w:p>
        </w:tc>
        <w:tc>
          <w:tcPr>
            <w:tcW w:w="6753" w:type="dxa"/>
          </w:tcPr>
          <w:p w14:paraId="643EBB7D" w14:textId="7902696B" w:rsidR="00702724" w:rsidRPr="00B21001" w:rsidRDefault="00B21001" w:rsidP="0032257C">
            <w:pPr>
              <w:spacing w:after="0"/>
              <w:ind w:left="0"/>
            </w:pPr>
            <w:r>
              <w:t>10/04/2024</w:t>
            </w:r>
          </w:p>
        </w:tc>
      </w:tr>
      <w:tr w:rsidR="00EC66C0" w:rsidRPr="000C1A10" w14:paraId="068558F7" w14:textId="77777777" w:rsidTr="002440AF">
        <w:tc>
          <w:tcPr>
            <w:tcW w:w="2263" w:type="dxa"/>
          </w:tcPr>
          <w:p w14:paraId="307057C0" w14:textId="77777777" w:rsidR="00EC66C0" w:rsidRPr="000C1A10" w:rsidRDefault="00EC66C0" w:rsidP="002440AF">
            <w:pPr>
              <w:spacing w:after="0"/>
              <w:ind w:left="0"/>
            </w:pPr>
            <w:r w:rsidRPr="000C1A10">
              <w:t>Last edit</w:t>
            </w:r>
            <w:r w:rsidR="001929B3" w:rsidRPr="000C1A10">
              <w:t>ed</w:t>
            </w:r>
          </w:p>
        </w:tc>
        <w:tc>
          <w:tcPr>
            <w:tcW w:w="6753" w:type="dxa"/>
          </w:tcPr>
          <w:p w14:paraId="60E32EC0" w14:textId="63A57805" w:rsidR="00EC66C0" w:rsidRPr="000C1A10" w:rsidRDefault="003B040F" w:rsidP="0032257C">
            <w:pPr>
              <w:spacing w:after="0"/>
              <w:ind w:left="0"/>
            </w:pPr>
            <w:r>
              <w:t>10/06/2026</w:t>
            </w:r>
          </w:p>
        </w:tc>
      </w:tr>
      <w:tr w:rsidR="00702724" w:rsidRPr="000C1A10" w14:paraId="5584F8AC" w14:textId="77777777" w:rsidTr="002440AF">
        <w:tc>
          <w:tcPr>
            <w:tcW w:w="2263" w:type="dxa"/>
          </w:tcPr>
          <w:p w14:paraId="44B2ADB5" w14:textId="77777777" w:rsidR="00702724" w:rsidRPr="000C1A10" w:rsidRDefault="00702724" w:rsidP="002440AF">
            <w:pPr>
              <w:spacing w:after="0"/>
              <w:ind w:left="0"/>
            </w:pPr>
            <w:r w:rsidRPr="000C1A10">
              <w:t>Owner</w:t>
            </w:r>
          </w:p>
        </w:tc>
        <w:tc>
          <w:tcPr>
            <w:tcW w:w="6753" w:type="dxa"/>
          </w:tcPr>
          <w:p w14:paraId="15BED884" w14:textId="6E18C15A" w:rsidR="00702724" w:rsidRPr="000C1A10" w:rsidRDefault="00FE1155" w:rsidP="0032257C">
            <w:pPr>
              <w:spacing w:after="0"/>
              <w:ind w:left="0"/>
            </w:pPr>
            <w:r>
              <w:t>VP Economic Development &amp; Innovation</w:t>
            </w:r>
          </w:p>
        </w:tc>
      </w:tr>
      <w:tr w:rsidR="00702724" w:rsidRPr="000C1A10" w14:paraId="127BDAF2" w14:textId="77777777" w:rsidTr="002440AF">
        <w:tc>
          <w:tcPr>
            <w:tcW w:w="2263" w:type="dxa"/>
          </w:tcPr>
          <w:p w14:paraId="6944CB94" w14:textId="77777777" w:rsidR="00702724" w:rsidRPr="000C1A10" w:rsidRDefault="00702724" w:rsidP="002440AF">
            <w:pPr>
              <w:spacing w:after="0"/>
              <w:ind w:left="0"/>
            </w:pPr>
            <w:r w:rsidRPr="000C1A10">
              <w:t>Date of next review</w:t>
            </w:r>
          </w:p>
        </w:tc>
        <w:tc>
          <w:tcPr>
            <w:tcW w:w="6753" w:type="dxa"/>
          </w:tcPr>
          <w:p w14:paraId="0F42D897" w14:textId="570EED50" w:rsidR="00702724" w:rsidRPr="000C1A10" w:rsidRDefault="00146B31" w:rsidP="0032257C">
            <w:pPr>
              <w:spacing w:after="0"/>
              <w:ind w:left="0"/>
            </w:pPr>
            <w:r>
              <w:t>1 September 2026</w:t>
            </w:r>
          </w:p>
        </w:tc>
      </w:tr>
      <w:tr w:rsidR="00702724" w:rsidRPr="000C1A10" w14:paraId="536AB8CD" w14:textId="77777777" w:rsidTr="002440AF">
        <w:tc>
          <w:tcPr>
            <w:tcW w:w="2263" w:type="dxa"/>
          </w:tcPr>
          <w:p w14:paraId="348B3155" w14:textId="77777777" w:rsidR="00702724" w:rsidRPr="000C1A10" w:rsidRDefault="00702724" w:rsidP="002440AF">
            <w:pPr>
              <w:spacing w:after="0"/>
              <w:ind w:left="0"/>
            </w:pPr>
            <w:r w:rsidRPr="000C1A10">
              <w:t>Version</w:t>
            </w:r>
          </w:p>
        </w:tc>
        <w:tc>
          <w:tcPr>
            <w:tcW w:w="6753" w:type="dxa"/>
          </w:tcPr>
          <w:p w14:paraId="5AF0654A" w14:textId="4F4AD434" w:rsidR="00702724" w:rsidRPr="000C1A10" w:rsidRDefault="00B21001" w:rsidP="0032257C">
            <w:pPr>
              <w:spacing w:after="0"/>
              <w:ind w:left="0"/>
            </w:pPr>
            <w:r>
              <w:t>2.</w:t>
            </w:r>
            <w:r w:rsidR="003B040F">
              <w:t>3</w:t>
            </w:r>
          </w:p>
        </w:tc>
      </w:tr>
    </w:tbl>
    <w:p w14:paraId="6F4218C8" w14:textId="77777777" w:rsidR="00432750" w:rsidRDefault="00432750" w:rsidP="008E1C7A">
      <w:pPr>
        <w:jc w:val="center"/>
        <w:rPr>
          <w:b/>
          <w:bCs/>
        </w:rPr>
        <w:sectPr w:rsidR="00432750" w:rsidSect="00AF3646">
          <w:footerReference w:type="default" r:id="rId11"/>
          <w:pgSz w:w="11906" w:h="16838"/>
          <w:pgMar w:top="1440" w:right="1440" w:bottom="1440" w:left="1440" w:header="708" w:footer="708" w:gutter="0"/>
          <w:cols w:space="708"/>
          <w:docGrid w:linePitch="360"/>
        </w:sectPr>
      </w:pPr>
    </w:p>
    <w:p w14:paraId="21551241" w14:textId="4C129684" w:rsidR="00B21001" w:rsidRPr="008E1C7A" w:rsidRDefault="00B21001" w:rsidP="008E1C7A">
      <w:pPr>
        <w:jc w:val="center"/>
        <w:rPr>
          <w:b/>
          <w:bCs/>
        </w:rPr>
      </w:pPr>
      <w:r w:rsidRPr="008E1C7A">
        <w:rPr>
          <w:b/>
          <w:bCs/>
        </w:rPr>
        <w:lastRenderedPageBreak/>
        <w:t xml:space="preserve">Policy for Intellectual Property and </w:t>
      </w:r>
      <w:r w:rsidR="00F535EB">
        <w:rPr>
          <w:b/>
          <w:bCs/>
        </w:rPr>
        <w:br/>
      </w:r>
      <w:r w:rsidRPr="008E1C7A">
        <w:rPr>
          <w:b/>
          <w:bCs/>
        </w:rPr>
        <w:t>Rewarding Participation in Commercialisation</w:t>
      </w:r>
    </w:p>
    <w:p w14:paraId="21349BD3" w14:textId="77777777" w:rsidR="00B21001" w:rsidRPr="006B335D" w:rsidRDefault="00B21001" w:rsidP="00F111AD">
      <w:pPr>
        <w:pStyle w:val="Heading1"/>
      </w:pPr>
      <w:r w:rsidRPr="006B335D">
        <w:t>Introduction</w:t>
      </w:r>
    </w:p>
    <w:p w14:paraId="1CDD779C" w14:textId="4F904E27" w:rsidR="00B21001" w:rsidRPr="008416DD" w:rsidRDefault="00B21001" w:rsidP="00F111AD">
      <w:r w:rsidRPr="008416DD">
        <w:t xml:space="preserve">The University of Glasgow (the University) is committed to encouraging its </w:t>
      </w:r>
      <w:r w:rsidR="003B040F" w:rsidRPr="008416DD">
        <w:t>employees, students</w:t>
      </w:r>
      <w:r w:rsidRPr="008416DD">
        <w:t xml:space="preserve"> and others undertaking research activity at the University to consider the commercial opportunity for new research ideas or expertise to deliver benefits to the economy, society and culture at local, national and international levels.</w:t>
      </w:r>
    </w:p>
    <w:p w14:paraId="48951770" w14:textId="6CC2738E" w:rsidR="00B21001" w:rsidRPr="00B21001" w:rsidRDefault="00B21001" w:rsidP="00F111AD">
      <w:r w:rsidRPr="008416DD">
        <w:t>The purpose of this policy document is to set out to such members of the University community the principles which govern the ownership, rights to use and share in the exploitation of any intellectual property (IP) they generate as part of their research and scholarship activities.</w:t>
      </w:r>
    </w:p>
    <w:p w14:paraId="1AB1059F" w14:textId="77777777" w:rsidR="00B21001" w:rsidRPr="00B21001" w:rsidRDefault="00B21001" w:rsidP="00F111AD">
      <w:pPr>
        <w:pStyle w:val="Heading1"/>
      </w:pPr>
      <w:r w:rsidRPr="00B21001">
        <w:t>Terminology</w:t>
      </w:r>
    </w:p>
    <w:p w14:paraId="4665F310" w14:textId="77777777" w:rsidR="00B21001" w:rsidRPr="00B21001" w:rsidRDefault="00B21001" w:rsidP="00F111AD">
      <w:r w:rsidRPr="00B21001">
        <w:t>For the purposes of this Policy the following definitions apply:</w:t>
      </w:r>
    </w:p>
    <w:p w14:paraId="502A7D23" w14:textId="77777777" w:rsidR="00B21001" w:rsidRPr="00B21001" w:rsidRDefault="00B21001" w:rsidP="00F111AD">
      <w:r w:rsidRPr="00B21001">
        <w:rPr>
          <w:b/>
        </w:rPr>
        <w:t xml:space="preserve">Confidential Information: </w:t>
      </w:r>
      <w:r w:rsidRPr="00B21001">
        <w:t>information created in a confidential setting or disclosed under a duty of confidence, or any other information, which by its nature, should reasonably be considered as confidential including, without limitation, Technical Know-how and Trade Secrets.</w:t>
      </w:r>
    </w:p>
    <w:p w14:paraId="090F76C5" w14:textId="77777777" w:rsidR="00B21001" w:rsidRPr="00B21001" w:rsidRDefault="00B21001" w:rsidP="00F111AD">
      <w:r w:rsidRPr="00B21001">
        <w:rPr>
          <w:b/>
        </w:rPr>
        <w:t>Employee</w:t>
      </w:r>
      <w:r w:rsidRPr="00B21001">
        <w:t>: an employee of the University.</w:t>
      </w:r>
    </w:p>
    <w:p w14:paraId="314C08E2" w14:textId="6E9C4CD8" w:rsidR="00B21001" w:rsidRPr="00B21001" w:rsidRDefault="00B21001" w:rsidP="00F111AD">
      <w:r w:rsidRPr="00B21001">
        <w:rPr>
          <w:b/>
        </w:rPr>
        <w:t xml:space="preserve">Intellectual Property </w:t>
      </w:r>
      <w:r w:rsidRPr="00B21001">
        <w:rPr>
          <w:bCs/>
        </w:rPr>
        <w:t>or</w:t>
      </w:r>
      <w:r w:rsidRPr="00B21001">
        <w:rPr>
          <w:b/>
        </w:rPr>
        <w:t xml:space="preserve"> IP: </w:t>
      </w:r>
      <w:r w:rsidRPr="00B21001">
        <w:t>patents, utility models, rights to inventions, copyright, performers’ and related rights, trade marks, business names and domain names, rights in get-up, goodwill and the right to sue for passing off, rights in designs, database rights, rights to use, and protect the confidentiality of, Confidential Information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together with all intellectual creation capable of being protected by the foregoing.</w:t>
      </w:r>
    </w:p>
    <w:p w14:paraId="4CFD8B1C" w14:textId="77777777" w:rsidR="00B21001" w:rsidRPr="00B21001" w:rsidRDefault="00B21001" w:rsidP="00F111AD">
      <w:r w:rsidRPr="00B21001">
        <w:rPr>
          <w:b/>
        </w:rPr>
        <w:t>Members of the University Community</w:t>
      </w:r>
      <w:r w:rsidRPr="00B21001">
        <w:t>: Employees, Students, and Non-employee Personnel.</w:t>
      </w:r>
    </w:p>
    <w:p w14:paraId="35CE962D" w14:textId="77777777" w:rsidR="00B21001" w:rsidRPr="00B21001" w:rsidRDefault="00B21001" w:rsidP="00F111AD">
      <w:pPr>
        <w:rPr>
          <w:b/>
        </w:rPr>
      </w:pPr>
      <w:r w:rsidRPr="00B21001">
        <w:rPr>
          <w:b/>
        </w:rPr>
        <w:t>Non-employee Personnel</w:t>
      </w:r>
      <w:r w:rsidRPr="00B21001">
        <w:t xml:space="preserve">: </w:t>
      </w:r>
      <w:r w:rsidRPr="00B21001">
        <w:rPr>
          <w:b/>
        </w:rPr>
        <w:t xml:space="preserve"> </w:t>
      </w:r>
      <w:r w:rsidRPr="00B21001">
        <w:t>consultants, contractors, secondees to the University, interns, volunteers, agency workers, those working at the University under an honorary, affiliate, or visitor appointment, and any other natural persons conducting research activity at, or on behalf of, the University other than Employees and Students</w:t>
      </w:r>
      <w:r w:rsidRPr="00B21001">
        <w:rPr>
          <w:b/>
        </w:rPr>
        <w:t>.</w:t>
      </w:r>
    </w:p>
    <w:p w14:paraId="5164107E" w14:textId="77777777" w:rsidR="00B21001" w:rsidRPr="00B21001" w:rsidRDefault="00B21001" w:rsidP="00F111AD">
      <w:r w:rsidRPr="00B21001">
        <w:rPr>
          <w:b/>
        </w:rPr>
        <w:t xml:space="preserve">Scholarly Materials: </w:t>
      </w:r>
      <w:r w:rsidRPr="00B21001">
        <w:rPr>
          <w:bCs/>
        </w:rPr>
        <w:t>scholarly works created by an Employee in the course of research or study including, without limitation, textbooks</w:t>
      </w:r>
      <w:r w:rsidRPr="00B21001">
        <w:t xml:space="preserve"> (unless such textbooks were developed using University-administered funds), academic articles, research papers and other written works intended principally for the purpose of scholarly publication, conference papers and presentations, theses and dissertations, works of non-fiction, fiction, novels and poems, films and sound </w:t>
      </w:r>
      <w:r w:rsidRPr="00B21001">
        <w:lastRenderedPageBreak/>
        <w:t xml:space="preserve">recordings, and works of art, in each case created by an Employee in the course of research or study, but excluding any such materials or part of them which are Teaching Materials. </w:t>
      </w:r>
    </w:p>
    <w:p w14:paraId="06D98AF1" w14:textId="77777777" w:rsidR="00B21001" w:rsidRPr="00B21001" w:rsidRDefault="00B21001" w:rsidP="00F111AD">
      <w:r w:rsidRPr="00B21001">
        <w:rPr>
          <w:b/>
        </w:rPr>
        <w:t xml:space="preserve">Student: </w:t>
      </w:r>
      <w:r w:rsidRPr="00B21001">
        <w:t>any student enrolled (or otherwise participating) on a course of study and/or research at the University of Glasgow.</w:t>
      </w:r>
    </w:p>
    <w:p w14:paraId="3E37CBD8" w14:textId="4D017647" w:rsidR="00B21001" w:rsidRPr="00B21001" w:rsidRDefault="00B21001" w:rsidP="00F111AD">
      <w:r w:rsidRPr="00B21001">
        <w:rPr>
          <w:b/>
        </w:rPr>
        <w:t xml:space="preserve">Teaching Materials: </w:t>
      </w:r>
      <w:r w:rsidRPr="00B21001">
        <w:rPr>
          <w:bCs/>
        </w:rPr>
        <w:t xml:space="preserve">materials created for the purpose of teaching and learning at the University </w:t>
      </w:r>
      <w:r w:rsidRPr="00B21001">
        <w:t>including, without limitation, course guides, study and teaching guides, handouts and presentation materials (including, without limitation, lecture notes, scripts, plans, slides and other audio-visual materials and/or sound recordings used as part of teaching delivery), instruction manuals and assessment and examination questions. Excluding any material sourced from a third-party work protected by copyright. Employees are responsible for identifying any such third-party work</w:t>
      </w:r>
      <w:r w:rsidR="00524607">
        <w:t xml:space="preserve"> </w:t>
      </w:r>
      <w:r w:rsidRPr="00B21001">
        <w:t>including in teaching and learning materials and for obtaining all necessary written permissions from the owners.</w:t>
      </w:r>
    </w:p>
    <w:p w14:paraId="7D93E28D" w14:textId="77777777" w:rsidR="00B21001" w:rsidRPr="00B21001" w:rsidRDefault="00B21001" w:rsidP="00F111AD">
      <w:r w:rsidRPr="00B21001">
        <w:rPr>
          <w:b/>
        </w:rPr>
        <w:t>Technical Know-how</w:t>
      </w:r>
      <w:r w:rsidRPr="00B21001">
        <w:t>: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secret, substantial (that is, significant and useful for the production, interpretation or use of the results) and identified.</w:t>
      </w:r>
    </w:p>
    <w:p w14:paraId="2D672732" w14:textId="77777777" w:rsidR="00B21001" w:rsidRPr="00B21001" w:rsidRDefault="00B21001" w:rsidP="00F111AD">
      <w:r w:rsidRPr="00B21001">
        <w:rPr>
          <w:b/>
        </w:rPr>
        <w:t xml:space="preserve">Trade Secret: </w:t>
      </w:r>
      <w:r w:rsidRPr="00B21001">
        <w:t>information which meets all of the following requirements: (</w:t>
      </w:r>
      <w:proofErr w:type="spellStart"/>
      <w:r w:rsidRPr="00B21001">
        <w:t>i</w:t>
      </w:r>
      <w:proofErr w:type="spellEnd"/>
      <w:r w:rsidRPr="00B21001">
        <w:t>) it is secret in the sense that it is not, as a body or in the precise configuration and assembly of its components, generally known among or readily accessible to persons within the circles that normally deal with the kind of information in question; (ii) it has commercial value because it is secret; and (iii) it has been subject to reasonable steps under the circumstances, by the person lawfully in control of the information, to keep it secret.</w:t>
      </w:r>
    </w:p>
    <w:p w14:paraId="5BD3DFD9" w14:textId="70944E44" w:rsidR="00B21001" w:rsidRPr="00B21001" w:rsidRDefault="00B21001" w:rsidP="00F111AD">
      <w:r w:rsidRPr="00B21001">
        <w:rPr>
          <w:b/>
        </w:rPr>
        <w:t>University IP</w:t>
      </w:r>
      <w:r w:rsidRPr="00B21001">
        <w:t>: IP owned, or to be owned, by the University in accordance with this policy.</w:t>
      </w:r>
    </w:p>
    <w:p w14:paraId="1C4DD843" w14:textId="11F875F7" w:rsidR="00B21001" w:rsidRPr="00B21001" w:rsidRDefault="00B21001" w:rsidP="00F111AD">
      <w:pPr>
        <w:pStyle w:val="Heading1"/>
      </w:pPr>
      <w:r w:rsidRPr="00B21001">
        <w:t>Intellectual Property Ownership</w:t>
      </w:r>
    </w:p>
    <w:p w14:paraId="716E4B8B" w14:textId="77777777" w:rsidR="00B21001" w:rsidRPr="008E1C7A" w:rsidRDefault="00B21001" w:rsidP="001366C6">
      <w:pPr>
        <w:pStyle w:val="Heading2"/>
      </w:pPr>
      <w:r w:rsidRPr="008E1C7A">
        <w:t>Employee Ownership</w:t>
      </w:r>
    </w:p>
    <w:p w14:paraId="2F54FF18" w14:textId="77777777" w:rsidR="00B21001" w:rsidRPr="00F111AD" w:rsidRDefault="00B21001" w:rsidP="00F111AD">
      <w:r w:rsidRPr="00F111AD">
        <w:t xml:space="preserve">Under UK </w:t>
      </w:r>
      <w:r w:rsidRPr="008E1C7A">
        <w:t>law as employer and via contracts of employment the University owns all IP generated by Employees in the course of their employment duties – irrespective of place and time of creation. The University has the right to protect and commercialise any Employee IP which it owns or where</w:t>
      </w:r>
      <w:r w:rsidRPr="00F111AD">
        <w:t xml:space="preserve"> it has the permission of any joint owners to do so.</w:t>
      </w:r>
    </w:p>
    <w:p w14:paraId="6ACB0F43" w14:textId="77777777" w:rsidR="00B21001" w:rsidRPr="00B21001" w:rsidRDefault="00B21001" w:rsidP="00F111AD">
      <w:r w:rsidRPr="00B21001">
        <w:t xml:space="preserve">All Employees are permitted to use any IP created by them in performance </w:t>
      </w:r>
      <w:proofErr w:type="gramStart"/>
      <w:r w:rsidRPr="00B21001">
        <w:t>of  their</w:t>
      </w:r>
      <w:proofErr w:type="gramEnd"/>
      <w:r w:rsidRPr="00B21001">
        <w:t xml:space="preserve"> normal research and teaching duties whilst employed at the University (subject to any relevant funder’s Terms &amp; Conditions and/or any contractual obligations entered by the University with third parties e.g. licensees).</w:t>
      </w:r>
    </w:p>
    <w:p w14:paraId="0B156B7D" w14:textId="77777777" w:rsidR="00B21001" w:rsidRDefault="00B21001" w:rsidP="001366C6">
      <w:pPr>
        <w:pStyle w:val="Heading2"/>
      </w:pPr>
      <w:r w:rsidRPr="008416DD">
        <w:lastRenderedPageBreak/>
        <w:t xml:space="preserve"> </w:t>
      </w:r>
      <w:r w:rsidRPr="00B21001">
        <w:t xml:space="preserve">Non-employee </w:t>
      </w:r>
      <w:r w:rsidRPr="00F111AD">
        <w:t>Personnel</w:t>
      </w:r>
      <w:r w:rsidRPr="00B21001">
        <w:t xml:space="preserve"> Ownership</w:t>
      </w:r>
    </w:p>
    <w:p w14:paraId="5E12C2A1" w14:textId="77777777" w:rsidR="00E1408B" w:rsidRDefault="008E1C7A" w:rsidP="008E1C7A">
      <w:pPr>
        <w:rPr>
          <w:lang w:eastAsia="en-US"/>
        </w:rPr>
      </w:pPr>
      <w:r w:rsidRPr="008E1C7A">
        <w:rPr>
          <w:lang w:eastAsia="en-US"/>
        </w:rPr>
        <w:t xml:space="preserve">Where Non-employee Personnel generate IP </w:t>
      </w:r>
      <w:proofErr w:type="gramStart"/>
      <w:r w:rsidRPr="008E1C7A">
        <w:rPr>
          <w:lang w:eastAsia="en-US"/>
        </w:rPr>
        <w:t>in the course of</w:t>
      </w:r>
      <w:proofErr w:type="gramEnd"/>
      <w:r w:rsidRPr="008E1C7A">
        <w:rPr>
          <w:lang w:eastAsia="en-US"/>
        </w:rPr>
        <w:t xml:space="preserve"> research or study conducted at the University, it is expected that, in most circumstances, such IP should be owned the University.  This is particularly the case where: </w:t>
      </w:r>
    </w:p>
    <w:p w14:paraId="4720B14C" w14:textId="7D65C685" w:rsidR="00E1408B" w:rsidRDefault="00E1408B" w:rsidP="00E1408B">
      <w:pPr>
        <w:pStyle w:val="ListParagraph"/>
        <w:numPr>
          <w:ilvl w:val="0"/>
          <w:numId w:val="36"/>
        </w:numPr>
        <w:ind w:left="1276" w:hanging="567"/>
        <w:rPr>
          <w:lang w:eastAsia="en-US"/>
        </w:rPr>
      </w:pPr>
      <w:r>
        <w:rPr>
          <w:lang w:eastAsia="en-US"/>
        </w:rPr>
        <w:t>T</w:t>
      </w:r>
      <w:r w:rsidR="008E1C7A" w:rsidRPr="008E1C7A">
        <w:rPr>
          <w:lang w:eastAsia="en-US"/>
        </w:rPr>
        <w:t>he University pays for, or otherwise provides or facilitates funding for the relevant activity;</w:t>
      </w:r>
    </w:p>
    <w:p w14:paraId="184267E1" w14:textId="77777777" w:rsidR="00E1408B" w:rsidRDefault="00E1408B" w:rsidP="00E1408B">
      <w:pPr>
        <w:pStyle w:val="ListParagraph"/>
        <w:numPr>
          <w:ilvl w:val="0"/>
          <w:numId w:val="36"/>
        </w:numPr>
        <w:ind w:left="1276" w:hanging="567"/>
        <w:rPr>
          <w:lang w:eastAsia="en-US"/>
        </w:rPr>
      </w:pPr>
      <w:r>
        <w:rPr>
          <w:lang w:eastAsia="en-US"/>
        </w:rPr>
        <w:t>T</w:t>
      </w:r>
      <w:r w:rsidR="008E1C7A" w:rsidRPr="008E1C7A">
        <w:rPr>
          <w:lang w:eastAsia="en-US"/>
        </w:rPr>
        <w:t>he University makes available premises, facilities, equipment, IT, consumables, or other materials for the purposes of the activity</w:t>
      </w:r>
    </w:p>
    <w:p w14:paraId="729247AD" w14:textId="77777777" w:rsidR="00E1408B" w:rsidRDefault="00E1408B" w:rsidP="00E1408B">
      <w:pPr>
        <w:pStyle w:val="ListParagraph"/>
        <w:numPr>
          <w:ilvl w:val="0"/>
          <w:numId w:val="36"/>
        </w:numPr>
        <w:ind w:left="1276" w:hanging="567"/>
        <w:rPr>
          <w:lang w:eastAsia="en-US"/>
        </w:rPr>
      </w:pPr>
      <w:r>
        <w:rPr>
          <w:lang w:eastAsia="en-US"/>
        </w:rPr>
        <w:t>T</w:t>
      </w:r>
      <w:r w:rsidR="008E1C7A" w:rsidRPr="008E1C7A">
        <w:rPr>
          <w:lang w:eastAsia="en-US"/>
        </w:rPr>
        <w:t xml:space="preserve">he University is subject to any third-party terms which require it to own the relevant IP; </w:t>
      </w:r>
      <w:r>
        <w:rPr>
          <w:lang w:eastAsia="en-US"/>
        </w:rPr>
        <w:t xml:space="preserve">or </w:t>
      </w:r>
    </w:p>
    <w:p w14:paraId="5547B746" w14:textId="2B358171" w:rsidR="00E1408B" w:rsidRDefault="00E1408B" w:rsidP="00E1408B">
      <w:pPr>
        <w:pStyle w:val="ListParagraph"/>
        <w:numPr>
          <w:ilvl w:val="0"/>
          <w:numId w:val="36"/>
        </w:numPr>
        <w:ind w:left="1276" w:hanging="567"/>
        <w:rPr>
          <w:lang w:eastAsia="en-US"/>
        </w:rPr>
      </w:pPr>
      <w:r>
        <w:rPr>
          <w:lang w:eastAsia="en-US"/>
        </w:rPr>
        <w:t>T</w:t>
      </w:r>
      <w:r w:rsidR="008E1C7A" w:rsidRPr="008E1C7A">
        <w:rPr>
          <w:lang w:eastAsia="en-US"/>
        </w:rPr>
        <w:t xml:space="preserve">he relevant activity otherwise relies on, develops, or reduces to practice, University IP.  </w:t>
      </w:r>
    </w:p>
    <w:p w14:paraId="125291A7" w14:textId="72878D61" w:rsidR="00E1408B" w:rsidRDefault="008E1C7A" w:rsidP="008E1C7A">
      <w:pPr>
        <w:rPr>
          <w:lang w:eastAsia="en-US"/>
        </w:rPr>
      </w:pPr>
      <w:r w:rsidRPr="008E1C7A">
        <w:rPr>
          <w:lang w:eastAsia="en-US"/>
        </w:rPr>
        <w:t>Where reasonably requested to do so, and to the extent that the relevant IP is not already owned by the University, Non-employee Personnel will assign (or ensure the assignation of) the relevant IP to the University.</w:t>
      </w:r>
    </w:p>
    <w:p w14:paraId="7A428EA4" w14:textId="1F54C692" w:rsidR="008E1C7A" w:rsidRPr="008E1C7A" w:rsidRDefault="008E1C7A" w:rsidP="008E1C7A">
      <w:pPr>
        <w:rPr>
          <w:lang w:eastAsia="en-US"/>
        </w:rPr>
      </w:pPr>
      <w:r w:rsidRPr="008E1C7A">
        <w:rPr>
          <w:lang w:eastAsia="en-US"/>
        </w:rPr>
        <w:t>The University may, in exceptional cases, consider whether it is appropriate for such Non-employee Personnel to be offered rights to a share of any net income generated by the University from the commercialisation by the University of such IP, in the same manner as an Employee under this policy. Any such agreement should be captured in writing between the parties.</w:t>
      </w:r>
    </w:p>
    <w:p w14:paraId="78D4CE19" w14:textId="77777777" w:rsidR="00B21001" w:rsidRPr="00B21001" w:rsidRDefault="00B21001" w:rsidP="001366C6">
      <w:pPr>
        <w:pStyle w:val="Heading2"/>
      </w:pPr>
      <w:r w:rsidRPr="00B21001">
        <w:t>Student Ownership</w:t>
      </w:r>
    </w:p>
    <w:p w14:paraId="6D5BE69D" w14:textId="77777777" w:rsidR="001366C6" w:rsidRDefault="00B21001" w:rsidP="00921EB6">
      <w:r w:rsidRPr="00B21001">
        <w:t xml:space="preserve">Students are not usually employed by the University and will, unless so employed or otherwise agreed, own any IP they create. There are situations </w:t>
      </w:r>
      <w:proofErr w:type="gramStart"/>
      <w:r w:rsidRPr="00B21001">
        <w:t>where</w:t>
      </w:r>
      <w:proofErr w:type="gramEnd"/>
      <w:r w:rsidRPr="00B21001">
        <w:t xml:space="preserve">, </w:t>
      </w:r>
      <w:proofErr w:type="gramStart"/>
      <w:r w:rsidRPr="00B21001">
        <w:t>in order for</w:t>
      </w:r>
      <w:proofErr w:type="gramEnd"/>
      <w:r w:rsidRPr="00B21001">
        <w:t xml:space="preserve"> a </w:t>
      </w:r>
      <w:proofErr w:type="gramStart"/>
      <w:r w:rsidRPr="00B21001">
        <w:t>Student</w:t>
      </w:r>
      <w:proofErr w:type="gramEnd"/>
      <w:r w:rsidRPr="00B21001">
        <w:t xml:space="preserve"> to be involved in a particular activity, it may be necessary for the relevant Student to assign their IP to the University. Examples where Student IP may require to be owned by the University include, for example, where a </w:t>
      </w:r>
      <w:proofErr w:type="gramStart"/>
      <w:r w:rsidRPr="00B21001">
        <w:t>Student</w:t>
      </w:r>
      <w:proofErr w:type="gramEnd"/>
      <w:r w:rsidRPr="00B21001">
        <w:t xml:space="preserve"> is being sponsored by a third party that requires the </w:t>
      </w:r>
      <w:proofErr w:type="gramStart"/>
      <w:r w:rsidRPr="00B21001">
        <w:t>Student</w:t>
      </w:r>
      <w:proofErr w:type="gramEnd"/>
      <w:r w:rsidRPr="00B21001">
        <w:t xml:space="preserve"> to assign their IP to the University or to the sponsoring body, in accordance with the terms and conditions which apply. The same may apply if the </w:t>
      </w:r>
      <w:proofErr w:type="gramStart"/>
      <w:r w:rsidRPr="00B21001">
        <w:t>Student</w:t>
      </w:r>
      <w:proofErr w:type="gramEnd"/>
      <w:r w:rsidRPr="00B21001">
        <w:t xml:space="preserve"> wishes to work in an area where the University has valuable IP and/or where arrangements are in place with commercial companies in relation to the results of funded research. </w:t>
      </w:r>
    </w:p>
    <w:p w14:paraId="16F39A3C" w14:textId="07053200" w:rsidR="00B21001" w:rsidRPr="00B21001" w:rsidRDefault="00B21001" w:rsidP="00921EB6">
      <w:r w:rsidRPr="00B21001">
        <w:t xml:space="preserve">In other cases, Students will be given the option to assign any IP to the University. Any Student who is required to assign their IP under this policy, or who otherwise chooses to assign their IP to the University, will formally assign their relevant IP to the University and will be granted the same rights as an Employee as set out in this policy.   </w:t>
      </w:r>
    </w:p>
    <w:p w14:paraId="1A709ABC" w14:textId="77777777" w:rsidR="00B21001" w:rsidRPr="00B21001" w:rsidRDefault="00B21001" w:rsidP="001366C6">
      <w:pPr>
        <w:pStyle w:val="Heading2"/>
      </w:pPr>
      <w:r w:rsidRPr="00B21001">
        <w:t xml:space="preserve">Variations to </w:t>
      </w:r>
      <w:r w:rsidRPr="001366C6">
        <w:t>Ownership</w:t>
      </w:r>
    </w:p>
    <w:p w14:paraId="3CA564ED" w14:textId="0E2EABFA" w:rsidR="00B21001" w:rsidRPr="00B21001" w:rsidRDefault="00B21001" w:rsidP="001366C6">
      <w:r w:rsidRPr="00B21001">
        <w:t xml:space="preserve">There are </w:t>
      </w:r>
      <w:proofErr w:type="gramStart"/>
      <w:r w:rsidRPr="00B21001">
        <w:t>a number of</w:t>
      </w:r>
      <w:proofErr w:type="gramEnd"/>
      <w:r w:rsidRPr="00B21001">
        <w:t xml:space="preserve"> circumstances where the University varies its ownership of Employee IP either in compliance with a third-party funder terms and conditions or following negotiation of</w:t>
      </w:r>
      <w:r w:rsidR="001366C6">
        <w:t xml:space="preserve"> </w:t>
      </w:r>
      <w:r w:rsidRPr="00B21001">
        <w:t xml:space="preserve">contractual terms. Common scenarios for variation of </w:t>
      </w:r>
      <w:proofErr w:type="gramStart"/>
      <w:r w:rsidRPr="00B21001">
        <w:t>University</w:t>
      </w:r>
      <w:proofErr w:type="gramEnd"/>
      <w:r w:rsidRPr="00B21001">
        <w:t xml:space="preserve"> ownership include where a research grant funder has this as a requirement of accepting the grant, a negotiated term in a contract with a commercial third party or under an agreement with a third-party joint IP owner </w:t>
      </w:r>
      <w:r w:rsidRPr="00B21001">
        <w:lastRenderedPageBreak/>
        <w:t>e.g. under the terms of an academic collaboration agreement or joint patent agreement. Regardless of ownership of the IP, the University requires access to all data generated using University resources and will retain the original raw data when an individual (Employee, Student or Non-employee Personnel) leaves.</w:t>
      </w:r>
    </w:p>
    <w:p w14:paraId="301DBCA7" w14:textId="77777777" w:rsidR="00B21001" w:rsidRPr="00B21001" w:rsidRDefault="00B21001" w:rsidP="001366C6">
      <w:pPr>
        <w:pStyle w:val="Heading2"/>
      </w:pPr>
      <w:r w:rsidRPr="00B21001">
        <w:t>Scholarly Materials</w:t>
      </w:r>
    </w:p>
    <w:p w14:paraId="162EA477" w14:textId="77777777" w:rsidR="008D251C" w:rsidRDefault="00B21001" w:rsidP="001366C6">
      <w:r w:rsidRPr="00B21001">
        <w:t xml:space="preserve">The University waives its rights to ownership of any copyright in Scholarly Materials created by Employees except in respect of: </w:t>
      </w:r>
    </w:p>
    <w:p w14:paraId="357AE266" w14:textId="68715AFB" w:rsidR="008D251C" w:rsidRDefault="00A7542D" w:rsidP="008123E8">
      <w:pPr>
        <w:pStyle w:val="ListParagraph"/>
        <w:numPr>
          <w:ilvl w:val="0"/>
          <w:numId w:val="37"/>
        </w:numPr>
        <w:ind w:hanging="550"/>
      </w:pPr>
      <w:r>
        <w:t>C</w:t>
      </w:r>
      <w:r w:rsidR="00B21001" w:rsidRPr="00B21001">
        <w:t xml:space="preserve">omputer programs created by Employees in the course of their duties (which includes, without limitation, software, source code, object code, preparatory design materials, firmware, any supporting documents, and all other works or material recorded or embodied in the software, including, without limitation, the audio or visual content in any screen displays in the user interface); </w:t>
      </w:r>
    </w:p>
    <w:p w14:paraId="5438F1EA" w14:textId="3B348E9D" w:rsidR="00A7542D" w:rsidRDefault="00A7542D" w:rsidP="008123E8">
      <w:pPr>
        <w:pStyle w:val="ListParagraph"/>
        <w:numPr>
          <w:ilvl w:val="0"/>
          <w:numId w:val="37"/>
        </w:numPr>
        <w:ind w:hanging="550"/>
      </w:pPr>
      <w:r>
        <w:t>D</w:t>
      </w:r>
      <w:r w:rsidR="00B21001" w:rsidRPr="00B21001">
        <w:t>atabases or aggregations of data and/or datasets (data commons and the like) created by Employees in the course of their duties;</w:t>
      </w:r>
    </w:p>
    <w:p w14:paraId="1A0265A2" w14:textId="77777777" w:rsidR="00A7542D" w:rsidRDefault="00A7542D" w:rsidP="008123E8">
      <w:pPr>
        <w:pStyle w:val="ListParagraph"/>
        <w:numPr>
          <w:ilvl w:val="0"/>
          <w:numId w:val="37"/>
        </w:numPr>
        <w:ind w:hanging="550"/>
      </w:pPr>
      <w:r>
        <w:t>W</w:t>
      </w:r>
      <w:r w:rsidR="00B21001" w:rsidRPr="00B21001">
        <w:t>orks created by Employees for University administrative and/or operational purposes including, without limitation, reports, syllabuses, curricula, timetables, regulations, policies, handbooks, examination and assessment materials, promotional or marketing materials, and artistic works relating to the University’s brands, logos, and the like;</w:t>
      </w:r>
    </w:p>
    <w:p w14:paraId="7EB65BAA" w14:textId="77777777" w:rsidR="00A7542D" w:rsidRDefault="00A7542D" w:rsidP="008123E8">
      <w:pPr>
        <w:pStyle w:val="ListParagraph"/>
        <w:numPr>
          <w:ilvl w:val="0"/>
          <w:numId w:val="37"/>
        </w:numPr>
        <w:ind w:hanging="550"/>
      </w:pPr>
      <w:r>
        <w:t>T</w:t>
      </w:r>
      <w:r w:rsidR="00B21001" w:rsidRPr="00B21001">
        <w:t>echnical specifications, technical designs, or other works created by Employees in the course of their duties which may be of assistance to the University in protecting or supporting the commercialisation of rights in patentable inventions, Trade Secrets, Technical Know-how, commercially exploitable products, or other innovations; and/or</w:t>
      </w:r>
    </w:p>
    <w:p w14:paraId="25A50CD1" w14:textId="4602BD7F" w:rsidR="00A7542D" w:rsidRPr="00B21001" w:rsidRDefault="00A7542D" w:rsidP="008123E8">
      <w:pPr>
        <w:pStyle w:val="ListParagraph"/>
        <w:numPr>
          <w:ilvl w:val="0"/>
          <w:numId w:val="37"/>
        </w:numPr>
        <w:ind w:hanging="550"/>
      </w:pPr>
      <w:r>
        <w:t>W</w:t>
      </w:r>
      <w:r w:rsidR="00B21001" w:rsidRPr="00B21001">
        <w:t xml:space="preserve">orks created in the course of sponsored/funded research or work commissioned by, or in collaboration with, a third party, where the terms of such </w:t>
      </w:r>
      <w:r w:rsidR="007E6F4D" w:rsidRPr="00B21001">
        <w:t>third-party</w:t>
      </w:r>
      <w:r w:rsidR="00B21001" w:rsidRPr="00B21001">
        <w:t xml:space="preserve"> arrangement require the University to assign (or to own and license) copyright in such works to a third party. Where an exception applies, the University will retain its ownership rights to the relevant copyright.</w:t>
      </w:r>
    </w:p>
    <w:p w14:paraId="3A360249" w14:textId="5DEEA82A" w:rsidR="00B21001" w:rsidRDefault="00B21001" w:rsidP="00B8733B">
      <w:bookmarkStart w:id="1" w:name="OLE_LINK7"/>
      <w:r w:rsidRPr="00B21001">
        <w:t xml:space="preserve">Where ownership is waived by the University under this paragraph 3.5, </w:t>
      </w:r>
      <w:r w:rsidR="0096088F">
        <w:t>each Employee</w:t>
      </w:r>
      <w:r w:rsidRPr="00B21001">
        <w:t xml:space="preserve"> shall </w:t>
      </w:r>
      <w:r w:rsidR="0096088F">
        <w:t>automatically grant to the University</w:t>
      </w:r>
      <w:r w:rsidRPr="00B21001">
        <w:t xml:space="preserve"> a perpetual, irrevocable, worldwide, royalty free, non-exclusive right and licence (with the right to sub-license) to use, reproduce, modify and adapt the Scholarly Material for the promotional, educational, research and teaching purposes of the University and in any format.</w:t>
      </w:r>
      <w:r w:rsidR="0096088F">
        <w:t xml:space="preserve"> Where the relevant Scholarly Work is an “in-scope work” as defined in the University’s Research Publications and Copyright Policy, the terms of that policy will also apply.</w:t>
      </w:r>
    </w:p>
    <w:bookmarkEnd w:id="1"/>
    <w:p w14:paraId="45027167" w14:textId="77777777" w:rsidR="00B21001" w:rsidRPr="00B21001" w:rsidRDefault="00B21001" w:rsidP="00B8733B">
      <w:pPr>
        <w:pStyle w:val="Heading1"/>
      </w:pPr>
      <w:r w:rsidRPr="00B21001">
        <w:t>Requirement for Confidentiality and Record Keeping</w:t>
      </w:r>
    </w:p>
    <w:p w14:paraId="7193BEC5" w14:textId="77777777" w:rsidR="00B21001" w:rsidRPr="00B21001" w:rsidRDefault="00B21001" w:rsidP="00B8733B">
      <w:r w:rsidRPr="00B21001">
        <w:t>All Members of the University Community should make every effort to keep all University IP confidential until discussions with the University have taken place and any opportunity to file for patent protection has been assessed. Disclosure or publication of IP prior to filing a patent application may harm or eliminate the opportunity to obtain patent protection for the invention.</w:t>
      </w:r>
    </w:p>
    <w:p w14:paraId="4C0A6E19" w14:textId="77777777" w:rsidR="00B21001" w:rsidRPr="00B21001" w:rsidRDefault="00B21001" w:rsidP="00B8733B">
      <w:r w:rsidRPr="00B21001">
        <w:lastRenderedPageBreak/>
        <w:t xml:space="preserve">Disclosure includes the IP being made available publicly in a written or oral format, including open access theses submitted in respect of a degree at the University or any other institutions; submissions to journals; conference papers; seminar contributions; poster presentations; correspondence and emails; and any discussions or conversations with third parties which are not covered by an obligation of confidentiality. If there is a need to disclose information relating to an invention prior to a patent application being filed, an appropriate non-disclosure agreement </w:t>
      </w:r>
      <w:r w:rsidRPr="00B21001">
        <w:rPr>
          <w:b/>
          <w:u w:val="single"/>
        </w:rPr>
        <w:t xml:space="preserve">must </w:t>
      </w:r>
      <w:r w:rsidRPr="00B21001">
        <w:t>be put in place.</w:t>
      </w:r>
    </w:p>
    <w:p w14:paraId="472E8987" w14:textId="77777777" w:rsidR="00B21001" w:rsidRPr="00B21001" w:rsidRDefault="00B21001" w:rsidP="00B8733B">
      <w:r w:rsidRPr="00B21001">
        <w:t xml:space="preserve">For the purposes of protection and exploitation of any IP, it is likely that access will be required to the laboratory notebooks and other written records (including data and research results) generated by the relevant Member of the University </w:t>
      </w:r>
      <w:proofErr w:type="gramStart"/>
      <w:r w:rsidRPr="00B21001">
        <w:t>Community .</w:t>
      </w:r>
      <w:proofErr w:type="gramEnd"/>
      <w:r w:rsidRPr="00B21001">
        <w:t xml:space="preserve"> It is therefore best practice to keep full, accurate and up-to- date written records of all University IP which they create. Such records should be regularly signed off by the individual’s line manager or supervisor and should be kept safe from unauthorised access and will be retained by the University when the individual leaves.</w:t>
      </w:r>
    </w:p>
    <w:p w14:paraId="08CBD79D" w14:textId="3EDB66FD" w:rsidR="00B21001" w:rsidRPr="00B21001" w:rsidRDefault="00B21001" w:rsidP="00B8733B">
      <w:pPr>
        <w:pStyle w:val="Heading1"/>
      </w:pPr>
      <w:r w:rsidRPr="00B21001">
        <w:t>Rights to use of Employee Intellectual Property (IP)</w:t>
      </w:r>
    </w:p>
    <w:p w14:paraId="0F1B5ECE" w14:textId="77777777" w:rsidR="00B21001" w:rsidRPr="00B21001" w:rsidRDefault="00B21001" w:rsidP="00B8733B">
      <w:pPr>
        <w:pStyle w:val="Heading2"/>
      </w:pPr>
      <w:r w:rsidRPr="00B21001">
        <w:t>Employee Right to Use Intellectual Property (IP)</w:t>
      </w:r>
    </w:p>
    <w:p w14:paraId="2810C43A" w14:textId="77777777" w:rsidR="00B21001" w:rsidRPr="00B21001" w:rsidRDefault="00B21001" w:rsidP="00B8733B">
      <w:r w:rsidRPr="00B21001">
        <w:t>All Employees are entitled to use any University IP created by them in the course of their normal duties whilst employed at the University, including in further research (e.g. grant applications, publications) and teaching related activities (subject to any other funders Terms &amp; Conditions and/or any contractual obligations entered by the University with third parties e.g. licensees).</w:t>
      </w:r>
    </w:p>
    <w:p w14:paraId="2644B22C" w14:textId="77777777" w:rsidR="00B21001" w:rsidRPr="00B21001" w:rsidRDefault="00B21001" w:rsidP="00B8733B">
      <w:pPr>
        <w:pStyle w:val="Heading2"/>
      </w:pPr>
      <w:r w:rsidRPr="00B21001">
        <w:t>Use of Third-Party Intellectual Property (IP)</w:t>
      </w:r>
    </w:p>
    <w:p w14:paraId="3474184E" w14:textId="77777777" w:rsidR="00B21001" w:rsidRPr="00B21001" w:rsidRDefault="00B21001" w:rsidP="00B8733B">
      <w:r w:rsidRPr="00B21001">
        <w:t>By law, rights to use IP owned by third parties for research purposes are extremely limited and   all Members of the University Community should be very careful if they are using or intend to use any IP created outside of the University in their research activities at the University. If any Member of the University Community receives a notification from any third party alleging that that they have infringed the third party's rights in any IP, the individual should contact the IP &amp; Commercialisation team within the Innovation Services Directorate immediately.</w:t>
      </w:r>
    </w:p>
    <w:p w14:paraId="64D52567" w14:textId="77777777" w:rsidR="00B21001" w:rsidRPr="00B21001" w:rsidRDefault="00B21001" w:rsidP="00B8733B">
      <w:pPr>
        <w:pStyle w:val="Heading2"/>
      </w:pPr>
      <w:r w:rsidRPr="00B21001">
        <w:t>Teaching Materials</w:t>
      </w:r>
    </w:p>
    <w:p w14:paraId="6008BBAE" w14:textId="77777777" w:rsidR="00B21001" w:rsidRPr="00B21001" w:rsidRDefault="00B21001" w:rsidP="00B8733B">
      <w:r w:rsidRPr="00B21001">
        <w:t>The University owns all Teaching Materials and grants each Employee a royalty-free, non-exclusive license to use the Teaching Materials created by them for teaching or research purposes which are non- commercial only for as long as the Employee remains employed by the University.</w:t>
      </w:r>
    </w:p>
    <w:p w14:paraId="4A14E531" w14:textId="77777777" w:rsidR="00B21001" w:rsidRPr="00B21001" w:rsidRDefault="00B21001" w:rsidP="00B8733B">
      <w:r w:rsidRPr="00B21001">
        <w:t>If the individual ceases to be employed by the University, the individual may request a single copy of the Teaching Materials for his/her personal use and for teaching and research purposes which are non-commercial.</w:t>
      </w:r>
    </w:p>
    <w:p w14:paraId="1EA9609E" w14:textId="77777777" w:rsidR="00B21001" w:rsidRPr="00B21001" w:rsidRDefault="00B21001" w:rsidP="00B8733B">
      <w:pPr>
        <w:pStyle w:val="Heading2"/>
      </w:pPr>
      <w:r w:rsidRPr="00B21001">
        <w:lastRenderedPageBreak/>
        <w:t>Leavers/Former Employees</w:t>
      </w:r>
    </w:p>
    <w:p w14:paraId="62EC62BD" w14:textId="77777777" w:rsidR="00B21001" w:rsidRPr="00B21001" w:rsidRDefault="00B21001" w:rsidP="00B8733B">
      <w:r w:rsidRPr="00B21001">
        <w:t>Members of the University Community are not automatically entitled to use any University IP created by them after they leave the University. The University will consider reasonably any requests received from leaving or former individuals to use any University IP created by them for future academic and non-commercially funded research and teaching purposes. Where it is able and willing to do so, the University will normally grant a licence to the individual’s new employer for this purpose. Any requests for licences should be directed to the IP &amp; Commercialisation team within Research &amp; Innovation Services Directorate who will liaise with the respective College(s) as appropriate.</w:t>
      </w:r>
    </w:p>
    <w:p w14:paraId="2194E898" w14:textId="77777777" w:rsidR="00B21001" w:rsidRPr="00B21001" w:rsidRDefault="00B21001" w:rsidP="00B8733B">
      <w:r w:rsidRPr="00B21001">
        <w:t>Members of the University Community are reminded that by law they are bound to keep confidential any proprietary information owned by the University which is not in the public domain and are not permitted to use such information, or disclose it to third parties, after cessation of their activity at the University.</w:t>
      </w:r>
    </w:p>
    <w:p w14:paraId="68ABD354" w14:textId="77777777" w:rsidR="00B21001" w:rsidRPr="00B21001" w:rsidRDefault="00B21001" w:rsidP="00B8733B">
      <w:r w:rsidRPr="00B21001">
        <w:t>Regardless of ownership of the IP, the University requires access to all data generated using University resources and will retain the original data when a Member of the University Community.</w:t>
      </w:r>
    </w:p>
    <w:p w14:paraId="314BA85C" w14:textId="77777777" w:rsidR="00B21001" w:rsidRPr="00B21001" w:rsidRDefault="00B21001" w:rsidP="00931B0D">
      <w:pPr>
        <w:pStyle w:val="Heading1"/>
      </w:pPr>
      <w:r w:rsidRPr="00B21001">
        <w:t>Rewards for Participation in the Exploitation of University Intellectual Property</w:t>
      </w:r>
    </w:p>
    <w:p w14:paraId="3E86A617" w14:textId="77777777" w:rsidR="00B21001" w:rsidRPr="00B21001" w:rsidRDefault="00B21001" w:rsidP="00931B0D">
      <w:r w:rsidRPr="00B21001">
        <w:t>The University is committed to encouraging its Employees to participate in the commercialisation of its IP by licensing its technologies and creating new companies to maximise the societal impact of the University’s research and scholarly activities. The University provides mechanisms by which those Employees that participate can share in any financial rewards from such activity.</w:t>
      </w:r>
    </w:p>
    <w:p w14:paraId="4E9EA3EF" w14:textId="77777777" w:rsidR="00B21001" w:rsidRPr="00B21001" w:rsidRDefault="00B21001" w:rsidP="00931B0D">
      <w:r w:rsidRPr="00B21001">
        <w:t>The policy for rewarding Employee participation is described below.</w:t>
      </w:r>
    </w:p>
    <w:p w14:paraId="3703F106" w14:textId="77777777" w:rsidR="00B21001" w:rsidRPr="008416DD" w:rsidRDefault="00B21001" w:rsidP="00931B0D">
      <w:pPr>
        <w:pStyle w:val="Heading2"/>
        <w:rPr>
          <w:i/>
        </w:rPr>
      </w:pPr>
      <w:r w:rsidRPr="00B21001">
        <w:t xml:space="preserve">University Licensing Income </w:t>
      </w:r>
    </w:p>
    <w:p w14:paraId="2D424DEB" w14:textId="77777777" w:rsidR="00B21001" w:rsidRPr="00B21001" w:rsidRDefault="00B21001" w:rsidP="00931B0D">
      <w:r w:rsidRPr="00B21001">
        <w:t xml:space="preserve">Employees are entitled to share in net income received by the University from the licensing of </w:t>
      </w:r>
      <w:proofErr w:type="gramStart"/>
      <w:r w:rsidRPr="00B21001">
        <w:t>University  IP</w:t>
      </w:r>
      <w:proofErr w:type="gramEnd"/>
      <w:r w:rsidRPr="00B21001">
        <w:t xml:space="preserve"> they created </w:t>
      </w:r>
      <w:proofErr w:type="gramStart"/>
      <w:r w:rsidRPr="00B21001">
        <w:t>( or</w:t>
      </w:r>
      <w:proofErr w:type="gramEnd"/>
      <w:r w:rsidRPr="00B21001">
        <w:t xml:space="preserve"> are deemed to have made a material contribution to the creation of the IP, to third parties including a spin-out company in which they are a University Employee founder  </w:t>
      </w:r>
    </w:p>
    <w:p w14:paraId="63B408EF" w14:textId="77777777" w:rsidR="00B21001" w:rsidRPr="00B21001" w:rsidRDefault="00B21001" w:rsidP="00931B0D">
      <w:r w:rsidRPr="00B21001">
        <w:t xml:space="preserve">For the purposes of this policy net income is defined as gross cash (e.g. upfront payments, milestone payments and royalties) paid by the licensee and received by the University under the terms of a license agreement </w:t>
      </w:r>
      <w:r w:rsidRPr="00B21001">
        <w:rPr>
          <w:b/>
          <w:u w:val="single"/>
        </w:rPr>
        <w:t xml:space="preserve">less </w:t>
      </w:r>
      <w:r w:rsidRPr="00B21001">
        <w:t xml:space="preserve">any external legal </w:t>
      </w:r>
      <w:proofErr w:type="gramStart"/>
      <w:r w:rsidRPr="00B21001">
        <w:t>costs,  external</w:t>
      </w:r>
      <w:proofErr w:type="gramEnd"/>
      <w:r w:rsidRPr="00B21001">
        <w:t xml:space="preserve"> intellectual property evaluation/protection costs, or other deductions. Examples of ‘other deductions’ include revenue-share obligations to research funders e.g. Charities, under their grant funding terms and conditions or to joint IP owners where there is an obligation to share revenue.</w:t>
      </w:r>
    </w:p>
    <w:p w14:paraId="0CC7AD7E" w14:textId="77777777" w:rsidR="00B21001" w:rsidRPr="00B21001" w:rsidRDefault="00B21001" w:rsidP="00931B0D">
      <w:r w:rsidRPr="00B21001">
        <w:t>In some cases, net income may include shares in the licensee. In such scenarios, if the employee does not receive the shares personally, then all shares are held by GU Holdings Ltd. And any share dividend payments or cash from the disposal of shares will be subject to this policy. Disposal of any shares will be at the sole discretion of GU Holdings Ltd.</w:t>
      </w:r>
    </w:p>
    <w:p w14:paraId="2B1C4B36" w14:textId="140A7D20" w:rsidR="00B21001" w:rsidRPr="00B21001" w:rsidRDefault="00B21001" w:rsidP="00931B0D">
      <w:r w:rsidRPr="00B21001">
        <w:lastRenderedPageBreak/>
        <w:t>The distribution policy for % share of net licensing income is set out below.</w:t>
      </w: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13" w:type="dxa"/>
          <w:bottom w:w="57" w:type="dxa"/>
          <w:right w:w="113" w:type="dxa"/>
        </w:tblCellMar>
        <w:tblLook w:val="01E0" w:firstRow="1" w:lastRow="1" w:firstColumn="1" w:lastColumn="1" w:noHBand="0" w:noVBand="0"/>
      </w:tblPr>
      <w:tblGrid>
        <w:gridCol w:w="2126"/>
        <w:gridCol w:w="2126"/>
        <w:gridCol w:w="2126"/>
        <w:gridCol w:w="2127"/>
      </w:tblGrid>
      <w:tr w:rsidR="0047322A" w:rsidRPr="00931B0D" w14:paraId="71C3E7B6" w14:textId="77777777" w:rsidTr="0047322A">
        <w:trPr>
          <w:trHeight w:val="20"/>
        </w:trPr>
        <w:tc>
          <w:tcPr>
            <w:tcW w:w="2126" w:type="dxa"/>
            <w:shd w:val="clear" w:color="auto" w:fill="F2F2F2" w:themeFill="background1" w:themeFillShade="F2"/>
          </w:tcPr>
          <w:p w14:paraId="777E1182" w14:textId="77777777" w:rsidR="00B21001" w:rsidRPr="0047322A" w:rsidRDefault="00B21001" w:rsidP="0047322A">
            <w:pPr>
              <w:spacing w:after="0"/>
              <w:ind w:left="0"/>
              <w:rPr>
                <w:b/>
                <w:bCs/>
                <w:sz w:val="20"/>
                <w:szCs w:val="20"/>
              </w:rPr>
            </w:pPr>
            <w:r w:rsidRPr="0047322A">
              <w:rPr>
                <w:b/>
                <w:bCs/>
                <w:sz w:val="20"/>
                <w:szCs w:val="20"/>
              </w:rPr>
              <w:t>Net licence income</w:t>
            </w:r>
          </w:p>
        </w:tc>
        <w:tc>
          <w:tcPr>
            <w:tcW w:w="2126" w:type="dxa"/>
            <w:shd w:val="clear" w:color="auto" w:fill="F2F2F2" w:themeFill="background1" w:themeFillShade="F2"/>
          </w:tcPr>
          <w:p w14:paraId="3A729F97" w14:textId="03328A5C" w:rsidR="00B21001" w:rsidRPr="0047322A" w:rsidRDefault="00B21001" w:rsidP="0047322A">
            <w:pPr>
              <w:spacing w:after="0"/>
              <w:ind w:left="0"/>
              <w:jc w:val="center"/>
              <w:rPr>
                <w:b/>
                <w:bCs/>
                <w:sz w:val="20"/>
                <w:szCs w:val="20"/>
              </w:rPr>
            </w:pPr>
            <w:r w:rsidRPr="0047322A">
              <w:rPr>
                <w:b/>
                <w:bCs/>
                <w:sz w:val="20"/>
                <w:szCs w:val="20"/>
              </w:rPr>
              <w:t>Employee(s)</w:t>
            </w:r>
          </w:p>
        </w:tc>
        <w:tc>
          <w:tcPr>
            <w:tcW w:w="2126" w:type="dxa"/>
            <w:shd w:val="clear" w:color="auto" w:fill="F2F2F2" w:themeFill="background1" w:themeFillShade="F2"/>
          </w:tcPr>
          <w:p w14:paraId="5A6124F8" w14:textId="77777777" w:rsidR="00B21001" w:rsidRPr="0047322A" w:rsidRDefault="00B21001" w:rsidP="0047322A">
            <w:pPr>
              <w:spacing w:after="0"/>
              <w:ind w:left="0"/>
              <w:jc w:val="center"/>
              <w:rPr>
                <w:b/>
                <w:bCs/>
                <w:sz w:val="20"/>
                <w:szCs w:val="20"/>
              </w:rPr>
            </w:pPr>
            <w:r w:rsidRPr="0047322A">
              <w:rPr>
                <w:b/>
                <w:bCs/>
                <w:sz w:val="20"/>
                <w:szCs w:val="20"/>
              </w:rPr>
              <w:t>College</w:t>
            </w:r>
          </w:p>
        </w:tc>
        <w:tc>
          <w:tcPr>
            <w:tcW w:w="2127" w:type="dxa"/>
            <w:shd w:val="clear" w:color="auto" w:fill="F2F2F2" w:themeFill="background1" w:themeFillShade="F2"/>
          </w:tcPr>
          <w:p w14:paraId="5BD41203" w14:textId="77777777" w:rsidR="00B21001" w:rsidRPr="0047322A" w:rsidRDefault="00B21001" w:rsidP="0047322A">
            <w:pPr>
              <w:spacing w:after="0"/>
              <w:ind w:left="0"/>
              <w:jc w:val="center"/>
              <w:rPr>
                <w:b/>
                <w:bCs/>
                <w:sz w:val="20"/>
                <w:szCs w:val="20"/>
              </w:rPr>
            </w:pPr>
            <w:r w:rsidRPr="0047322A">
              <w:rPr>
                <w:b/>
                <w:bCs/>
                <w:sz w:val="20"/>
                <w:szCs w:val="20"/>
              </w:rPr>
              <w:t>Innovation Fund</w:t>
            </w:r>
          </w:p>
        </w:tc>
      </w:tr>
      <w:tr w:rsidR="0047322A" w:rsidRPr="00931B0D" w14:paraId="6557E2C9" w14:textId="77777777" w:rsidTr="0047322A">
        <w:trPr>
          <w:trHeight w:val="20"/>
        </w:trPr>
        <w:tc>
          <w:tcPr>
            <w:tcW w:w="2126" w:type="dxa"/>
            <w:shd w:val="clear" w:color="auto" w:fill="F2F2F2" w:themeFill="background1" w:themeFillShade="F2"/>
          </w:tcPr>
          <w:p w14:paraId="039D1D2B" w14:textId="2C6D3C38" w:rsidR="00B21001" w:rsidRPr="0047322A" w:rsidRDefault="00B21001" w:rsidP="0047322A">
            <w:pPr>
              <w:spacing w:after="0"/>
              <w:ind w:left="0"/>
              <w:jc w:val="both"/>
              <w:rPr>
                <w:b/>
                <w:bCs/>
                <w:sz w:val="20"/>
                <w:szCs w:val="20"/>
              </w:rPr>
            </w:pPr>
            <w:r w:rsidRPr="0047322A">
              <w:rPr>
                <w:b/>
                <w:bCs/>
                <w:sz w:val="20"/>
                <w:szCs w:val="20"/>
              </w:rPr>
              <w:t>Up to £250k</w:t>
            </w:r>
          </w:p>
        </w:tc>
        <w:tc>
          <w:tcPr>
            <w:tcW w:w="2126" w:type="dxa"/>
          </w:tcPr>
          <w:p w14:paraId="3D74AB66" w14:textId="77777777" w:rsidR="00B21001" w:rsidRPr="0047322A" w:rsidRDefault="00B21001" w:rsidP="0047322A">
            <w:pPr>
              <w:spacing w:after="0"/>
              <w:ind w:left="0" w:right="415"/>
              <w:jc w:val="right"/>
              <w:rPr>
                <w:sz w:val="20"/>
                <w:szCs w:val="20"/>
              </w:rPr>
            </w:pPr>
            <w:r w:rsidRPr="0047322A">
              <w:rPr>
                <w:sz w:val="20"/>
                <w:szCs w:val="20"/>
              </w:rPr>
              <w:t>80%</w:t>
            </w:r>
          </w:p>
        </w:tc>
        <w:tc>
          <w:tcPr>
            <w:tcW w:w="2126" w:type="dxa"/>
          </w:tcPr>
          <w:p w14:paraId="3FE04B69" w14:textId="77777777" w:rsidR="00B21001" w:rsidRPr="0047322A" w:rsidRDefault="00B21001" w:rsidP="0047322A">
            <w:pPr>
              <w:spacing w:after="0"/>
              <w:ind w:left="0" w:right="415"/>
              <w:jc w:val="right"/>
              <w:rPr>
                <w:sz w:val="20"/>
                <w:szCs w:val="20"/>
              </w:rPr>
            </w:pPr>
            <w:r w:rsidRPr="0047322A">
              <w:rPr>
                <w:sz w:val="20"/>
                <w:szCs w:val="20"/>
              </w:rPr>
              <w:t>10%</w:t>
            </w:r>
          </w:p>
        </w:tc>
        <w:tc>
          <w:tcPr>
            <w:tcW w:w="2127" w:type="dxa"/>
          </w:tcPr>
          <w:p w14:paraId="1AB9CF71" w14:textId="77777777" w:rsidR="00B21001" w:rsidRPr="0047322A" w:rsidRDefault="00B21001" w:rsidP="0047322A">
            <w:pPr>
              <w:spacing w:after="0"/>
              <w:ind w:left="0" w:right="415"/>
              <w:jc w:val="right"/>
              <w:rPr>
                <w:sz w:val="20"/>
                <w:szCs w:val="20"/>
              </w:rPr>
            </w:pPr>
            <w:r w:rsidRPr="0047322A">
              <w:rPr>
                <w:sz w:val="20"/>
                <w:szCs w:val="20"/>
              </w:rPr>
              <w:t>10%</w:t>
            </w:r>
          </w:p>
        </w:tc>
      </w:tr>
      <w:tr w:rsidR="0047322A" w:rsidRPr="00931B0D" w14:paraId="0481BD15" w14:textId="77777777" w:rsidTr="0047322A">
        <w:trPr>
          <w:trHeight w:val="138"/>
        </w:trPr>
        <w:tc>
          <w:tcPr>
            <w:tcW w:w="2126" w:type="dxa"/>
            <w:shd w:val="clear" w:color="auto" w:fill="F2F2F2" w:themeFill="background1" w:themeFillShade="F2"/>
          </w:tcPr>
          <w:p w14:paraId="77A436D2" w14:textId="75AC0263" w:rsidR="00B21001" w:rsidRPr="0047322A" w:rsidRDefault="00B21001" w:rsidP="0047322A">
            <w:pPr>
              <w:spacing w:after="0"/>
              <w:ind w:left="0"/>
              <w:jc w:val="both"/>
              <w:rPr>
                <w:b/>
                <w:bCs/>
                <w:sz w:val="20"/>
                <w:szCs w:val="20"/>
              </w:rPr>
            </w:pPr>
            <w:r w:rsidRPr="0047322A">
              <w:rPr>
                <w:b/>
                <w:bCs/>
                <w:sz w:val="20"/>
                <w:szCs w:val="20"/>
              </w:rPr>
              <w:t xml:space="preserve">£251k to £1m </w:t>
            </w:r>
          </w:p>
        </w:tc>
        <w:tc>
          <w:tcPr>
            <w:tcW w:w="2126" w:type="dxa"/>
          </w:tcPr>
          <w:p w14:paraId="71D81584" w14:textId="77777777" w:rsidR="00B21001" w:rsidRPr="0047322A" w:rsidRDefault="00B21001" w:rsidP="0047322A">
            <w:pPr>
              <w:spacing w:after="0"/>
              <w:ind w:left="0" w:right="415"/>
              <w:jc w:val="right"/>
              <w:rPr>
                <w:sz w:val="20"/>
                <w:szCs w:val="20"/>
              </w:rPr>
            </w:pPr>
            <w:r w:rsidRPr="0047322A">
              <w:rPr>
                <w:sz w:val="20"/>
                <w:szCs w:val="20"/>
              </w:rPr>
              <w:t>70%</w:t>
            </w:r>
          </w:p>
        </w:tc>
        <w:tc>
          <w:tcPr>
            <w:tcW w:w="2126" w:type="dxa"/>
          </w:tcPr>
          <w:p w14:paraId="09BE5348" w14:textId="77777777" w:rsidR="00B21001" w:rsidRPr="0047322A" w:rsidRDefault="00B21001" w:rsidP="0047322A">
            <w:pPr>
              <w:spacing w:after="0"/>
              <w:ind w:left="0" w:right="415"/>
              <w:jc w:val="right"/>
              <w:rPr>
                <w:sz w:val="20"/>
                <w:szCs w:val="20"/>
              </w:rPr>
            </w:pPr>
            <w:r w:rsidRPr="0047322A">
              <w:rPr>
                <w:sz w:val="20"/>
                <w:szCs w:val="20"/>
              </w:rPr>
              <w:t>15%</w:t>
            </w:r>
          </w:p>
        </w:tc>
        <w:tc>
          <w:tcPr>
            <w:tcW w:w="2127" w:type="dxa"/>
          </w:tcPr>
          <w:p w14:paraId="658D9B0A" w14:textId="77777777" w:rsidR="00B21001" w:rsidRPr="0047322A" w:rsidRDefault="00B21001" w:rsidP="0047322A">
            <w:pPr>
              <w:spacing w:after="0"/>
              <w:ind w:left="0" w:right="415"/>
              <w:jc w:val="right"/>
              <w:rPr>
                <w:sz w:val="20"/>
                <w:szCs w:val="20"/>
              </w:rPr>
            </w:pPr>
            <w:r w:rsidRPr="0047322A">
              <w:rPr>
                <w:sz w:val="20"/>
                <w:szCs w:val="20"/>
              </w:rPr>
              <w:t>15%</w:t>
            </w:r>
          </w:p>
        </w:tc>
      </w:tr>
      <w:tr w:rsidR="0047322A" w:rsidRPr="00931B0D" w14:paraId="445D8F77" w14:textId="77777777" w:rsidTr="0047322A">
        <w:trPr>
          <w:trHeight w:val="20"/>
        </w:trPr>
        <w:tc>
          <w:tcPr>
            <w:tcW w:w="2126" w:type="dxa"/>
            <w:shd w:val="clear" w:color="auto" w:fill="F2F2F2" w:themeFill="background1" w:themeFillShade="F2"/>
          </w:tcPr>
          <w:p w14:paraId="003F7812" w14:textId="77777777" w:rsidR="00B21001" w:rsidRPr="0047322A" w:rsidRDefault="00B21001" w:rsidP="0047322A">
            <w:pPr>
              <w:spacing w:after="0"/>
              <w:ind w:left="0"/>
              <w:jc w:val="both"/>
              <w:rPr>
                <w:b/>
                <w:bCs/>
                <w:sz w:val="20"/>
                <w:szCs w:val="20"/>
              </w:rPr>
            </w:pPr>
            <w:r w:rsidRPr="0047322A">
              <w:rPr>
                <w:b/>
                <w:bCs/>
                <w:sz w:val="20"/>
                <w:szCs w:val="20"/>
              </w:rPr>
              <w:t>Greater than £1m</w:t>
            </w:r>
          </w:p>
        </w:tc>
        <w:tc>
          <w:tcPr>
            <w:tcW w:w="2126" w:type="dxa"/>
          </w:tcPr>
          <w:p w14:paraId="1DEDE8D0" w14:textId="77777777" w:rsidR="00B21001" w:rsidRPr="0047322A" w:rsidRDefault="00B21001" w:rsidP="0047322A">
            <w:pPr>
              <w:spacing w:after="0"/>
              <w:ind w:left="0" w:right="415"/>
              <w:jc w:val="right"/>
              <w:rPr>
                <w:sz w:val="20"/>
                <w:szCs w:val="20"/>
              </w:rPr>
            </w:pPr>
            <w:r w:rsidRPr="0047322A">
              <w:rPr>
                <w:sz w:val="20"/>
                <w:szCs w:val="20"/>
              </w:rPr>
              <w:t>35%</w:t>
            </w:r>
          </w:p>
        </w:tc>
        <w:tc>
          <w:tcPr>
            <w:tcW w:w="2126" w:type="dxa"/>
          </w:tcPr>
          <w:p w14:paraId="4B0935BA" w14:textId="77777777" w:rsidR="00B21001" w:rsidRPr="0047322A" w:rsidRDefault="00B21001" w:rsidP="0047322A">
            <w:pPr>
              <w:spacing w:after="0"/>
              <w:ind w:left="0" w:right="415"/>
              <w:jc w:val="right"/>
              <w:rPr>
                <w:sz w:val="20"/>
                <w:szCs w:val="20"/>
              </w:rPr>
            </w:pPr>
            <w:r w:rsidRPr="0047322A">
              <w:rPr>
                <w:sz w:val="20"/>
                <w:szCs w:val="20"/>
              </w:rPr>
              <w:t>32.5%</w:t>
            </w:r>
          </w:p>
        </w:tc>
        <w:tc>
          <w:tcPr>
            <w:tcW w:w="2127" w:type="dxa"/>
          </w:tcPr>
          <w:p w14:paraId="3B5EF158" w14:textId="77777777" w:rsidR="00B21001" w:rsidRPr="0047322A" w:rsidRDefault="00B21001" w:rsidP="0047322A">
            <w:pPr>
              <w:spacing w:after="0"/>
              <w:ind w:left="0" w:right="415"/>
              <w:jc w:val="right"/>
              <w:rPr>
                <w:sz w:val="20"/>
                <w:szCs w:val="20"/>
              </w:rPr>
            </w:pPr>
            <w:r w:rsidRPr="0047322A">
              <w:rPr>
                <w:sz w:val="20"/>
                <w:szCs w:val="20"/>
              </w:rPr>
              <w:t>32.5%</w:t>
            </w:r>
          </w:p>
        </w:tc>
      </w:tr>
    </w:tbl>
    <w:p w14:paraId="74233F1D" w14:textId="77777777" w:rsidR="00B21001" w:rsidRPr="0047322A" w:rsidRDefault="00B21001" w:rsidP="0047322A">
      <w:pPr>
        <w:pStyle w:val="Heading3"/>
      </w:pPr>
      <w:r w:rsidRPr="0047322A">
        <w:t>Arrangements for Sharing Revenue where there is more than one Employee</w:t>
      </w:r>
    </w:p>
    <w:p w14:paraId="073931C7" w14:textId="77777777" w:rsidR="00B21001" w:rsidRPr="00B21001" w:rsidRDefault="00B21001" w:rsidP="0047322A">
      <w:r w:rsidRPr="00B21001">
        <w:t>If more than one individual is involved in the creation and exploitation of the relevant IP, the Employees involved are solely responsible amongst themselves for determining the distribution of the Employee share of net licensing income. The University will not become involved in this determination.</w:t>
      </w:r>
    </w:p>
    <w:p w14:paraId="383744AF" w14:textId="77777777" w:rsidR="00B21001" w:rsidRPr="00B21001" w:rsidRDefault="00B21001" w:rsidP="0047322A">
      <w:r w:rsidRPr="00B21001">
        <w:t>No distribution of Employee net licensing income can be made until all the Employees involved have reached an agreement and agreements are in place between Employees and the University regarding these revenue sharing arrangements.</w:t>
      </w:r>
    </w:p>
    <w:p w14:paraId="3B52B98D" w14:textId="77777777" w:rsidR="00B21001" w:rsidRPr="00B21001" w:rsidRDefault="00B21001" w:rsidP="0047322A">
      <w:pPr>
        <w:pStyle w:val="Heading3"/>
      </w:pPr>
      <w:r w:rsidRPr="00B21001">
        <w:t>Employees No Longer Employed by the University</w:t>
      </w:r>
    </w:p>
    <w:p w14:paraId="303FDB54" w14:textId="4EE8B25F" w:rsidR="00B21001" w:rsidRPr="00B21001" w:rsidRDefault="00B21001" w:rsidP="0047322A">
      <w:r w:rsidRPr="00B21001">
        <w:t xml:space="preserve">Employees entitled to share in Employee net licensing Income may leave or retire from the University. It is each Employee’s responsibility to ensure that the University is notified in writing at all times of his or her current address to where any revenue payments due to him or her may be sent. If the University is not given such current address </w:t>
      </w:r>
      <w:proofErr w:type="gramStart"/>
      <w:r w:rsidRPr="00B21001">
        <w:t>details</w:t>
      </w:r>
      <w:proofErr w:type="gramEnd"/>
      <w:r w:rsidRPr="00B21001">
        <w:t xml:space="preserve"> then they will be </w:t>
      </w:r>
      <w:proofErr w:type="gramStart"/>
      <w:r w:rsidRPr="00B21001">
        <w:t xml:space="preserve">designated </w:t>
      </w:r>
      <w:r w:rsidR="0047322A">
        <w:t xml:space="preserve"> a</w:t>
      </w:r>
      <w:proofErr w:type="gramEnd"/>
      <w:r w:rsidR="0047322A">
        <w:t xml:space="preserve"> </w:t>
      </w:r>
      <w:r w:rsidRPr="00B21001">
        <w:t>‘missing individual’ and all unclaimed revenue payments may be invested in a deposit account until such revenue payments are claimed. The University will not be a trustee of any such unclaimed revenue payments.</w:t>
      </w:r>
    </w:p>
    <w:p w14:paraId="1CCDFB29" w14:textId="77777777" w:rsidR="00B21001" w:rsidRPr="00B21001" w:rsidRDefault="00B21001" w:rsidP="0047322A">
      <w:pPr>
        <w:pStyle w:val="Heading3"/>
      </w:pPr>
      <w:r w:rsidRPr="00B21001">
        <w:t>Death of an Employee</w:t>
      </w:r>
    </w:p>
    <w:p w14:paraId="25291EFA" w14:textId="753D461E" w:rsidR="00B21001" w:rsidRPr="00B21001" w:rsidRDefault="00B21001" w:rsidP="0047322A">
      <w:r w:rsidRPr="00B21001">
        <w:t>In the case of the death of an Employee</w:t>
      </w:r>
      <w:r w:rsidR="0004403A">
        <w:t xml:space="preserve"> or former Employee</w:t>
      </w:r>
      <w:r w:rsidRPr="00B21001">
        <w:t xml:space="preserve"> due a share of</w:t>
      </w:r>
      <w:r w:rsidR="0004403A">
        <w:t xml:space="preserve"> net</w:t>
      </w:r>
      <w:r w:rsidRPr="00B21001">
        <w:t xml:space="preserve"> licensing income, that share will be payable to the estate of the deceased.</w:t>
      </w:r>
    </w:p>
    <w:p w14:paraId="35961072" w14:textId="77777777" w:rsidR="00B21001" w:rsidRPr="00B21001" w:rsidRDefault="00B21001" w:rsidP="0047322A">
      <w:pPr>
        <w:pStyle w:val="Heading3"/>
      </w:pPr>
      <w:r w:rsidRPr="00B21001">
        <w:t>Unclaimed Employee Net Licensing Income Revenue</w:t>
      </w:r>
    </w:p>
    <w:p w14:paraId="5901C505" w14:textId="77777777" w:rsidR="00B21001" w:rsidRPr="00B21001" w:rsidRDefault="00B21001" w:rsidP="0047322A">
      <w:r w:rsidRPr="00B21001">
        <w:t>Any Employee net licensing income remaining unclaimed for five years from the date the net income is received by the University will, after that date, be forfeited and will revert to the University, and will be distributed plus any net interest earned between the University and any others entitled to share in such revenue stream, excluding the missing individuals(s), on the same basis as set out above.</w:t>
      </w:r>
    </w:p>
    <w:p w14:paraId="33F04854" w14:textId="5688DDED" w:rsidR="00B21001" w:rsidRPr="00B21001" w:rsidRDefault="00B21001" w:rsidP="00B67A35">
      <w:pPr>
        <w:pStyle w:val="Heading3"/>
        <w:keepNext/>
      </w:pPr>
      <w:r w:rsidRPr="00B21001">
        <w:t xml:space="preserve">Tax and National Insurance </w:t>
      </w:r>
      <w:r w:rsidR="0004403A">
        <w:t>Due on Share in Net Licensing Incom</w:t>
      </w:r>
      <w:r w:rsidR="00B67A35">
        <w:t>e</w:t>
      </w:r>
    </w:p>
    <w:p w14:paraId="4F818DB6" w14:textId="77777777" w:rsidR="00B67A35" w:rsidRDefault="00B67A35" w:rsidP="00B67A35">
      <w:r>
        <w:t>Where employees, former employees, or former PhD students receive a share of net licensing income the University's Finance Office will deduct PAYE and NIC (UK income tax, Employer National Insurance, and if appropriate Employee National Insurance) from the payments and remit this to HMRC. Recipients will receive the net amount after all such remittances. This will be the case even where former employees or PhD students are no longer resident in the UK,</w:t>
      </w:r>
    </w:p>
    <w:p w14:paraId="38265403" w14:textId="77777777" w:rsidR="00B67A35" w:rsidRPr="00B67A35" w:rsidRDefault="00B67A35" w:rsidP="00B67A35">
      <w:r w:rsidRPr="00B67A35">
        <w:lastRenderedPageBreak/>
        <w:t xml:space="preserve">The income received will be treated by HMRC as employment income. Any recipients of this income who complete a UK tax return should ensure that they report any gross payments received in the tax year, and details of tax deducted from that income, in their tax return. </w:t>
      </w:r>
    </w:p>
    <w:p w14:paraId="3171C936" w14:textId="77777777" w:rsidR="00B67A35" w:rsidRPr="00B67A35" w:rsidRDefault="00B67A35" w:rsidP="00B67A35">
      <w:r w:rsidRPr="00B67A35">
        <w:t>For any recipients who do not currently complete a tax return, there is no need to contact HMRC. They should make contact to advise of any under or overpayment of tax or National Insurance in relation to payments received in the previous tax year.</w:t>
      </w:r>
    </w:p>
    <w:p w14:paraId="7540F973" w14:textId="77777777" w:rsidR="00B67A35" w:rsidRDefault="00B67A35" w:rsidP="00B67A35">
      <w:r>
        <w:t xml:space="preserve">Where former employees or PhD students are not be able to access the University’s payroll system to download payslips and P60 or P45 details, copies will be mailed or emailed to recipients. </w:t>
      </w:r>
    </w:p>
    <w:p w14:paraId="04067C2F" w14:textId="77777777" w:rsidR="00B67A35" w:rsidRDefault="00B67A35" w:rsidP="00B67A35">
      <w:pPr>
        <w:pStyle w:val="Heading3"/>
      </w:pPr>
      <w:r w:rsidRPr="00B67A35">
        <w:t>Waivers of Share in Net Licensing Income</w:t>
      </w:r>
    </w:p>
    <w:p w14:paraId="58AEB300" w14:textId="2E3A0CB6" w:rsidR="00B67A35" w:rsidRDefault="00B67A35" w:rsidP="00B67A35">
      <w:r>
        <w:t xml:space="preserve">Employees, former employees, or former PhD students </w:t>
      </w:r>
      <w:r w:rsidRPr="00643BD7">
        <w:t xml:space="preserve">can choose to give up rights to some or </w:t>
      </w:r>
      <w:proofErr w:type="gramStart"/>
      <w:r w:rsidRPr="00643BD7">
        <w:t>all of</w:t>
      </w:r>
      <w:proofErr w:type="gramEnd"/>
      <w:r w:rsidRPr="00643BD7">
        <w:t xml:space="preserve"> their </w:t>
      </w:r>
      <w:r>
        <w:t>share of net licensing income</w:t>
      </w:r>
      <w:r w:rsidRPr="00643BD7">
        <w:t xml:space="preserve"> in favour of </w:t>
      </w:r>
      <w:r>
        <w:t xml:space="preserve">the University or </w:t>
      </w:r>
      <w:r w:rsidRPr="00643BD7">
        <w:t>their college</w:t>
      </w:r>
      <w:r>
        <w:t>. This should be done in advance of receiving notification of any amounts due. Employees, former employees</w:t>
      </w:r>
      <w:r w:rsidRPr="00643BD7">
        <w:t xml:space="preserve"> </w:t>
      </w:r>
      <w:r>
        <w:t xml:space="preserve">or former PhD students </w:t>
      </w:r>
      <w:r w:rsidRPr="00643BD7">
        <w:t>can request the destination of waived funds, and ordinarily the University will apply the funds in this way, but ultimately the waived fee will be used at the discretion of the Head of School. Funds must be used within one year of receipt.</w:t>
      </w:r>
      <w:r>
        <w:t xml:space="preserve"> </w:t>
      </w:r>
    </w:p>
    <w:p w14:paraId="4115FB84" w14:textId="77777777" w:rsidR="00B67A35" w:rsidRDefault="00B67A35" w:rsidP="00B67A35">
      <w:r>
        <w:t xml:space="preserve">A waiver can be made at any time and is not irrevocable, but where a waiver is made after receiving notification that a payment is due, the University’s Finance Office will still need to deduct UK PAYE and NIC from that payment. </w:t>
      </w:r>
    </w:p>
    <w:p w14:paraId="1DB5612E" w14:textId="0BFCD3FC" w:rsidR="00B21001" w:rsidRPr="00B21001" w:rsidRDefault="00B21001" w:rsidP="0047322A">
      <w:pPr>
        <w:pStyle w:val="Heading2"/>
      </w:pPr>
      <w:r w:rsidRPr="00B21001">
        <w:t>Spin-out Companies</w:t>
      </w:r>
    </w:p>
    <w:p w14:paraId="54ECF8F1" w14:textId="77777777" w:rsidR="00276EB7" w:rsidRDefault="00B21001" w:rsidP="002019B1">
      <w:pPr>
        <w:pStyle w:val="PolicyL2"/>
        <w:ind w:left="1134"/>
      </w:pPr>
      <w:r w:rsidRPr="00B21001">
        <w:t xml:space="preserve">For the purposes of this Policy a spin-out company is defined as a company set-up with support of the University to commercialise university </w:t>
      </w:r>
      <w:proofErr w:type="gramStart"/>
      <w:r w:rsidRPr="00B21001">
        <w:t>owned  IP</w:t>
      </w:r>
      <w:proofErr w:type="gramEnd"/>
      <w:r w:rsidRPr="00B21001">
        <w:t xml:space="preserve"> and in which the University has a shareholding. The University shareholding will be held by its subsidiary company GU Holdings Ltd. GU Holdings Ltd will manage the University shareholding in the spin-out </w:t>
      </w:r>
      <w:proofErr w:type="gramStart"/>
      <w:r w:rsidRPr="00B21001">
        <w:t>companies  and</w:t>
      </w:r>
      <w:proofErr w:type="gramEnd"/>
      <w:r w:rsidRPr="00B21001">
        <w:t xml:space="preserve"> is responsible, at its sole discretion, for the disposal of </w:t>
      </w:r>
      <w:proofErr w:type="gramStart"/>
      <w:r w:rsidRPr="00B21001">
        <w:t>University</w:t>
      </w:r>
      <w:proofErr w:type="gramEnd"/>
      <w:r w:rsidRPr="00B21001">
        <w:t xml:space="preserve"> shareholdings. </w:t>
      </w:r>
    </w:p>
    <w:p w14:paraId="4E50EFD1" w14:textId="01BD442C" w:rsidR="00B21001" w:rsidRDefault="00B21001" w:rsidP="00251498">
      <w:pPr>
        <w:pStyle w:val="ListParagraph"/>
        <w:numPr>
          <w:ilvl w:val="0"/>
          <w:numId w:val="0"/>
        </w:numPr>
        <w:spacing w:after="360"/>
        <w:ind w:left="1134"/>
      </w:pPr>
      <w:r w:rsidRPr="00B21001">
        <w:t>Founding equity will be shared between University Employees and GU Holdings Ltd as follows:</w:t>
      </w:r>
    </w:p>
    <w:tbl>
      <w:tblPr>
        <w:tblStyle w:val="TableGrid"/>
        <w:tblW w:w="0" w:type="auto"/>
        <w:tblInd w:w="1838" w:type="dxa"/>
        <w:tblCellMar>
          <w:top w:w="57" w:type="dxa"/>
          <w:bottom w:w="57" w:type="dxa"/>
        </w:tblCellMar>
        <w:tblLook w:val="04A0" w:firstRow="1" w:lastRow="0" w:firstColumn="1" w:lastColumn="0" w:noHBand="0" w:noVBand="1"/>
      </w:tblPr>
      <w:tblGrid>
        <w:gridCol w:w="3544"/>
        <w:gridCol w:w="2126"/>
      </w:tblGrid>
      <w:tr w:rsidR="0047322A" w14:paraId="18592EA4" w14:textId="77777777" w:rsidTr="00587FE9">
        <w:tc>
          <w:tcPr>
            <w:tcW w:w="3544" w:type="dxa"/>
            <w:shd w:val="clear" w:color="auto" w:fill="F2F2F2" w:themeFill="background1" w:themeFillShade="F2"/>
          </w:tcPr>
          <w:p w14:paraId="0C0039B9" w14:textId="041E20FD" w:rsidR="0047322A" w:rsidRPr="0047322A" w:rsidRDefault="0047322A" w:rsidP="0047322A">
            <w:pPr>
              <w:spacing w:after="0"/>
              <w:ind w:left="0"/>
              <w:rPr>
                <w:b/>
                <w:bCs/>
              </w:rPr>
            </w:pPr>
            <w:r w:rsidRPr="0047322A">
              <w:rPr>
                <w:b/>
                <w:bCs/>
              </w:rPr>
              <w:t>Founder</w:t>
            </w:r>
          </w:p>
        </w:tc>
        <w:tc>
          <w:tcPr>
            <w:tcW w:w="2126" w:type="dxa"/>
            <w:shd w:val="clear" w:color="auto" w:fill="F2F2F2" w:themeFill="background1" w:themeFillShade="F2"/>
          </w:tcPr>
          <w:p w14:paraId="7FB33084" w14:textId="1A202877" w:rsidR="0047322A" w:rsidRPr="0047322A" w:rsidRDefault="0047322A" w:rsidP="0047322A">
            <w:pPr>
              <w:spacing w:after="0"/>
              <w:ind w:left="0"/>
              <w:rPr>
                <w:b/>
                <w:bCs/>
              </w:rPr>
            </w:pPr>
            <w:r w:rsidRPr="0047322A">
              <w:rPr>
                <w:b/>
                <w:bCs/>
              </w:rPr>
              <w:t>% Shareholding</w:t>
            </w:r>
          </w:p>
        </w:tc>
      </w:tr>
      <w:tr w:rsidR="00FD6F2F" w14:paraId="09E6CAA2" w14:textId="77777777" w:rsidTr="00587FE9">
        <w:tc>
          <w:tcPr>
            <w:tcW w:w="3544" w:type="dxa"/>
          </w:tcPr>
          <w:p w14:paraId="305F18A1" w14:textId="1EBA9662" w:rsidR="00FD6F2F" w:rsidRPr="00FD6F2F" w:rsidRDefault="00FD6F2F" w:rsidP="00FD6F2F">
            <w:pPr>
              <w:spacing w:after="0"/>
              <w:ind w:left="0"/>
              <w:rPr>
                <w:b/>
                <w:bCs/>
              </w:rPr>
            </w:pPr>
            <w:r w:rsidRPr="00E52FA2">
              <w:t>University (Held by GU Holdings Ltd)</w:t>
            </w:r>
          </w:p>
        </w:tc>
        <w:tc>
          <w:tcPr>
            <w:tcW w:w="2126" w:type="dxa"/>
          </w:tcPr>
          <w:p w14:paraId="4B40A42A" w14:textId="7727F95A" w:rsidR="00FD6F2F" w:rsidRPr="00FD6F2F" w:rsidRDefault="00FD6F2F" w:rsidP="00FD6F2F">
            <w:pPr>
              <w:spacing w:after="0"/>
              <w:ind w:left="0"/>
              <w:rPr>
                <w:b/>
                <w:bCs/>
              </w:rPr>
            </w:pPr>
            <w:r w:rsidRPr="00E52FA2">
              <w:t xml:space="preserve">up to 20% </w:t>
            </w:r>
          </w:p>
        </w:tc>
      </w:tr>
      <w:tr w:rsidR="00FD6F2F" w14:paraId="07A6B09D" w14:textId="77777777" w:rsidTr="00587FE9">
        <w:tc>
          <w:tcPr>
            <w:tcW w:w="3544" w:type="dxa"/>
          </w:tcPr>
          <w:p w14:paraId="75F8677D" w14:textId="5395E409" w:rsidR="00FD6F2F" w:rsidRPr="00FD6F2F" w:rsidRDefault="00FD6F2F" w:rsidP="00FD6F2F">
            <w:pPr>
              <w:spacing w:after="0"/>
              <w:ind w:left="0"/>
              <w:rPr>
                <w:b/>
                <w:bCs/>
              </w:rPr>
            </w:pPr>
            <w:r w:rsidRPr="00E52FA2">
              <w:t>University Employee Founder(s)</w:t>
            </w:r>
          </w:p>
        </w:tc>
        <w:tc>
          <w:tcPr>
            <w:tcW w:w="2126" w:type="dxa"/>
          </w:tcPr>
          <w:p w14:paraId="55A720EB" w14:textId="385A0E4D" w:rsidR="00FD6F2F" w:rsidRPr="00FD6F2F" w:rsidRDefault="00FD6F2F" w:rsidP="00FD6F2F">
            <w:pPr>
              <w:spacing w:after="0"/>
              <w:ind w:left="0"/>
              <w:rPr>
                <w:b/>
                <w:bCs/>
              </w:rPr>
            </w:pPr>
            <w:r w:rsidRPr="00E52FA2">
              <w:t>up to 80%</w:t>
            </w:r>
          </w:p>
        </w:tc>
      </w:tr>
    </w:tbl>
    <w:p w14:paraId="412B6299" w14:textId="52B3E1B6" w:rsidR="00B21001" w:rsidRPr="00B21001" w:rsidRDefault="00B21001" w:rsidP="00602B6D">
      <w:pPr>
        <w:pStyle w:val="ListParagraph"/>
        <w:numPr>
          <w:ilvl w:val="0"/>
          <w:numId w:val="0"/>
        </w:numPr>
        <w:spacing w:before="360"/>
        <w:ind w:left="1134" w:right="96"/>
        <w:contextualSpacing w:val="0"/>
      </w:pPr>
      <w:r w:rsidRPr="00B21001">
        <w:t>Variations:</w:t>
      </w:r>
    </w:p>
    <w:p w14:paraId="38726DB6" w14:textId="77777777" w:rsidR="00B21001" w:rsidRPr="00B21001" w:rsidRDefault="00B21001" w:rsidP="00155510">
      <w:pPr>
        <w:pStyle w:val="ListParagraph"/>
        <w:numPr>
          <w:ilvl w:val="0"/>
          <w:numId w:val="39"/>
        </w:numPr>
        <w:ind w:left="1701" w:right="96" w:hanging="425"/>
        <w:contextualSpacing w:val="0"/>
        <w:rPr>
          <w:lang w:eastAsia="en-US"/>
        </w:rPr>
      </w:pPr>
      <w:r w:rsidRPr="00B21001">
        <w:rPr>
          <w:lang w:eastAsia="en-US"/>
        </w:rPr>
        <w:t xml:space="preserve">Founding shareholdings between the University and University Employees will be agreed on a case-by-case basis with the University having no more than 20%. Each agreement will aim to </w:t>
      </w:r>
      <w:r w:rsidRPr="00B21001">
        <w:rPr>
          <w:lang w:eastAsia="en-US"/>
        </w:rPr>
        <w:lastRenderedPageBreak/>
        <w:t xml:space="preserve">align with the recommendations of the UK Government Independent Review of Spin-Out Company Terms (November 2023) including the USIT </w:t>
      </w:r>
      <w:r w:rsidRPr="00850ADC">
        <w:rPr>
          <w:lang w:eastAsia="en-US"/>
        </w:rPr>
        <w:t>(University Spin-Out Investment Terms) Best Practice Guides produced by TEN-U</w:t>
      </w:r>
    </w:p>
    <w:p w14:paraId="18E7A8B3" w14:textId="60F2B7E2" w:rsidR="00B21001" w:rsidRPr="00B21001" w:rsidRDefault="00B21001" w:rsidP="00155510">
      <w:pPr>
        <w:pStyle w:val="ListParagraph"/>
        <w:numPr>
          <w:ilvl w:val="0"/>
          <w:numId w:val="39"/>
        </w:numPr>
        <w:ind w:left="1701" w:right="96" w:hanging="425"/>
        <w:contextualSpacing w:val="0"/>
        <w:rPr>
          <w:lang w:eastAsia="en-US"/>
        </w:rPr>
      </w:pPr>
      <w:r w:rsidRPr="00B21001">
        <w:rPr>
          <w:lang w:eastAsia="en-US"/>
        </w:rPr>
        <w:t xml:space="preserve">The % of founding ownership of the spin-out venture held by the University and University Employees   will vary where third party founders such as grant funding organisations, entrepreneurs or joint IP owners </w:t>
      </w:r>
      <w:proofErr w:type="gramStart"/>
      <w:r w:rsidRPr="00B21001">
        <w:rPr>
          <w:lang w:eastAsia="en-US"/>
        </w:rPr>
        <w:t>take  a</w:t>
      </w:r>
      <w:proofErr w:type="gramEnd"/>
      <w:r w:rsidRPr="00B21001">
        <w:rPr>
          <w:lang w:eastAsia="en-US"/>
        </w:rPr>
        <w:t xml:space="preserve"> share of the founding equity prior to investment.</w:t>
      </w:r>
    </w:p>
    <w:p w14:paraId="0A3F9CBE" w14:textId="77777777" w:rsidR="00B21001" w:rsidRPr="00B21001" w:rsidRDefault="00B21001" w:rsidP="002019B1">
      <w:pPr>
        <w:pStyle w:val="PolicyL2"/>
        <w:ind w:left="1134"/>
      </w:pPr>
      <w:r w:rsidRPr="00B21001">
        <w:t>The Employee founder(s) will hold their shares in their own name and will be responsible for their own tax arrangements in relation to any shares held in the spin out venture. Founders are encouraged to take their own advice in relation to any tax consequences.</w:t>
      </w:r>
    </w:p>
    <w:p w14:paraId="456CE3F7" w14:textId="77777777" w:rsidR="00B21001" w:rsidRPr="00B21001" w:rsidRDefault="00B21001" w:rsidP="002019B1">
      <w:pPr>
        <w:pStyle w:val="PolicyL2"/>
        <w:ind w:left="1134"/>
      </w:pPr>
      <w:r w:rsidRPr="00B21001">
        <w:t xml:space="preserve">If there is more than one Employee </w:t>
      </w:r>
      <w:proofErr w:type="gramStart"/>
      <w:r w:rsidRPr="00B21001">
        <w:t>founder</w:t>
      </w:r>
      <w:proofErr w:type="gramEnd"/>
      <w:r w:rsidRPr="00B21001">
        <w:t xml:space="preserve"> they are responsible for agreeing distribution amongst themselves of Employee founder shares. The spin out company cannot be formed until this has been agreed.</w:t>
      </w:r>
    </w:p>
    <w:p w14:paraId="23B652A6" w14:textId="49C299A3" w:rsidR="00B21001" w:rsidRPr="00B21001" w:rsidRDefault="00B21001" w:rsidP="002019B1">
      <w:pPr>
        <w:pStyle w:val="PolicyL2"/>
        <w:ind w:left="1134"/>
      </w:pPr>
      <w:r w:rsidRPr="00B21001">
        <w:t xml:space="preserve">Both Employee founders and GU Holdings </w:t>
      </w:r>
      <w:proofErr w:type="gramStart"/>
      <w:r w:rsidRPr="00B21001">
        <w:t>Ltd  prior</w:t>
      </w:r>
      <w:proofErr w:type="gramEnd"/>
      <w:r w:rsidRPr="00B21001">
        <w:t xml:space="preserve"> to any </w:t>
      </w:r>
      <w:proofErr w:type="gramStart"/>
      <w:r w:rsidRPr="00B21001">
        <w:t>investment,  will</w:t>
      </w:r>
      <w:proofErr w:type="gramEnd"/>
      <w:r w:rsidRPr="00B21001">
        <w:t xml:space="preserve"> dilute their shareholdings pro-rata if there is a need provide founding equity to engage executive talent or the company needs </w:t>
      </w:r>
      <w:proofErr w:type="gramStart"/>
      <w:r w:rsidRPr="00B21001">
        <w:t>to  create</w:t>
      </w:r>
      <w:proofErr w:type="gramEnd"/>
      <w:r w:rsidRPr="00B21001">
        <w:t xml:space="preserve"> share option </w:t>
      </w:r>
      <w:proofErr w:type="gramStart"/>
      <w:r w:rsidRPr="00B21001">
        <w:t>pools  or</w:t>
      </w:r>
      <w:proofErr w:type="gramEnd"/>
      <w:r w:rsidRPr="00B21001">
        <w:t xml:space="preserve">  to accepting third party investment (unless otherwise agreed)</w:t>
      </w:r>
      <w:r w:rsidR="00C95286">
        <w:t>.</w:t>
      </w:r>
    </w:p>
    <w:p w14:paraId="5F730665" w14:textId="45D07154" w:rsidR="00B21001" w:rsidRPr="00B21001" w:rsidRDefault="00B21001" w:rsidP="00276EB7">
      <w:pPr>
        <w:pStyle w:val="Heading1"/>
      </w:pPr>
      <w:r w:rsidRPr="00B21001">
        <w:t>Intellectual Property Not Commercialised by the University</w:t>
      </w:r>
    </w:p>
    <w:tbl>
      <w:tblPr>
        <w:tblStyle w:val="TableGrid"/>
        <w:tblpPr w:leftFromText="180" w:rightFromText="180" w:vertAnchor="text" w:horzAnchor="margin" w:tblpY="3806"/>
        <w:tblW w:w="8627" w:type="dxa"/>
        <w:tblCellMar>
          <w:top w:w="57" w:type="dxa"/>
          <w:bottom w:w="57" w:type="dxa"/>
        </w:tblCellMar>
        <w:tblLook w:val="04A0" w:firstRow="1" w:lastRow="0" w:firstColumn="1" w:lastColumn="0" w:noHBand="0" w:noVBand="1"/>
      </w:tblPr>
      <w:tblGrid>
        <w:gridCol w:w="1271"/>
        <w:gridCol w:w="5245"/>
        <w:gridCol w:w="2111"/>
      </w:tblGrid>
      <w:tr w:rsidR="00663F8B" w:rsidRPr="007458DB" w14:paraId="28227138" w14:textId="77777777" w:rsidTr="009F0528">
        <w:trPr>
          <w:trHeight w:val="565"/>
        </w:trPr>
        <w:tc>
          <w:tcPr>
            <w:tcW w:w="1271" w:type="dxa"/>
            <w:vAlign w:val="center"/>
          </w:tcPr>
          <w:p w14:paraId="32A3E56E" w14:textId="77777777" w:rsidR="00663F8B" w:rsidRPr="003B040F" w:rsidRDefault="00663F8B" w:rsidP="00663F8B">
            <w:pPr>
              <w:spacing w:after="0"/>
              <w:ind w:left="0"/>
              <w:rPr>
                <w:b/>
                <w:bCs/>
                <w:sz w:val="24"/>
                <w:szCs w:val="24"/>
              </w:rPr>
            </w:pPr>
            <w:r w:rsidRPr="003B040F">
              <w:rPr>
                <w:b/>
                <w:bCs/>
                <w:sz w:val="24"/>
                <w:szCs w:val="24"/>
              </w:rPr>
              <w:t>Version number</w:t>
            </w:r>
          </w:p>
        </w:tc>
        <w:tc>
          <w:tcPr>
            <w:tcW w:w="5245" w:type="dxa"/>
            <w:vAlign w:val="center"/>
          </w:tcPr>
          <w:p w14:paraId="54A57FAE" w14:textId="77777777" w:rsidR="00663F8B" w:rsidRPr="003B040F" w:rsidRDefault="00663F8B" w:rsidP="00663F8B">
            <w:pPr>
              <w:spacing w:after="0"/>
              <w:ind w:left="0"/>
              <w:rPr>
                <w:b/>
                <w:bCs/>
                <w:sz w:val="24"/>
                <w:szCs w:val="24"/>
              </w:rPr>
            </w:pPr>
            <w:r w:rsidRPr="003B040F">
              <w:rPr>
                <w:b/>
                <w:bCs/>
                <w:sz w:val="24"/>
                <w:szCs w:val="24"/>
              </w:rPr>
              <w:t>Reason for change</w:t>
            </w:r>
          </w:p>
        </w:tc>
        <w:tc>
          <w:tcPr>
            <w:tcW w:w="2111" w:type="dxa"/>
            <w:vAlign w:val="center"/>
          </w:tcPr>
          <w:p w14:paraId="6C20246E" w14:textId="77777777" w:rsidR="00663F8B" w:rsidRPr="003B040F" w:rsidRDefault="00663F8B" w:rsidP="00663F8B">
            <w:pPr>
              <w:spacing w:after="0"/>
              <w:ind w:left="0"/>
              <w:rPr>
                <w:b/>
                <w:bCs/>
                <w:sz w:val="24"/>
                <w:szCs w:val="24"/>
              </w:rPr>
            </w:pPr>
            <w:r w:rsidRPr="003B040F">
              <w:rPr>
                <w:b/>
                <w:bCs/>
                <w:sz w:val="24"/>
                <w:szCs w:val="24"/>
              </w:rPr>
              <w:t>Date</w:t>
            </w:r>
          </w:p>
        </w:tc>
      </w:tr>
      <w:tr w:rsidR="00663F8B" w:rsidRPr="007458DB" w14:paraId="2BEA1400" w14:textId="77777777" w:rsidTr="009F0528">
        <w:trPr>
          <w:trHeight w:val="276"/>
        </w:trPr>
        <w:tc>
          <w:tcPr>
            <w:tcW w:w="1271" w:type="dxa"/>
            <w:tcBorders>
              <w:bottom w:val="single" w:sz="4" w:space="0" w:color="auto"/>
            </w:tcBorders>
          </w:tcPr>
          <w:p w14:paraId="4C5E427E" w14:textId="77777777" w:rsidR="00663F8B" w:rsidRPr="007458DB" w:rsidRDefault="00663F8B" w:rsidP="00663F8B">
            <w:pPr>
              <w:spacing w:after="0"/>
              <w:ind w:left="0"/>
              <w:rPr>
                <w:sz w:val="24"/>
                <w:szCs w:val="24"/>
              </w:rPr>
            </w:pPr>
            <w:r w:rsidRPr="007458DB">
              <w:rPr>
                <w:sz w:val="24"/>
                <w:szCs w:val="24"/>
              </w:rPr>
              <w:t>1.3</w:t>
            </w:r>
          </w:p>
        </w:tc>
        <w:tc>
          <w:tcPr>
            <w:tcW w:w="5245" w:type="dxa"/>
          </w:tcPr>
          <w:p w14:paraId="5729AABF" w14:textId="77777777" w:rsidR="00663F8B" w:rsidRPr="007458DB" w:rsidRDefault="00663F8B" w:rsidP="00663F8B">
            <w:pPr>
              <w:spacing w:after="0"/>
              <w:ind w:left="0"/>
              <w:rPr>
                <w:sz w:val="24"/>
                <w:szCs w:val="24"/>
              </w:rPr>
            </w:pPr>
            <w:r w:rsidRPr="007458DB">
              <w:rPr>
                <w:sz w:val="24"/>
                <w:szCs w:val="24"/>
              </w:rPr>
              <w:t>Original policy</w:t>
            </w:r>
          </w:p>
        </w:tc>
        <w:tc>
          <w:tcPr>
            <w:tcW w:w="2111" w:type="dxa"/>
          </w:tcPr>
          <w:p w14:paraId="74884C75" w14:textId="77777777" w:rsidR="00663F8B" w:rsidRPr="007458DB" w:rsidRDefault="00663F8B" w:rsidP="00663F8B">
            <w:pPr>
              <w:spacing w:after="0"/>
              <w:ind w:left="0"/>
              <w:rPr>
                <w:sz w:val="24"/>
                <w:szCs w:val="24"/>
              </w:rPr>
            </w:pPr>
            <w:r w:rsidRPr="007458DB">
              <w:rPr>
                <w:sz w:val="24"/>
                <w:szCs w:val="24"/>
              </w:rPr>
              <w:t>17 June 2014</w:t>
            </w:r>
          </w:p>
        </w:tc>
      </w:tr>
      <w:tr w:rsidR="00663F8B" w:rsidRPr="007458DB" w14:paraId="52457E2E" w14:textId="77777777" w:rsidTr="009F0528">
        <w:tc>
          <w:tcPr>
            <w:tcW w:w="1271" w:type="dxa"/>
            <w:tcBorders>
              <w:bottom w:val="single" w:sz="4" w:space="0" w:color="auto"/>
            </w:tcBorders>
          </w:tcPr>
          <w:p w14:paraId="4E0E0244" w14:textId="77777777" w:rsidR="00663F8B" w:rsidRPr="007458DB" w:rsidRDefault="00663F8B" w:rsidP="00663F8B">
            <w:pPr>
              <w:spacing w:after="0"/>
              <w:ind w:left="0"/>
              <w:rPr>
                <w:sz w:val="24"/>
                <w:szCs w:val="24"/>
              </w:rPr>
            </w:pPr>
            <w:r w:rsidRPr="007458DB">
              <w:rPr>
                <w:sz w:val="24"/>
                <w:szCs w:val="24"/>
              </w:rPr>
              <w:t>2.1</w:t>
            </w:r>
          </w:p>
        </w:tc>
        <w:tc>
          <w:tcPr>
            <w:tcW w:w="5245" w:type="dxa"/>
          </w:tcPr>
          <w:p w14:paraId="0A79C25F" w14:textId="77777777" w:rsidR="00663F8B" w:rsidRPr="007458DB" w:rsidRDefault="00663F8B" w:rsidP="00663F8B">
            <w:pPr>
              <w:spacing w:after="0"/>
              <w:ind w:left="0"/>
              <w:rPr>
                <w:sz w:val="24"/>
                <w:szCs w:val="24"/>
              </w:rPr>
            </w:pPr>
            <w:r w:rsidRPr="007458DB">
              <w:rPr>
                <w:sz w:val="24"/>
                <w:szCs w:val="24"/>
              </w:rPr>
              <w:t xml:space="preserve">Major revision to Policy </w:t>
            </w:r>
            <w:r>
              <w:rPr>
                <w:sz w:val="24"/>
                <w:szCs w:val="24"/>
              </w:rPr>
              <w:t>to introduce more favourable terms for Founders</w:t>
            </w:r>
          </w:p>
        </w:tc>
        <w:tc>
          <w:tcPr>
            <w:tcW w:w="2111" w:type="dxa"/>
          </w:tcPr>
          <w:p w14:paraId="7C227DEA" w14:textId="77777777" w:rsidR="00663F8B" w:rsidRPr="007458DB" w:rsidRDefault="00663F8B" w:rsidP="00663F8B">
            <w:pPr>
              <w:spacing w:after="0"/>
              <w:ind w:left="0"/>
              <w:rPr>
                <w:sz w:val="24"/>
                <w:szCs w:val="24"/>
              </w:rPr>
            </w:pPr>
            <w:r>
              <w:rPr>
                <w:sz w:val="24"/>
                <w:szCs w:val="24"/>
              </w:rPr>
              <w:t>23</w:t>
            </w:r>
            <w:r w:rsidRPr="007458DB">
              <w:rPr>
                <w:sz w:val="24"/>
                <w:szCs w:val="24"/>
              </w:rPr>
              <w:t xml:space="preserve"> January 2024</w:t>
            </w:r>
          </w:p>
        </w:tc>
      </w:tr>
      <w:tr w:rsidR="00663F8B" w:rsidRPr="007458DB" w14:paraId="5598AAC2" w14:textId="77777777" w:rsidTr="009F0528">
        <w:tc>
          <w:tcPr>
            <w:tcW w:w="1271" w:type="dxa"/>
            <w:tcBorders>
              <w:top w:val="single" w:sz="4" w:space="0" w:color="auto"/>
              <w:bottom w:val="single" w:sz="4" w:space="0" w:color="auto"/>
            </w:tcBorders>
          </w:tcPr>
          <w:p w14:paraId="10456558" w14:textId="55D51A4F" w:rsidR="00663F8B" w:rsidRPr="00AD6684" w:rsidRDefault="00663F8B" w:rsidP="00663F8B">
            <w:pPr>
              <w:spacing w:after="0"/>
              <w:ind w:left="0"/>
              <w:rPr>
                <w:sz w:val="24"/>
                <w:szCs w:val="24"/>
              </w:rPr>
            </w:pPr>
            <w:r w:rsidRPr="00AD6684">
              <w:rPr>
                <w:sz w:val="24"/>
                <w:szCs w:val="24"/>
              </w:rPr>
              <w:t>2.2</w:t>
            </w:r>
          </w:p>
        </w:tc>
        <w:tc>
          <w:tcPr>
            <w:tcW w:w="5245" w:type="dxa"/>
          </w:tcPr>
          <w:p w14:paraId="514D9B0A" w14:textId="775963B4" w:rsidR="00663F8B" w:rsidRPr="00AD6684" w:rsidRDefault="002B116D" w:rsidP="00663F8B">
            <w:pPr>
              <w:spacing w:after="0"/>
              <w:ind w:left="0"/>
              <w:rPr>
                <w:sz w:val="24"/>
                <w:szCs w:val="24"/>
              </w:rPr>
            </w:pPr>
            <w:r w:rsidRPr="00AD6684">
              <w:rPr>
                <w:sz w:val="24"/>
                <w:szCs w:val="24"/>
              </w:rPr>
              <w:t>Updated to reflect change in tax</w:t>
            </w:r>
            <w:r w:rsidR="00AD6684" w:rsidRPr="00AD6684">
              <w:rPr>
                <w:sz w:val="24"/>
                <w:szCs w:val="24"/>
              </w:rPr>
              <w:t xml:space="preserve"> policies</w:t>
            </w:r>
          </w:p>
        </w:tc>
        <w:tc>
          <w:tcPr>
            <w:tcW w:w="2111" w:type="dxa"/>
          </w:tcPr>
          <w:p w14:paraId="29419FB5" w14:textId="6D3060DD" w:rsidR="00663F8B" w:rsidRPr="00AD6684" w:rsidRDefault="00AD6684" w:rsidP="00663F8B">
            <w:pPr>
              <w:spacing w:after="0"/>
              <w:ind w:left="0"/>
              <w:rPr>
                <w:sz w:val="24"/>
                <w:szCs w:val="24"/>
              </w:rPr>
            </w:pPr>
            <w:r>
              <w:rPr>
                <w:sz w:val="24"/>
                <w:szCs w:val="24"/>
              </w:rPr>
              <w:t>4 July 2024</w:t>
            </w:r>
          </w:p>
        </w:tc>
      </w:tr>
      <w:tr w:rsidR="003B040F" w:rsidRPr="007458DB" w14:paraId="31A77087" w14:textId="77777777" w:rsidTr="009F0528">
        <w:tc>
          <w:tcPr>
            <w:tcW w:w="1271" w:type="dxa"/>
            <w:tcBorders>
              <w:top w:val="single" w:sz="4" w:space="0" w:color="auto"/>
            </w:tcBorders>
          </w:tcPr>
          <w:p w14:paraId="0ADD1293" w14:textId="0B61DFCB" w:rsidR="003B040F" w:rsidRPr="00C642F2" w:rsidRDefault="003B040F" w:rsidP="00663F8B">
            <w:pPr>
              <w:spacing w:after="0"/>
              <w:ind w:left="0"/>
              <w:rPr>
                <w:sz w:val="24"/>
                <w:szCs w:val="24"/>
              </w:rPr>
            </w:pPr>
            <w:r w:rsidRPr="00C642F2">
              <w:rPr>
                <w:sz w:val="24"/>
                <w:szCs w:val="24"/>
              </w:rPr>
              <w:t>2.3</w:t>
            </w:r>
          </w:p>
        </w:tc>
        <w:tc>
          <w:tcPr>
            <w:tcW w:w="5245" w:type="dxa"/>
          </w:tcPr>
          <w:p w14:paraId="5E1E5297" w14:textId="12D51060" w:rsidR="003B040F" w:rsidRPr="00C642F2" w:rsidRDefault="00C642F2" w:rsidP="00663F8B">
            <w:pPr>
              <w:spacing w:after="0"/>
              <w:ind w:left="0"/>
              <w:rPr>
                <w:sz w:val="24"/>
                <w:szCs w:val="24"/>
              </w:rPr>
            </w:pPr>
            <w:r w:rsidRPr="00C642F2">
              <w:rPr>
                <w:sz w:val="24"/>
                <w:szCs w:val="24"/>
              </w:rPr>
              <w:t>Amended t</w:t>
            </w:r>
            <w:r>
              <w:rPr>
                <w:sz w:val="24"/>
                <w:szCs w:val="24"/>
              </w:rPr>
              <w:t xml:space="preserve">o reflect changes to </w:t>
            </w:r>
            <w:r w:rsidR="009F0528">
              <w:rPr>
                <w:sz w:val="24"/>
                <w:szCs w:val="24"/>
              </w:rPr>
              <w:t>the Research Publications and Copyright Policy</w:t>
            </w:r>
          </w:p>
        </w:tc>
        <w:tc>
          <w:tcPr>
            <w:tcW w:w="2111" w:type="dxa"/>
          </w:tcPr>
          <w:p w14:paraId="4C5345BE" w14:textId="1423F597" w:rsidR="003B040F" w:rsidRDefault="009F0528" w:rsidP="00663F8B">
            <w:pPr>
              <w:spacing w:after="0"/>
              <w:ind w:left="0"/>
            </w:pPr>
            <w:r w:rsidRPr="009F0528">
              <w:rPr>
                <w:sz w:val="24"/>
                <w:szCs w:val="24"/>
              </w:rPr>
              <w:t>10 June 2026</w:t>
            </w:r>
          </w:p>
        </w:tc>
      </w:tr>
    </w:tbl>
    <w:p w14:paraId="0CC62F6D" w14:textId="3BC43B42" w:rsidR="00B21001" w:rsidRDefault="00B21001" w:rsidP="00276EB7">
      <w:r w:rsidRPr="00B21001">
        <w:t xml:space="preserve">If the University decides not to protect and exploit any University </w:t>
      </w:r>
      <w:proofErr w:type="gramStart"/>
      <w:r w:rsidRPr="00B21001">
        <w:t>IP</w:t>
      </w:r>
      <w:proofErr w:type="gramEnd"/>
      <w:r w:rsidRPr="00B21001">
        <w:t xml:space="preserve"> then the relevant Member of the University Community may request assignation of the IP they created. Subject to any terms and conditions in place with third parties, the University will reasonably consider such requests and, if approved, will assign the relevant IP to the requesting individual in return for 3% of all income arising from commercialisation e.g. royalty-earned and/or equity disposal and/or sub-licence income. The University will provide no support, financial or non-financial, to the individual in seeking to commercialise the relevant</w:t>
      </w:r>
      <w:r w:rsidR="007458DB">
        <w:t>.</w:t>
      </w:r>
    </w:p>
    <w:sectPr w:rsidR="00B21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4BD48" w14:textId="77777777" w:rsidR="00160D0B" w:rsidRDefault="00160D0B" w:rsidP="00F111AD">
      <w:r>
        <w:separator/>
      </w:r>
    </w:p>
  </w:endnote>
  <w:endnote w:type="continuationSeparator" w:id="0">
    <w:p w14:paraId="5148C587" w14:textId="77777777" w:rsidR="00160D0B" w:rsidRDefault="00160D0B" w:rsidP="00F111AD">
      <w:r>
        <w:continuationSeparator/>
      </w:r>
    </w:p>
  </w:endnote>
  <w:endnote w:type="continuationNotice" w:id="1">
    <w:p w14:paraId="682B84D6" w14:textId="77777777" w:rsidR="00160D0B" w:rsidRDefault="00160D0B" w:rsidP="00F11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957B" w14:textId="3EF5C253" w:rsidR="00702724" w:rsidRPr="008E38D3" w:rsidRDefault="00702724" w:rsidP="003B040F">
    <w:pPr>
      <w:pStyle w:val="Footer"/>
      <w:rPr>
        <w:sz w:val="20"/>
        <w:szCs w:val="20"/>
        <w:lang w:val="gd-GB"/>
      </w:rPr>
    </w:pPr>
    <w:r w:rsidRPr="008E38D3">
      <w:rPr>
        <w:sz w:val="20"/>
        <w:szCs w:val="20"/>
      </w:rPr>
      <w:t xml:space="preserve">Version </w:t>
    </w:r>
    <w:r w:rsidR="000C1A10" w:rsidRPr="008E38D3">
      <w:rPr>
        <w:sz w:val="20"/>
        <w:szCs w:val="20"/>
      </w:rPr>
      <w:t>2</w:t>
    </w:r>
    <w:r w:rsidR="00661095" w:rsidRPr="008E38D3">
      <w:rPr>
        <w:sz w:val="20"/>
        <w:szCs w:val="20"/>
        <w:lang w:val="gd-GB"/>
      </w:rPr>
      <w:t>.</w:t>
    </w:r>
    <w:r w:rsidR="003B040F">
      <w:rPr>
        <w:sz w:val="20"/>
        <w:szCs w:val="20"/>
        <w:lang w:val="gd-GB"/>
      </w:rPr>
      <w:t>3</w:t>
    </w:r>
    <w:r w:rsidRPr="008E38D3">
      <w:rPr>
        <w:sz w:val="20"/>
        <w:szCs w:val="20"/>
      </w:rPr>
      <w:ptab w:relativeTo="margin" w:alignment="center" w:leader="none"/>
    </w:r>
    <w:r w:rsidRPr="008E38D3">
      <w:rPr>
        <w:sz w:val="20"/>
        <w:szCs w:val="20"/>
      </w:rPr>
      <w:ptab w:relativeTo="margin" w:alignment="right" w:leader="none"/>
    </w:r>
    <w:r w:rsidR="00B21001" w:rsidRPr="008E38D3">
      <w:rPr>
        <w:sz w:val="20"/>
        <w:szCs w:val="20"/>
        <w:lang w:val="gd-GB"/>
      </w:rPr>
      <w:t>innovation</w:t>
    </w:r>
    <w:r w:rsidR="000C1A10" w:rsidRPr="008E38D3">
      <w:rPr>
        <w:sz w:val="20"/>
        <w:szCs w:val="20"/>
        <w:lang w:val="gd-GB"/>
      </w:rPr>
      <w:t>@glasgow.ac.uk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E907" w14:textId="77777777" w:rsidR="00160D0B" w:rsidRDefault="00160D0B" w:rsidP="00F111AD">
      <w:r>
        <w:separator/>
      </w:r>
    </w:p>
  </w:footnote>
  <w:footnote w:type="continuationSeparator" w:id="0">
    <w:p w14:paraId="6BAA0EB3" w14:textId="77777777" w:rsidR="00160D0B" w:rsidRDefault="00160D0B" w:rsidP="00F111AD">
      <w:r>
        <w:continuationSeparator/>
      </w:r>
    </w:p>
  </w:footnote>
  <w:footnote w:type="continuationNotice" w:id="1">
    <w:p w14:paraId="662AEBAA" w14:textId="77777777" w:rsidR="00160D0B" w:rsidRDefault="00160D0B" w:rsidP="00F111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A47"/>
    <w:multiLevelType w:val="hybridMultilevel"/>
    <w:tmpl w:val="89CAA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F1A0A"/>
    <w:multiLevelType w:val="hybridMultilevel"/>
    <w:tmpl w:val="B5C85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3F220C"/>
    <w:multiLevelType w:val="hybridMultilevel"/>
    <w:tmpl w:val="B5C85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0749A4"/>
    <w:multiLevelType w:val="multilevel"/>
    <w:tmpl w:val="9FC4A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C5B5A"/>
    <w:multiLevelType w:val="multilevel"/>
    <w:tmpl w:val="851892C4"/>
    <w:lvl w:ilvl="0">
      <w:start w:val="5"/>
      <w:numFmt w:val="decimal"/>
      <w:lvlText w:val="%1"/>
      <w:lvlJc w:val="left"/>
      <w:pPr>
        <w:ind w:left="481" w:hanging="363"/>
      </w:pPr>
      <w:rPr>
        <w:rFonts w:hint="default"/>
      </w:rPr>
    </w:lvl>
    <w:lvl w:ilvl="1">
      <w:start w:val="1"/>
      <w:numFmt w:val="decimal"/>
      <w:lvlText w:val="%1.%2"/>
      <w:lvlJc w:val="left"/>
      <w:pPr>
        <w:ind w:left="481" w:hanging="363"/>
      </w:pPr>
      <w:rPr>
        <w:rFonts w:ascii="Calibri" w:eastAsia="Calibri" w:hAnsi="Calibri" w:cs="Calibri" w:hint="default"/>
        <w:b/>
        <w:bCs/>
        <w:w w:val="99"/>
        <w:sz w:val="24"/>
        <w:szCs w:val="24"/>
      </w:rPr>
    </w:lvl>
    <w:lvl w:ilvl="2">
      <w:numFmt w:val="bullet"/>
      <w:lvlText w:val="•"/>
      <w:lvlJc w:val="left"/>
      <w:pPr>
        <w:ind w:left="2180" w:hanging="363"/>
      </w:pPr>
      <w:rPr>
        <w:rFonts w:hint="default"/>
      </w:rPr>
    </w:lvl>
    <w:lvl w:ilvl="3">
      <w:numFmt w:val="bullet"/>
      <w:lvlText w:val="•"/>
      <w:lvlJc w:val="left"/>
      <w:pPr>
        <w:ind w:left="3030" w:hanging="363"/>
      </w:pPr>
      <w:rPr>
        <w:rFonts w:hint="default"/>
      </w:rPr>
    </w:lvl>
    <w:lvl w:ilvl="4">
      <w:numFmt w:val="bullet"/>
      <w:lvlText w:val="•"/>
      <w:lvlJc w:val="left"/>
      <w:pPr>
        <w:ind w:left="3880" w:hanging="363"/>
      </w:pPr>
      <w:rPr>
        <w:rFonts w:hint="default"/>
      </w:rPr>
    </w:lvl>
    <w:lvl w:ilvl="5">
      <w:numFmt w:val="bullet"/>
      <w:lvlText w:val="•"/>
      <w:lvlJc w:val="left"/>
      <w:pPr>
        <w:ind w:left="4730" w:hanging="363"/>
      </w:pPr>
      <w:rPr>
        <w:rFonts w:hint="default"/>
      </w:rPr>
    </w:lvl>
    <w:lvl w:ilvl="6">
      <w:numFmt w:val="bullet"/>
      <w:lvlText w:val="•"/>
      <w:lvlJc w:val="left"/>
      <w:pPr>
        <w:ind w:left="5580" w:hanging="363"/>
      </w:pPr>
      <w:rPr>
        <w:rFonts w:hint="default"/>
      </w:rPr>
    </w:lvl>
    <w:lvl w:ilvl="7">
      <w:numFmt w:val="bullet"/>
      <w:lvlText w:val="•"/>
      <w:lvlJc w:val="left"/>
      <w:pPr>
        <w:ind w:left="6430" w:hanging="363"/>
      </w:pPr>
      <w:rPr>
        <w:rFonts w:hint="default"/>
      </w:rPr>
    </w:lvl>
    <w:lvl w:ilvl="8">
      <w:numFmt w:val="bullet"/>
      <w:lvlText w:val="•"/>
      <w:lvlJc w:val="left"/>
      <w:pPr>
        <w:ind w:left="7280" w:hanging="363"/>
      </w:pPr>
      <w:rPr>
        <w:rFonts w:hint="default"/>
      </w:rPr>
    </w:lvl>
  </w:abstractNum>
  <w:abstractNum w:abstractNumId="5" w15:restartNumberingAfterBreak="0">
    <w:nsid w:val="25625D62"/>
    <w:multiLevelType w:val="hybridMultilevel"/>
    <w:tmpl w:val="7B12D3D8"/>
    <w:lvl w:ilvl="0" w:tplc="0CDA64FC">
      <w:start w:val="1"/>
      <w:numFmt w:val="lowerRoman"/>
      <w:lvlText w:val="(%1)"/>
      <w:lvlJc w:val="left"/>
      <w:pPr>
        <w:ind w:left="1117" w:hanging="72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6" w15:restartNumberingAfterBreak="0">
    <w:nsid w:val="26165270"/>
    <w:multiLevelType w:val="hybridMultilevel"/>
    <w:tmpl w:val="9954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04FD0"/>
    <w:multiLevelType w:val="hybridMultilevel"/>
    <w:tmpl w:val="4710C034"/>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8" w15:restartNumberingAfterBreak="0">
    <w:nsid w:val="27104289"/>
    <w:multiLevelType w:val="hybridMultilevel"/>
    <w:tmpl w:val="7B12D3D8"/>
    <w:lvl w:ilvl="0" w:tplc="FFFFFFFF">
      <w:start w:val="1"/>
      <w:numFmt w:val="lowerRoman"/>
      <w:lvlText w:val="(%1)"/>
      <w:lvlJc w:val="left"/>
      <w:pPr>
        <w:ind w:left="1117" w:hanging="72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9" w15:restartNumberingAfterBreak="0">
    <w:nsid w:val="2720437E"/>
    <w:multiLevelType w:val="hybridMultilevel"/>
    <w:tmpl w:val="B5C85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F31050"/>
    <w:multiLevelType w:val="hybridMultilevel"/>
    <w:tmpl w:val="03AAE336"/>
    <w:lvl w:ilvl="0" w:tplc="2FE02C34">
      <w:start w:val="1"/>
      <w:numFmt w:val="decimal"/>
      <w:lvlText w:val="%1."/>
      <w:lvlJc w:val="left"/>
      <w:pPr>
        <w:ind w:left="479" w:hanging="360"/>
      </w:pPr>
      <w:rPr>
        <w:rFonts w:ascii="Calibri" w:eastAsia="Calibri" w:hAnsi="Calibri" w:cs="Calibri" w:hint="default"/>
        <w:w w:val="100"/>
        <w:sz w:val="22"/>
        <w:szCs w:val="22"/>
      </w:rPr>
    </w:lvl>
    <w:lvl w:ilvl="1" w:tplc="0F3CBF18">
      <w:start w:val="1"/>
      <w:numFmt w:val="lowerRoman"/>
      <w:lvlText w:val="(%2)"/>
      <w:lvlJc w:val="left"/>
      <w:pPr>
        <w:ind w:left="1060" w:hanging="545"/>
      </w:pPr>
      <w:rPr>
        <w:rFonts w:ascii="Calibri" w:eastAsia="Calibri" w:hAnsi="Calibri" w:cs="Calibri" w:hint="default"/>
        <w:spacing w:val="-1"/>
        <w:w w:val="100"/>
        <w:sz w:val="22"/>
        <w:szCs w:val="22"/>
      </w:rPr>
    </w:lvl>
    <w:lvl w:ilvl="2" w:tplc="914824C4">
      <w:numFmt w:val="bullet"/>
      <w:lvlText w:val="•"/>
      <w:lvlJc w:val="left"/>
      <w:pPr>
        <w:ind w:left="1940" w:hanging="545"/>
      </w:pPr>
      <w:rPr>
        <w:rFonts w:hint="default"/>
      </w:rPr>
    </w:lvl>
    <w:lvl w:ilvl="3" w:tplc="FEA813F4">
      <w:numFmt w:val="bullet"/>
      <w:lvlText w:val="•"/>
      <w:lvlJc w:val="left"/>
      <w:pPr>
        <w:ind w:left="2820" w:hanging="545"/>
      </w:pPr>
      <w:rPr>
        <w:rFonts w:hint="default"/>
      </w:rPr>
    </w:lvl>
    <w:lvl w:ilvl="4" w:tplc="DAB266B0">
      <w:numFmt w:val="bullet"/>
      <w:lvlText w:val="•"/>
      <w:lvlJc w:val="left"/>
      <w:pPr>
        <w:ind w:left="3700" w:hanging="545"/>
      </w:pPr>
      <w:rPr>
        <w:rFonts w:hint="default"/>
      </w:rPr>
    </w:lvl>
    <w:lvl w:ilvl="5" w:tplc="E8884BBC">
      <w:numFmt w:val="bullet"/>
      <w:lvlText w:val="•"/>
      <w:lvlJc w:val="left"/>
      <w:pPr>
        <w:ind w:left="4580" w:hanging="545"/>
      </w:pPr>
      <w:rPr>
        <w:rFonts w:hint="default"/>
      </w:rPr>
    </w:lvl>
    <w:lvl w:ilvl="6" w:tplc="BE5688C6">
      <w:numFmt w:val="bullet"/>
      <w:lvlText w:val="•"/>
      <w:lvlJc w:val="left"/>
      <w:pPr>
        <w:ind w:left="5460" w:hanging="545"/>
      </w:pPr>
      <w:rPr>
        <w:rFonts w:hint="default"/>
      </w:rPr>
    </w:lvl>
    <w:lvl w:ilvl="7" w:tplc="7C3CA3C0">
      <w:numFmt w:val="bullet"/>
      <w:lvlText w:val="•"/>
      <w:lvlJc w:val="left"/>
      <w:pPr>
        <w:ind w:left="6340" w:hanging="545"/>
      </w:pPr>
      <w:rPr>
        <w:rFonts w:hint="default"/>
      </w:rPr>
    </w:lvl>
    <w:lvl w:ilvl="8" w:tplc="9C003C58">
      <w:numFmt w:val="bullet"/>
      <w:lvlText w:val="•"/>
      <w:lvlJc w:val="left"/>
      <w:pPr>
        <w:ind w:left="7220" w:hanging="545"/>
      </w:pPr>
      <w:rPr>
        <w:rFonts w:hint="default"/>
      </w:rPr>
    </w:lvl>
  </w:abstractNum>
  <w:abstractNum w:abstractNumId="11" w15:restartNumberingAfterBreak="0">
    <w:nsid w:val="31747439"/>
    <w:multiLevelType w:val="hybridMultilevel"/>
    <w:tmpl w:val="1160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2F524C"/>
    <w:multiLevelType w:val="hybridMultilevel"/>
    <w:tmpl w:val="0C48AA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44041028"/>
    <w:multiLevelType w:val="multilevel"/>
    <w:tmpl w:val="027ED922"/>
    <w:lvl w:ilvl="0">
      <w:start w:val="6"/>
      <w:numFmt w:val="decimal"/>
      <w:lvlText w:val="%1"/>
      <w:lvlJc w:val="left"/>
      <w:pPr>
        <w:ind w:left="484" w:hanging="365"/>
      </w:pPr>
      <w:rPr>
        <w:rFonts w:hint="default"/>
      </w:rPr>
    </w:lvl>
    <w:lvl w:ilvl="1">
      <w:start w:val="1"/>
      <w:numFmt w:val="decimal"/>
      <w:lvlText w:val="%1.%2"/>
      <w:lvlJc w:val="left"/>
      <w:pPr>
        <w:ind w:left="484" w:hanging="365"/>
      </w:pPr>
      <w:rPr>
        <w:rFonts w:ascii="Calibri" w:eastAsia="Calibri" w:hAnsi="Calibri" w:cs="Calibri" w:hint="default"/>
        <w:b/>
        <w:bCs/>
        <w:w w:val="99"/>
        <w:sz w:val="24"/>
        <w:szCs w:val="24"/>
      </w:rPr>
    </w:lvl>
    <w:lvl w:ilvl="2">
      <w:start w:val="1"/>
      <w:numFmt w:val="decimal"/>
      <w:lvlText w:val="%1.%2.%3"/>
      <w:lvlJc w:val="left"/>
      <w:pPr>
        <w:ind w:left="623" w:hanging="504"/>
      </w:pPr>
      <w:rPr>
        <w:rFonts w:ascii="Calibri" w:eastAsia="Calibri" w:hAnsi="Calibri" w:cs="Calibri" w:hint="default"/>
        <w:b/>
        <w:bCs/>
        <w:spacing w:val="-2"/>
        <w:w w:val="100"/>
        <w:sz w:val="22"/>
        <w:szCs w:val="22"/>
      </w:rPr>
    </w:lvl>
    <w:lvl w:ilvl="3">
      <w:numFmt w:val="bullet"/>
      <w:lvlText w:val="•"/>
      <w:lvlJc w:val="left"/>
      <w:pPr>
        <w:ind w:left="2477" w:hanging="504"/>
      </w:pPr>
      <w:rPr>
        <w:rFonts w:hint="default"/>
      </w:rPr>
    </w:lvl>
    <w:lvl w:ilvl="4">
      <w:numFmt w:val="bullet"/>
      <w:lvlText w:val="•"/>
      <w:lvlJc w:val="left"/>
      <w:pPr>
        <w:ind w:left="3406" w:hanging="504"/>
      </w:pPr>
      <w:rPr>
        <w:rFonts w:hint="default"/>
      </w:rPr>
    </w:lvl>
    <w:lvl w:ilvl="5">
      <w:numFmt w:val="bullet"/>
      <w:lvlText w:val="•"/>
      <w:lvlJc w:val="left"/>
      <w:pPr>
        <w:ind w:left="4335" w:hanging="504"/>
      </w:pPr>
      <w:rPr>
        <w:rFonts w:hint="default"/>
      </w:rPr>
    </w:lvl>
    <w:lvl w:ilvl="6">
      <w:numFmt w:val="bullet"/>
      <w:lvlText w:val="•"/>
      <w:lvlJc w:val="left"/>
      <w:pPr>
        <w:ind w:left="5264" w:hanging="504"/>
      </w:pPr>
      <w:rPr>
        <w:rFonts w:hint="default"/>
      </w:rPr>
    </w:lvl>
    <w:lvl w:ilvl="7">
      <w:numFmt w:val="bullet"/>
      <w:lvlText w:val="•"/>
      <w:lvlJc w:val="left"/>
      <w:pPr>
        <w:ind w:left="6193" w:hanging="504"/>
      </w:pPr>
      <w:rPr>
        <w:rFonts w:hint="default"/>
      </w:rPr>
    </w:lvl>
    <w:lvl w:ilvl="8">
      <w:numFmt w:val="bullet"/>
      <w:lvlText w:val="•"/>
      <w:lvlJc w:val="left"/>
      <w:pPr>
        <w:ind w:left="7122" w:hanging="504"/>
      </w:pPr>
      <w:rPr>
        <w:rFonts w:hint="default"/>
      </w:rPr>
    </w:lvl>
  </w:abstractNum>
  <w:abstractNum w:abstractNumId="14" w15:restartNumberingAfterBreak="0">
    <w:nsid w:val="45BF7768"/>
    <w:multiLevelType w:val="multilevel"/>
    <w:tmpl w:val="0AA84D92"/>
    <w:lvl w:ilvl="0">
      <w:start w:val="1"/>
      <w:numFmt w:val="decimal"/>
      <w:lvlText w:val="%1."/>
      <w:lvlJc w:val="right"/>
      <w:pPr>
        <w:ind w:left="69" w:hanging="69"/>
      </w:pPr>
      <w:rPr>
        <w:rFonts w:hint="default"/>
      </w:rPr>
    </w:lvl>
    <w:lvl w:ilvl="1">
      <w:start w:val="1"/>
      <w:numFmt w:val="decimal"/>
      <w:pStyle w:val="Numberedpara"/>
      <w:lvlText w:val="%1.%2"/>
      <w:lvlJc w:val="left"/>
      <w:pPr>
        <w:ind w:left="432" w:hanging="360"/>
      </w:pPr>
      <w:rPr>
        <w:rFonts w:hint="default"/>
      </w:rPr>
    </w:lvl>
    <w:lvl w:ilvl="2">
      <w:start w:val="1"/>
      <w:numFmt w:val="decimal"/>
      <w:pStyle w:val="Sub-numberedpara"/>
      <w:lvlText w:val="%1.%2.%3"/>
      <w:lvlJc w:val="left"/>
      <w:pPr>
        <w:ind w:left="792" w:hanging="360"/>
      </w:pPr>
      <w:rPr>
        <w:rFonts w:hint="default"/>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54312DF3"/>
    <w:multiLevelType w:val="hybridMultilevel"/>
    <w:tmpl w:val="F1CCB5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57E946DD"/>
    <w:multiLevelType w:val="multilevel"/>
    <w:tmpl w:val="B542563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15:restartNumberingAfterBreak="0">
    <w:nsid w:val="5906789B"/>
    <w:multiLevelType w:val="hybridMultilevel"/>
    <w:tmpl w:val="6406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044DDF"/>
    <w:multiLevelType w:val="hybridMultilevel"/>
    <w:tmpl w:val="2EF61B04"/>
    <w:lvl w:ilvl="0" w:tplc="D1EE4204">
      <w:start w:val="1"/>
      <w:numFmt w:val="bullet"/>
      <w:pStyle w:val="ListParagraph"/>
      <w:lvlText w:val=""/>
      <w:lvlJc w:val="left"/>
      <w:pPr>
        <w:ind w:left="1364" w:hanging="360"/>
      </w:pPr>
      <w:rPr>
        <w:rFonts w:ascii="Symbol" w:hAnsi="Symbol" w:hint="default"/>
      </w:rPr>
    </w:lvl>
    <w:lvl w:ilvl="1" w:tplc="08090003">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9" w15:restartNumberingAfterBreak="0">
    <w:nsid w:val="6F0560EB"/>
    <w:multiLevelType w:val="multilevel"/>
    <w:tmpl w:val="C7B4F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BE77DA"/>
    <w:multiLevelType w:val="multilevel"/>
    <w:tmpl w:val="805A7E32"/>
    <w:lvl w:ilvl="0">
      <w:start w:val="1"/>
      <w:numFmt w:val="decimal"/>
      <w:pStyle w:val="Heading1"/>
      <w:lvlText w:val="%1."/>
      <w:lvlJc w:val="left"/>
      <w:pPr>
        <w:ind w:left="360" w:hanging="360"/>
      </w:pPr>
      <w:rPr>
        <w:rFonts w:hint="default"/>
      </w:rPr>
    </w:lvl>
    <w:lvl w:ilvl="1">
      <w:start w:val="1"/>
      <w:numFmt w:val="decimal"/>
      <w:pStyle w:val="PolicyL1"/>
      <w:lvlText w:val="%1.%2"/>
      <w:lvlJc w:val="right"/>
      <w:pPr>
        <w:ind w:left="397" w:hanging="113"/>
      </w:pPr>
      <w:rPr>
        <w:rFonts w:hint="default"/>
      </w:rPr>
    </w:lvl>
    <w:lvl w:ilvl="2">
      <w:start w:val="1"/>
      <w:numFmt w:val="decimal"/>
      <w:pStyle w:val="PolicyL2"/>
      <w:lvlText w:val="%1.%2.%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75731570"/>
    <w:multiLevelType w:val="hybridMultilevel"/>
    <w:tmpl w:val="4A30AA24"/>
    <w:lvl w:ilvl="0" w:tplc="ECBA263E">
      <w:start w:val="1"/>
      <w:numFmt w:val="decimal"/>
      <w:lvlText w:val="%1."/>
      <w:lvlJc w:val="right"/>
      <w:pPr>
        <w:ind w:left="1117" w:hanging="360"/>
      </w:pPr>
      <w:rPr>
        <w:rFonts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2" w15:restartNumberingAfterBreak="0">
    <w:nsid w:val="767F3AA6"/>
    <w:multiLevelType w:val="multilevel"/>
    <w:tmpl w:val="49FEEAB4"/>
    <w:lvl w:ilvl="0">
      <w:start w:val="1"/>
      <w:numFmt w:val="decimal"/>
      <w:lvlText w:val="%1."/>
      <w:lvlJc w:val="left"/>
      <w:pPr>
        <w:ind w:left="476" w:hanging="284"/>
      </w:pPr>
      <w:rPr>
        <w:rFonts w:ascii="Calibri" w:eastAsia="Calibri" w:hAnsi="Calibri" w:cs="Calibri" w:hint="default"/>
        <w:b/>
        <w:bCs/>
        <w:spacing w:val="-1"/>
        <w:w w:val="100"/>
        <w:sz w:val="28"/>
        <w:szCs w:val="28"/>
      </w:rPr>
    </w:lvl>
    <w:lvl w:ilvl="1">
      <w:start w:val="1"/>
      <w:numFmt w:val="decimal"/>
      <w:lvlText w:val="%1.%2"/>
      <w:lvlJc w:val="left"/>
      <w:pPr>
        <w:ind w:left="481" w:hanging="363"/>
      </w:pPr>
      <w:rPr>
        <w:rFonts w:ascii="Calibri" w:eastAsia="Calibri" w:hAnsi="Calibri" w:cs="Calibri" w:hint="default"/>
        <w:b/>
        <w:bCs/>
        <w:w w:val="99"/>
        <w:sz w:val="24"/>
        <w:szCs w:val="24"/>
      </w:rPr>
    </w:lvl>
    <w:lvl w:ilvl="2">
      <w:numFmt w:val="bullet"/>
      <w:lvlText w:val="•"/>
      <w:lvlJc w:val="left"/>
      <w:pPr>
        <w:ind w:left="2180" w:hanging="363"/>
      </w:pPr>
      <w:rPr>
        <w:rFonts w:hint="default"/>
      </w:rPr>
    </w:lvl>
    <w:lvl w:ilvl="3">
      <w:numFmt w:val="bullet"/>
      <w:lvlText w:val="•"/>
      <w:lvlJc w:val="left"/>
      <w:pPr>
        <w:ind w:left="3030" w:hanging="363"/>
      </w:pPr>
      <w:rPr>
        <w:rFonts w:hint="default"/>
      </w:rPr>
    </w:lvl>
    <w:lvl w:ilvl="4">
      <w:numFmt w:val="bullet"/>
      <w:lvlText w:val="•"/>
      <w:lvlJc w:val="left"/>
      <w:pPr>
        <w:ind w:left="3880" w:hanging="363"/>
      </w:pPr>
      <w:rPr>
        <w:rFonts w:hint="default"/>
      </w:rPr>
    </w:lvl>
    <w:lvl w:ilvl="5">
      <w:numFmt w:val="bullet"/>
      <w:lvlText w:val="•"/>
      <w:lvlJc w:val="left"/>
      <w:pPr>
        <w:ind w:left="4730" w:hanging="363"/>
      </w:pPr>
      <w:rPr>
        <w:rFonts w:hint="default"/>
      </w:rPr>
    </w:lvl>
    <w:lvl w:ilvl="6">
      <w:numFmt w:val="bullet"/>
      <w:lvlText w:val="•"/>
      <w:lvlJc w:val="left"/>
      <w:pPr>
        <w:ind w:left="5580" w:hanging="363"/>
      </w:pPr>
      <w:rPr>
        <w:rFonts w:hint="default"/>
      </w:rPr>
    </w:lvl>
    <w:lvl w:ilvl="7">
      <w:numFmt w:val="bullet"/>
      <w:lvlText w:val="•"/>
      <w:lvlJc w:val="left"/>
      <w:pPr>
        <w:ind w:left="6430" w:hanging="363"/>
      </w:pPr>
      <w:rPr>
        <w:rFonts w:hint="default"/>
      </w:rPr>
    </w:lvl>
    <w:lvl w:ilvl="8">
      <w:numFmt w:val="bullet"/>
      <w:lvlText w:val="•"/>
      <w:lvlJc w:val="left"/>
      <w:pPr>
        <w:ind w:left="7280" w:hanging="363"/>
      </w:pPr>
      <w:rPr>
        <w:rFonts w:hint="default"/>
      </w:rPr>
    </w:lvl>
  </w:abstractNum>
  <w:abstractNum w:abstractNumId="23" w15:restartNumberingAfterBreak="0">
    <w:nsid w:val="7B500FF1"/>
    <w:multiLevelType w:val="hybridMultilevel"/>
    <w:tmpl w:val="952E9678"/>
    <w:lvl w:ilvl="0" w:tplc="3CE2068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27D24"/>
    <w:multiLevelType w:val="multilevel"/>
    <w:tmpl w:val="2116A0D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25" w15:restartNumberingAfterBreak="0">
    <w:nsid w:val="7E5C6D2D"/>
    <w:multiLevelType w:val="hybridMultilevel"/>
    <w:tmpl w:val="C47EC006"/>
    <w:lvl w:ilvl="0" w:tplc="CDC69F7C">
      <w:start w:val="1"/>
      <w:numFmt w:val="lowerRoman"/>
      <w:lvlText w:val="(%1)"/>
      <w:lvlJc w:val="left"/>
      <w:pPr>
        <w:ind w:left="1117" w:hanging="72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num w:numId="1" w16cid:durableId="410740399">
    <w:abstractNumId w:val="11"/>
  </w:num>
  <w:num w:numId="2" w16cid:durableId="1160266370">
    <w:abstractNumId w:val="0"/>
  </w:num>
  <w:num w:numId="3" w16cid:durableId="414017053">
    <w:abstractNumId w:val="12"/>
  </w:num>
  <w:num w:numId="4" w16cid:durableId="1227566383">
    <w:abstractNumId w:val="7"/>
  </w:num>
  <w:num w:numId="5" w16cid:durableId="1885750825">
    <w:abstractNumId w:val="17"/>
  </w:num>
  <w:num w:numId="6" w16cid:durableId="642777528">
    <w:abstractNumId w:val="23"/>
  </w:num>
  <w:num w:numId="7" w16cid:durableId="1329291586">
    <w:abstractNumId w:val="9"/>
  </w:num>
  <w:num w:numId="8" w16cid:durableId="1761171559">
    <w:abstractNumId w:val="2"/>
  </w:num>
  <w:num w:numId="9" w16cid:durableId="456610153">
    <w:abstractNumId w:val="1"/>
  </w:num>
  <w:num w:numId="10" w16cid:durableId="1532573141">
    <w:abstractNumId w:val="19"/>
  </w:num>
  <w:num w:numId="11" w16cid:durableId="2042632968">
    <w:abstractNumId w:val="3"/>
  </w:num>
  <w:num w:numId="12" w16cid:durableId="1194611549">
    <w:abstractNumId w:val="16"/>
  </w:num>
  <w:num w:numId="13" w16cid:durableId="1431268478">
    <w:abstractNumId w:val="24"/>
  </w:num>
  <w:num w:numId="14" w16cid:durableId="1171719787">
    <w:abstractNumId w:val="18"/>
  </w:num>
  <w:num w:numId="15" w16cid:durableId="1258372049">
    <w:abstractNumId w:val="20"/>
  </w:num>
  <w:num w:numId="16" w16cid:durableId="666707842">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9723911">
    <w:abstractNumId w:val="15"/>
  </w:num>
  <w:num w:numId="18" w16cid:durableId="1051077443">
    <w:abstractNumId w:val="20"/>
  </w:num>
  <w:num w:numId="19" w16cid:durableId="1187330678">
    <w:abstractNumId w:val="20"/>
  </w:num>
  <w:num w:numId="20" w16cid:durableId="507525109">
    <w:abstractNumId w:val="20"/>
  </w:num>
  <w:num w:numId="21" w16cid:durableId="504516534">
    <w:abstractNumId w:val="20"/>
  </w:num>
  <w:num w:numId="22" w16cid:durableId="499676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5210102">
    <w:abstractNumId w:val="6"/>
  </w:num>
  <w:num w:numId="24" w16cid:durableId="198052318">
    <w:abstractNumId w:val="18"/>
  </w:num>
  <w:num w:numId="25" w16cid:durableId="965508867">
    <w:abstractNumId w:val="20"/>
  </w:num>
  <w:num w:numId="26" w16cid:durableId="60948650">
    <w:abstractNumId w:val="20"/>
  </w:num>
  <w:num w:numId="27" w16cid:durableId="2142066188">
    <w:abstractNumId w:val="20"/>
  </w:num>
  <w:num w:numId="28" w16cid:durableId="63454060">
    <w:abstractNumId w:val="20"/>
  </w:num>
  <w:num w:numId="29" w16cid:durableId="1553690951">
    <w:abstractNumId w:val="20"/>
  </w:num>
  <w:num w:numId="30" w16cid:durableId="936409265">
    <w:abstractNumId w:val="20"/>
  </w:num>
  <w:num w:numId="31" w16cid:durableId="23216991">
    <w:abstractNumId w:val="18"/>
  </w:num>
  <w:num w:numId="32" w16cid:durableId="2038307382">
    <w:abstractNumId w:val="10"/>
  </w:num>
  <w:num w:numId="33" w16cid:durableId="1972901462">
    <w:abstractNumId w:val="13"/>
  </w:num>
  <w:num w:numId="34" w16cid:durableId="1511721614">
    <w:abstractNumId w:val="4"/>
  </w:num>
  <w:num w:numId="35" w16cid:durableId="1536428335">
    <w:abstractNumId w:val="22"/>
  </w:num>
  <w:num w:numId="36" w16cid:durableId="719136616">
    <w:abstractNumId w:val="5"/>
  </w:num>
  <w:num w:numId="37" w16cid:durableId="861405419">
    <w:abstractNumId w:val="25"/>
  </w:num>
  <w:num w:numId="38" w16cid:durableId="2111855146">
    <w:abstractNumId w:val="18"/>
  </w:num>
  <w:num w:numId="39" w16cid:durableId="1166625535">
    <w:abstractNumId w:val="8"/>
  </w:num>
  <w:num w:numId="40" w16cid:durableId="449740390">
    <w:abstractNumId w:val="21"/>
  </w:num>
  <w:num w:numId="41" w16cid:durableId="665742598">
    <w:abstractNumId w:val="18"/>
  </w:num>
  <w:num w:numId="42" w16cid:durableId="887958436">
    <w:abstractNumId w:val="18"/>
  </w:num>
  <w:num w:numId="43" w16cid:durableId="1486580819">
    <w:abstractNumId w:val="20"/>
  </w:num>
  <w:num w:numId="44" w16cid:durableId="17673886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EF"/>
    <w:rsid w:val="000045E3"/>
    <w:rsid w:val="000056D0"/>
    <w:rsid w:val="00015011"/>
    <w:rsid w:val="0002030D"/>
    <w:rsid w:val="00024438"/>
    <w:rsid w:val="000248D7"/>
    <w:rsid w:val="0004403A"/>
    <w:rsid w:val="000476B8"/>
    <w:rsid w:val="00052FA1"/>
    <w:rsid w:val="00063D3C"/>
    <w:rsid w:val="0006411F"/>
    <w:rsid w:val="00066643"/>
    <w:rsid w:val="00073536"/>
    <w:rsid w:val="00086558"/>
    <w:rsid w:val="0008671A"/>
    <w:rsid w:val="00094E42"/>
    <w:rsid w:val="000A4D9D"/>
    <w:rsid w:val="000B3092"/>
    <w:rsid w:val="000C1A10"/>
    <w:rsid w:val="000D67DD"/>
    <w:rsid w:val="000E3C62"/>
    <w:rsid w:val="000E6652"/>
    <w:rsid w:val="000E7081"/>
    <w:rsid w:val="000E7730"/>
    <w:rsid w:val="000F7695"/>
    <w:rsid w:val="00101FF1"/>
    <w:rsid w:val="00112964"/>
    <w:rsid w:val="001160A6"/>
    <w:rsid w:val="0012301D"/>
    <w:rsid w:val="001276A7"/>
    <w:rsid w:val="00132D3B"/>
    <w:rsid w:val="001366C6"/>
    <w:rsid w:val="00146B31"/>
    <w:rsid w:val="00155510"/>
    <w:rsid w:val="0015779F"/>
    <w:rsid w:val="00160D0B"/>
    <w:rsid w:val="0017414D"/>
    <w:rsid w:val="001812FE"/>
    <w:rsid w:val="00182125"/>
    <w:rsid w:val="001929B3"/>
    <w:rsid w:val="001A5BEB"/>
    <w:rsid w:val="001A65B7"/>
    <w:rsid w:val="001C2EA9"/>
    <w:rsid w:val="001D2BDF"/>
    <w:rsid w:val="001D5063"/>
    <w:rsid w:val="001E62A0"/>
    <w:rsid w:val="001F6679"/>
    <w:rsid w:val="002019B1"/>
    <w:rsid w:val="00215E0B"/>
    <w:rsid w:val="00216968"/>
    <w:rsid w:val="00220435"/>
    <w:rsid w:val="00224FBC"/>
    <w:rsid w:val="00240C6A"/>
    <w:rsid w:val="002421A8"/>
    <w:rsid w:val="002440AF"/>
    <w:rsid w:val="00250A04"/>
    <w:rsid w:val="00251498"/>
    <w:rsid w:val="00252DB2"/>
    <w:rsid w:val="0025665D"/>
    <w:rsid w:val="00271120"/>
    <w:rsid w:val="002764FD"/>
    <w:rsid w:val="00276EB7"/>
    <w:rsid w:val="00282D09"/>
    <w:rsid w:val="002835DD"/>
    <w:rsid w:val="0029106A"/>
    <w:rsid w:val="002938AC"/>
    <w:rsid w:val="002A4F7C"/>
    <w:rsid w:val="002A5E7A"/>
    <w:rsid w:val="002B116D"/>
    <w:rsid w:val="002B66AA"/>
    <w:rsid w:val="002D21AC"/>
    <w:rsid w:val="002D357C"/>
    <w:rsid w:val="002D7C1C"/>
    <w:rsid w:val="00300609"/>
    <w:rsid w:val="0031155B"/>
    <w:rsid w:val="0032257C"/>
    <w:rsid w:val="00333582"/>
    <w:rsid w:val="0037276D"/>
    <w:rsid w:val="00382248"/>
    <w:rsid w:val="0039017A"/>
    <w:rsid w:val="003B040F"/>
    <w:rsid w:val="003B2C49"/>
    <w:rsid w:val="003C602D"/>
    <w:rsid w:val="003C6C7E"/>
    <w:rsid w:val="003D62E3"/>
    <w:rsid w:val="003F5807"/>
    <w:rsid w:val="00402365"/>
    <w:rsid w:val="00403BAD"/>
    <w:rsid w:val="00403FE6"/>
    <w:rsid w:val="0040534B"/>
    <w:rsid w:val="00410330"/>
    <w:rsid w:val="00427EBA"/>
    <w:rsid w:val="00432750"/>
    <w:rsid w:val="00436ED4"/>
    <w:rsid w:val="00444FC1"/>
    <w:rsid w:val="00454C47"/>
    <w:rsid w:val="00457D3C"/>
    <w:rsid w:val="00463627"/>
    <w:rsid w:val="0047322A"/>
    <w:rsid w:val="00482E67"/>
    <w:rsid w:val="004873CD"/>
    <w:rsid w:val="00491A2B"/>
    <w:rsid w:val="004A35B7"/>
    <w:rsid w:val="004B3CE0"/>
    <w:rsid w:val="004B6013"/>
    <w:rsid w:val="004C61CD"/>
    <w:rsid w:val="004E3714"/>
    <w:rsid w:val="004F67F3"/>
    <w:rsid w:val="004F6BE0"/>
    <w:rsid w:val="00511366"/>
    <w:rsid w:val="0052019B"/>
    <w:rsid w:val="005222B3"/>
    <w:rsid w:val="00524607"/>
    <w:rsid w:val="00536EE0"/>
    <w:rsid w:val="00552164"/>
    <w:rsid w:val="005524FB"/>
    <w:rsid w:val="00554217"/>
    <w:rsid w:val="00586905"/>
    <w:rsid w:val="00587FE9"/>
    <w:rsid w:val="005A2527"/>
    <w:rsid w:val="005A2FCC"/>
    <w:rsid w:val="005A3B05"/>
    <w:rsid w:val="005A6D22"/>
    <w:rsid w:val="005B0878"/>
    <w:rsid w:val="005B4B75"/>
    <w:rsid w:val="005B5595"/>
    <w:rsid w:val="005C3D1F"/>
    <w:rsid w:val="005C525B"/>
    <w:rsid w:val="005C7CFB"/>
    <w:rsid w:val="005E0CBB"/>
    <w:rsid w:val="005E1976"/>
    <w:rsid w:val="005F0867"/>
    <w:rsid w:val="005F4A03"/>
    <w:rsid w:val="005F60D3"/>
    <w:rsid w:val="00601C66"/>
    <w:rsid w:val="00602B6D"/>
    <w:rsid w:val="006161ED"/>
    <w:rsid w:val="00630574"/>
    <w:rsid w:val="006372E9"/>
    <w:rsid w:val="00661095"/>
    <w:rsid w:val="00663F8B"/>
    <w:rsid w:val="0066522F"/>
    <w:rsid w:val="00671FD8"/>
    <w:rsid w:val="006723BE"/>
    <w:rsid w:val="00692397"/>
    <w:rsid w:val="0069467C"/>
    <w:rsid w:val="00694AC8"/>
    <w:rsid w:val="00696B64"/>
    <w:rsid w:val="006B26C1"/>
    <w:rsid w:val="006B335D"/>
    <w:rsid w:val="006C049A"/>
    <w:rsid w:val="006C7475"/>
    <w:rsid w:val="006D07D9"/>
    <w:rsid w:val="006D15BF"/>
    <w:rsid w:val="006D6C46"/>
    <w:rsid w:val="006E389B"/>
    <w:rsid w:val="00701B49"/>
    <w:rsid w:val="00702724"/>
    <w:rsid w:val="00707204"/>
    <w:rsid w:val="00713F3E"/>
    <w:rsid w:val="007261FC"/>
    <w:rsid w:val="00731527"/>
    <w:rsid w:val="007363B2"/>
    <w:rsid w:val="00740602"/>
    <w:rsid w:val="007458DB"/>
    <w:rsid w:val="0074729E"/>
    <w:rsid w:val="007511AB"/>
    <w:rsid w:val="007775F5"/>
    <w:rsid w:val="00780070"/>
    <w:rsid w:val="00787480"/>
    <w:rsid w:val="007878F5"/>
    <w:rsid w:val="00791BD4"/>
    <w:rsid w:val="007936B7"/>
    <w:rsid w:val="007944C0"/>
    <w:rsid w:val="007C2135"/>
    <w:rsid w:val="007C551A"/>
    <w:rsid w:val="007D23FA"/>
    <w:rsid w:val="007D287E"/>
    <w:rsid w:val="007E6F4D"/>
    <w:rsid w:val="007F0382"/>
    <w:rsid w:val="007F26DB"/>
    <w:rsid w:val="0080799C"/>
    <w:rsid w:val="008123E8"/>
    <w:rsid w:val="00812430"/>
    <w:rsid w:val="00812CE9"/>
    <w:rsid w:val="00813095"/>
    <w:rsid w:val="008134F3"/>
    <w:rsid w:val="00816723"/>
    <w:rsid w:val="00822A6C"/>
    <w:rsid w:val="008416DD"/>
    <w:rsid w:val="0084302B"/>
    <w:rsid w:val="00850ADC"/>
    <w:rsid w:val="00854966"/>
    <w:rsid w:val="00861CEE"/>
    <w:rsid w:val="00872526"/>
    <w:rsid w:val="00877D47"/>
    <w:rsid w:val="00885820"/>
    <w:rsid w:val="008C4108"/>
    <w:rsid w:val="008C5441"/>
    <w:rsid w:val="008D251C"/>
    <w:rsid w:val="008E1C7A"/>
    <w:rsid w:val="008E20F8"/>
    <w:rsid w:val="008E38D3"/>
    <w:rsid w:val="008E3B30"/>
    <w:rsid w:val="009065AB"/>
    <w:rsid w:val="00910A5D"/>
    <w:rsid w:val="00921EB6"/>
    <w:rsid w:val="00930526"/>
    <w:rsid w:val="00931B0D"/>
    <w:rsid w:val="0095550A"/>
    <w:rsid w:val="0096088F"/>
    <w:rsid w:val="00971132"/>
    <w:rsid w:val="00973152"/>
    <w:rsid w:val="00977FBD"/>
    <w:rsid w:val="00985A6B"/>
    <w:rsid w:val="009A3B5E"/>
    <w:rsid w:val="009B19A2"/>
    <w:rsid w:val="009C2250"/>
    <w:rsid w:val="009C2A0B"/>
    <w:rsid w:val="009C6031"/>
    <w:rsid w:val="009C7E4E"/>
    <w:rsid w:val="009D4C9C"/>
    <w:rsid w:val="009E622D"/>
    <w:rsid w:val="009E640C"/>
    <w:rsid w:val="009F0528"/>
    <w:rsid w:val="009F7B01"/>
    <w:rsid w:val="00A00C10"/>
    <w:rsid w:val="00A1597E"/>
    <w:rsid w:val="00A161BD"/>
    <w:rsid w:val="00A1621F"/>
    <w:rsid w:val="00A23F38"/>
    <w:rsid w:val="00A30C0B"/>
    <w:rsid w:val="00A3437D"/>
    <w:rsid w:val="00A36A32"/>
    <w:rsid w:val="00A411F2"/>
    <w:rsid w:val="00A42986"/>
    <w:rsid w:val="00A44A37"/>
    <w:rsid w:val="00A54FA1"/>
    <w:rsid w:val="00A605AD"/>
    <w:rsid w:val="00A65EC4"/>
    <w:rsid w:val="00A7542D"/>
    <w:rsid w:val="00A90117"/>
    <w:rsid w:val="00A93F2E"/>
    <w:rsid w:val="00AA46AD"/>
    <w:rsid w:val="00AA4869"/>
    <w:rsid w:val="00AB22CE"/>
    <w:rsid w:val="00AD4D3B"/>
    <w:rsid w:val="00AD6684"/>
    <w:rsid w:val="00AE2E87"/>
    <w:rsid w:val="00AF113A"/>
    <w:rsid w:val="00AF3646"/>
    <w:rsid w:val="00B21001"/>
    <w:rsid w:val="00B33F0A"/>
    <w:rsid w:val="00B4405C"/>
    <w:rsid w:val="00B56C57"/>
    <w:rsid w:val="00B57AFF"/>
    <w:rsid w:val="00B646E3"/>
    <w:rsid w:val="00B67A35"/>
    <w:rsid w:val="00B8733B"/>
    <w:rsid w:val="00B91554"/>
    <w:rsid w:val="00B9238D"/>
    <w:rsid w:val="00B94978"/>
    <w:rsid w:val="00BC5B4D"/>
    <w:rsid w:val="00BD03F0"/>
    <w:rsid w:val="00BE4361"/>
    <w:rsid w:val="00BE55DD"/>
    <w:rsid w:val="00BF31F7"/>
    <w:rsid w:val="00C02A68"/>
    <w:rsid w:val="00C10B31"/>
    <w:rsid w:val="00C22F2D"/>
    <w:rsid w:val="00C50EAB"/>
    <w:rsid w:val="00C55BF5"/>
    <w:rsid w:val="00C5773E"/>
    <w:rsid w:val="00C642F2"/>
    <w:rsid w:val="00C75651"/>
    <w:rsid w:val="00C95286"/>
    <w:rsid w:val="00CA61FC"/>
    <w:rsid w:val="00CD5309"/>
    <w:rsid w:val="00D03666"/>
    <w:rsid w:val="00D03E06"/>
    <w:rsid w:val="00D05090"/>
    <w:rsid w:val="00D07D96"/>
    <w:rsid w:val="00D17C7E"/>
    <w:rsid w:val="00D21910"/>
    <w:rsid w:val="00D24326"/>
    <w:rsid w:val="00D25425"/>
    <w:rsid w:val="00D26F42"/>
    <w:rsid w:val="00D45DA1"/>
    <w:rsid w:val="00D50A53"/>
    <w:rsid w:val="00D61C52"/>
    <w:rsid w:val="00D62732"/>
    <w:rsid w:val="00D62C4B"/>
    <w:rsid w:val="00D72FF8"/>
    <w:rsid w:val="00D83A5D"/>
    <w:rsid w:val="00D93703"/>
    <w:rsid w:val="00D97E45"/>
    <w:rsid w:val="00DA1BB5"/>
    <w:rsid w:val="00DA2463"/>
    <w:rsid w:val="00DC3F89"/>
    <w:rsid w:val="00DC558C"/>
    <w:rsid w:val="00DC562F"/>
    <w:rsid w:val="00DF5DD9"/>
    <w:rsid w:val="00E030AF"/>
    <w:rsid w:val="00E10C7B"/>
    <w:rsid w:val="00E127AC"/>
    <w:rsid w:val="00E1408B"/>
    <w:rsid w:val="00E37337"/>
    <w:rsid w:val="00E442E3"/>
    <w:rsid w:val="00E665A5"/>
    <w:rsid w:val="00E76DDC"/>
    <w:rsid w:val="00E82357"/>
    <w:rsid w:val="00E82E5F"/>
    <w:rsid w:val="00E8614D"/>
    <w:rsid w:val="00EA5C0B"/>
    <w:rsid w:val="00EC57EF"/>
    <w:rsid w:val="00EC66C0"/>
    <w:rsid w:val="00EC72AE"/>
    <w:rsid w:val="00ED2F93"/>
    <w:rsid w:val="00ED3844"/>
    <w:rsid w:val="00EE1982"/>
    <w:rsid w:val="00F03C53"/>
    <w:rsid w:val="00F0617B"/>
    <w:rsid w:val="00F111AD"/>
    <w:rsid w:val="00F3025D"/>
    <w:rsid w:val="00F31313"/>
    <w:rsid w:val="00F31F84"/>
    <w:rsid w:val="00F343EB"/>
    <w:rsid w:val="00F4697B"/>
    <w:rsid w:val="00F535EB"/>
    <w:rsid w:val="00F53E17"/>
    <w:rsid w:val="00F6132E"/>
    <w:rsid w:val="00F73927"/>
    <w:rsid w:val="00FA6420"/>
    <w:rsid w:val="00FD2BCE"/>
    <w:rsid w:val="00FD6F2F"/>
    <w:rsid w:val="00FE1155"/>
    <w:rsid w:val="00FE574A"/>
    <w:rsid w:val="00FE7FE2"/>
    <w:rsid w:val="00FF4551"/>
    <w:rsid w:val="00FF7565"/>
    <w:rsid w:val="05C77915"/>
    <w:rsid w:val="077369FF"/>
    <w:rsid w:val="0BEBEFB3"/>
    <w:rsid w:val="0DE9ECEF"/>
    <w:rsid w:val="0F85BD50"/>
    <w:rsid w:val="1243D866"/>
    <w:rsid w:val="15F4FED4"/>
    <w:rsid w:val="17413BA2"/>
    <w:rsid w:val="19C59A13"/>
    <w:rsid w:val="1A8A3B08"/>
    <w:rsid w:val="25784F80"/>
    <w:rsid w:val="263F4BAF"/>
    <w:rsid w:val="27AEE085"/>
    <w:rsid w:val="2AAA412C"/>
    <w:rsid w:val="2E40A46B"/>
    <w:rsid w:val="2FB9F26A"/>
    <w:rsid w:val="317D87CA"/>
    <w:rsid w:val="382449AD"/>
    <w:rsid w:val="3E5B47F3"/>
    <w:rsid w:val="3F788651"/>
    <w:rsid w:val="40EF89AB"/>
    <w:rsid w:val="4A386AB3"/>
    <w:rsid w:val="4D700B75"/>
    <w:rsid w:val="4F65B800"/>
    <w:rsid w:val="52437C98"/>
    <w:rsid w:val="5A66D1AF"/>
    <w:rsid w:val="5F08D55A"/>
    <w:rsid w:val="5FD21188"/>
    <w:rsid w:val="61A7A44D"/>
    <w:rsid w:val="7B4ACB79"/>
    <w:rsid w:val="7E94FE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A7973"/>
  <w15:chartTrackingRefBased/>
  <w15:docId w15:val="{366C2DF7-DCCD-674E-A516-4B5833A2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1AD"/>
    <w:pPr>
      <w:spacing w:after="200"/>
      <w:ind w:left="397"/>
    </w:pPr>
    <w:rPr>
      <w:rFonts w:ascii="Arial" w:eastAsia="Times New Roman" w:hAnsi="Arial" w:cs="Arial"/>
      <w:kern w:val="0"/>
      <w:lang w:eastAsia="en-GB"/>
      <w14:ligatures w14:val="none"/>
    </w:rPr>
  </w:style>
  <w:style w:type="paragraph" w:styleId="Heading1">
    <w:name w:val="heading 1"/>
    <w:basedOn w:val="Normal"/>
    <w:next w:val="Normal"/>
    <w:link w:val="Heading1Char"/>
    <w:uiPriority w:val="9"/>
    <w:qFormat/>
    <w:rsid w:val="006B335D"/>
    <w:pPr>
      <w:keepNext/>
      <w:keepLines/>
      <w:numPr>
        <w:numId w:val="15"/>
      </w:numPr>
      <w:ind w:right="95"/>
      <w:outlineLvl w:val="0"/>
    </w:pPr>
    <w:rPr>
      <w:rFonts w:eastAsiaTheme="majorEastAsia"/>
      <w:b/>
      <w:bCs/>
    </w:rPr>
  </w:style>
  <w:style w:type="paragraph" w:styleId="Heading2">
    <w:name w:val="heading 2"/>
    <w:basedOn w:val="PolicyL1"/>
    <w:next w:val="Normal"/>
    <w:link w:val="Heading2Char"/>
    <w:uiPriority w:val="9"/>
    <w:unhideWhenUsed/>
    <w:qFormat/>
    <w:rsid w:val="001366C6"/>
    <w:pPr>
      <w:keepNext/>
      <w:outlineLvl w:val="1"/>
    </w:pPr>
    <w:rPr>
      <w:b/>
      <w:bCs/>
    </w:rPr>
  </w:style>
  <w:style w:type="paragraph" w:styleId="Heading3">
    <w:name w:val="heading 3"/>
    <w:basedOn w:val="PolicyL2"/>
    <w:next w:val="Normal"/>
    <w:link w:val="Heading3Char"/>
    <w:uiPriority w:val="9"/>
    <w:unhideWhenUsed/>
    <w:qFormat/>
    <w:rsid w:val="0047322A"/>
    <w:pPr>
      <w:ind w:left="1134"/>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2724"/>
    <w:pPr>
      <w:ind w:right="-244"/>
      <w:jc w:val="center"/>
    </w:pPr>
    <w:rPr>
      <w:b/>
      <w:bCs/>
      <w:i/>
      <w:iCs/>
      <w:sz w:val="22"/>
      <w:szCs w:val="22"/>
      <w:lang w:eastAsia="en-US"/>
    </w:rPr>
  </w:style>
  <w:style w:type="character" w:customStyle="1" w:styleId="TitleChar">
    <w:name w:val="Title Char"/>
    <w:basedOn w:val="DefaultParagraphFont"/>
    <w:link w:val="Title"/>
    <w:rsid w:val="00702724"/>
    <w:rPr>
      <w:rFonts w:ascii="Arial" w:eastAsia="Times New Roman" w:hAnsi="Arial" w:cs="Arial"/>
      <w:b/>
      <w:bCs/>
      <w:i/>
      <w:iCs/>
      <w:kern w:val="0"/>
      <w:sz w:val="22"/>
      <w:szCs w:val="22"/>
      <w14:ligatures w14:val="none"/>
    </w:rPr>
  </w:style>
  <w:style w:type="table" w:styleId="TableGrid">
    <w:name w:val="Table Grid"/>
    <w:basedOn w:val="TableNormal"/>
    <w:uiPriority w:val="59"/>
    <w:rsid w:val="00702724"/>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5F4A03"/>
    <w:pPr>
      <w:numPr>
        <w:numId w:val="14"/>
      </w:numPr>
      <w:ind w:right="95"/>
      <w:contextualSpacing/>
    </w:pPr>
  </w:style>
  <w:style w:type="paragraph" w:styleId="Header">
    <w:name w:val="header"/>
    <w:basedOn w:val="Normal"/>
    <w:link w:val="HeaderChar"/>
    <w:uiPriority w:val="99"/>
    <w:unhideWhenUsed/>
    <w:rsid w:val="00702724"/>
    <w:pPr>
      <w:tabs>
        <w:tab w:val="center" w:pos="4513"/>
        <w:tab w:val="right" w:pos="9026"/>
      </w:tabs>
    </w:pPr>
  </w:style>
  <w:style w:type="character" w:customStyle="1" w:styleId="HeaderChar">
    <w:name w:val="Header Char"/>
    <w:basedOn w:val="DefaultParagraphFont"/>
    <w:link w:val="Header"/>
    <w:uiPriority w:val="99"/>
    <w:rsid w:val="00702724"/>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702724"/>
    <w:pPr>
      <w:tabs>
        <w:tab w:val="center" w:pos="4513"/>
        <w:tab w:val="right" w:pos="9026"/>
      </w:tabs>
    </w:pPr>
  </w:style>
  <w:style w:type="character" w:customStyle="1" w:styleId="FooterChar">
    <w:name w:val="Footer Char"/>
    <w:basedOn w:val="DefaultParagraphFont"/>
    <w:link w:val="Footer"/>
    <w:uiPriority w:val="99"/>
    <w:rsid w:val="00702724"/>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17414D"/>
    <w:rPr>
      <w:sz w:val="16"/>
      <w:szCs w:val="16"/>
    </w:rPr>
  </w:style>
  <w:style w:type="paragraph" w:styleId="CommentText">
    <w:name w:val="annotation text"/>
    <w:basedOn w:val="Normal"/>
    <w:link w:val="CommentTextChar"/>
    <w:uiPriority w:val="99"/>
    <w:unhideWhenUsed/>
    <w:rsid w:val="0017414D"/>
    <w:rPr>
      <w:sz w:val="20"/>
      <w:szCs w:val="20"/>
    </w:rPr>
  </w:style>
  <w:style w:type="character" w:customStyle="1" w:styleId="CommentTextChar">
    <w:name w:val="Comment Text Char"/>
    <w:basedOn w:val="DefaultParagraphFont"/>
    <w:link w:val="CommentText"/>
    <w:uiPriority w:val="99"/>
    <w:rsid w:val="0017414D"/>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17414D"/>
    <w:rPr>
      <w:b/>
      <w:bCs/>
    </w:rPr>
  </w:style>
  <w:style w:type="character" w:customStyle="1" w:styleId="CommentSubjectChar">
    <w:name w:val="Comment Subject Char"/>
    <w:basedOn w:val="CommentTextChar"/>
    <w:link w:val="CommentSubject"/>
    <w:uiPriority w:val="99"/>
    <w:semiHidden/>
    <w:rsid w:val="0017414D"/>
    <w:rPr>
      <w:rFonts w:ascii="Times New Roman" w:eastAsia="Times New Roman" w:hAnsi="Times New Roman" w:cs="Times New Roman"/>
      <w:b/>
      <w:bCs/>
      <w:kern w:val="0"/>
      <w:sz w:val="20"/>
      <w:szCs w:val="20"/>
      <w:lang w:eastAsia="en-GB"/>
      <w14:ligatures w14:val="none"/>
    </w:rPr>
  </w:style>
  <w:style w:type="character" w:styleId="Hyperlink">
    <w:name w:val="Hyperlink"/>
    <w:basedOn w:val="DefaultParagraphFont"/>
    <w:uiPriority w:val="99"/>
    <w:unhideWhenUsed/>
    <w:rsid w:val="00973152"/>
    <w:rPr>
      <w:color w:val="0563C1" w:themeColor="hyperlink"/>
      <w:u w:val="single"/>
    </w:rPr>
  </w:style>
  <w:style w:type="character" w:styleId="UnresolvedMention">
    <w:name w:val="Unresolved Mention"/>
    <w:basedOn w:val="DefaultParagraphFont"/>
    <w:uiPriority w:val="99"/>
    <w:semiHidden/>
    <w:unhideWhenUsed/>
    <w:rsid w:val="00973152"/>
    <w:rPr>
      <w:color w:val="605E5C"/>
      <w:shd w:val="clear" w:color="auto" w:fill="E1DFDD"/>
    </w:rPr>
  </w:style>
  <w:style w:type="paragraph" w:customStyle="1" w:styleId="paragraph">
    <w:name w:val="paragraph"/>
    <w:basedOn w:val="Normal"/>
    <w:rsid w:val="00F6132E"/>
    <w:pPr>
      <w:spacing w:before="100" w:beforeAutospacing="1" w:after="100" w:afterAutospacing="1"/>
    </w:pPr>
    <w:rPr>
      <w:lang w:eastAsia="zh-CN"/>
    </w:rPr>
  </w:style>
  <w:style w:type="character" w:customStyle="1" w:styleId="normaltextrun">
    <w:name w:val="normaltextrun"/>
    <w:basedOn w:val="DefaultParagraphFont"/>
    <w:rsid w:val="00F6132E"/>
  </w:style>
  <w:style w:type="character" w:customStyle="1" w:styleId="eop">
    <w:name w:val="eop"/>
    <w:basedOn w:val="DefaultParagraphFont"/>
    <w:rsid w:val="00F6132E"/>
  </w:style>
  <w:style w:type="character" w:styleId="FollowedHyperlink">
    <w:name w:val="FollowedHyperlink"/>
    <w:basedOn w:val="DefaultParagraphFont"/>
    <w:uiPriority w:val="99"/>
    <w:semiHidden/>
    <w:unhideWhenUsed/>
    <w:rsid w:val="00FF4551"/>
    <w:rPr>
      <w:color w:val="954F72" w:themeColor="followedHyperlink"/>
      <w:u w:val="single"/>
    </w:rPr>
  </w:style>
  <w:style w:type="paragraph" w:customStyle="1" w:styleId="Normal2">
    <w:name w:val="Normal 2"/>
    <w:basedOn w:val="Normal"/>
    <w:next w:val="Normal"/>
    <w:qFormat/>
    <w:rsid w:val="0069467C"/>
    <w:pPr>
      <w:spacing w:line="259" w:lineRule="auto"/>
      <w:ind w:left="1222" w:right="-244" w:hanging="360"/>
      <w:jc w:val="both"/>
    </w:pPr>
    <w:rPr>
      <w:rFonts w:eastAsiaTheme="minorHAnsi"/>
      <w:sz w:val="22"/>
      <w:szCs w:val="22"/>
      <w:lang w:eastAsia="en-US"/>
    </w:rPr>
  </w:style>
  <w:style w:type="character" w:customStyle="1" w:styleId="ListParagraphChar">
    <w:name w:val="List Paragraph Char"/>
    <w:basedOn w:val="DefaultParagraphFont"/>
    <w:link w:val="ListParagraph"/>
    <w:uiPriority w:val="34"/>
    <w:rsid w:val="005F4A03"/>
    <w:rPr>
      <w:rFonts w:ascii="Arial" w:eastAsia="Times New Roman" w:hAnsi="Arial" w:cs="Arial"/>
      <w:kern w:val="0"/>
      <w:lang w:eastAsia="en-GB"/>
      <w14:ligatures w14:val="none"/>
    </w:rPr>
  </w:style>
  <w:style w:type="paragraph" w:customStyle="1" w:styleId="Header1numbered">
    <w:name w:val="Header 1 numbered"/>
    <w:basedOn w:val="Heading1"/>
    <w:link w:val="Header1numberedChar"/>
    <w:qFormat/>
    <w:rsid w:val="00224FBC"/>
    <w:rPr>
      <w:b w:val="0"/>
      <w:bCs w:val="0"/>
    </w:rPr>
  </w:style>
  <w:style w:type="character" w:customStyle="1" w:styleId="Header1numberedChar">
    <w:name w:val="Header 1 numbered Char"/>
    <w:basedOn w:val="Heading1Char"/>
    <w:link w:val="Header1numbered"/>
    <w:rsid w:val="00224FBC"/>
    <w:rPr>
      <w:rFonts w:ascii="Arial" w:eastAsiaTheme="majorEastAsia" w:hAnsi="Arial" w:cs="Arial"/>
      <w:b w:val="0"/>
      <w:bCs w:val="0"/>
      <w:color w:val="2F5496" w:themeColor="accent1" w:themeShade="BF"/>
      <w:kern w:val="0"/>
      <w:sz w:val="32"/>
      <w:szCs w:val="32"/>
      <w:lang w:eastAsia="en-GB"/>
      <w14:ligatures w14:val="none"/>
    </w:rPr>
  </w:style>
  <w:style w:type="paragraph" w:customStyle="1" w:styleId="PolicyL1">
    <w:name w:val="Policy L1"/>
    <w:basedOn w:val="Normal"/>
    <w:link w:val="PolicyL1Char"/>
    <w:qFormat/>
    <w:rsid w:val="005F4A03"/>
    <w:pPr>
      <w:numPr>
        <w:ilvl w:val="1"/>
        <w:numId w:val="15"/>
      </w:numPr>
      <w:spacing w:before="200"/>
      <w:ind w:right="95"/>
    </w:pPr>
    <w:rPr>
      <w:rFonts w:eastAsiaTheme="minorHAnsi"/>
      <w:kern w:val="2"/>
      <w:lang w:eastAsia="en-US"/>
      <w14:ligatures w14:val="standardContextual"/>
    </w:rPr>
  </w:style>
  <w:style w:type="character" w:customStyle="1" w:styleId="PolicyL1Char">
    <w:name w:val="Policy L1 Char"/>
    <w:basedOn w:val="DefaultParagraphFont"/>
    <w:link w:val="PolicyL1"/>
    <w:rsid w:val="005F4A03"/>
    <w:rPr>
      <w:rFonts w:ascii="Arial" w:hAnsi="Arial" w:cs="Arial"/>
    </w:rPr>
  </w:style>
  <w:style w:type="paragraph" w:customStyle="1" w:styleId="PolicyL2">
    <w:name w:val="Policy L2"/>
    <w:link w:val="PolicyL2Char"/>
    <w:qFormat/>
    <w:rsid w:val="005F4A03"/>
    <w:pPr>
      <w:numPr>
        <w:ilvl w:val="2"/>
        <w:numId w:val="15"/>
      </w:numPr>
      <w:spacing w:before="200" w:after="200"/>
      <w:ind w:right="95"/>
    </w:pPr>
    <w:rPr>
      <w:rFonts w:ascii="Arial" w:hAnsi="Arial" w:cs="Arial"/>
    </w:rPr>
  </w:style>
  <w:style w:type="character" w:customStyle="1" w:styleId="PolicyL2Char">
    <w:name w:val="Policy L2 Char"/>
    <w:basedOn w:val="DefaultParagraphFont"/>
    <w:link w:val="PolicyL2"/>
    <w:rsid w:val="005F4A03"/>
    <w:rPr>
      <w:rFonts w:ascii="Arial" w:hAnsi="Arial" w:cs="Arial"/>
    </w:rPr>
  </w:style>
  <w:style w:type="character" w:customStyle="1" w:styleId="Heading1Char">
    <w:name w:val="Heading 1 Char"/>
    <w:basedOn w:val="DefaultParagraphFont"/>
    <w:link w:val="Heading1"/>
    <w:uiPriority w:val="9"/>
    <w:rsid w:val="006B335D"/>
    <w:rPr>
      <w:rFonts w:ascii="Arial" w:eastAsiaTheme="majorEastAsia" w:hAnsi="Arial" w:cs="Arial"/>
      <w:b/>
      <w:bCs/>
      <w:kern w:val="0"/>
      <w:lang w:eastAsia="en-GB"/>
      <w14:ligatures w14:val="none"/>
    </w:rPr>
  </w:style>
  <w:style w:type="paragraph" w:customStyle="1" w:styleId="Numberedpara">
    <w:name w:val="Numbered para"/>
    <w:basedOn w:val="Normal"/>
    <w:link w:val="NumberedparaChar"/>
    <w:qFormat/>
    <w:rsid w:val="00E76DDC"/>
    <w:pPr>
      <w:numPr>
        <w:ilvl w:val="1"/>
        <w:numId w:val="22"/>
      </w:numPr>
      <w:spacing w:before="200" w:line="259" w:lineRule="auto"/>
    </w:pPr>
    <w:rPr>
      <w:rFonts w:eastAsiaTheme="minorHAnsi"/>
      <w:sz w:val="22"/>
      <w:szCs w:val="22"/>
      <w:lang w:eastAsia="en-US"/>
    </w:rPr>
  </w:style>
  <w:style w:type="character" w:customStyle="1" w:styleId="NumberedparaChar">
    <w:name w:val="Numbered para Char"/>
    <w:basedOn w:val="DefaultParagraphFont"/>
    <w:link w:val="Numberedpara"/>
    <w:rsid w:val="00E76DDC"/>
    <w:rPr>
      <w:rFonts w:ascii="Arial" w:hAnsi="Arial" w:cs="Arial"/>
      <w:kern w:val="0"/>
      <w:sz w:val="22"/>
      <w:szCs w:val="22"/>
      <w14:ligatures w14:val="none"/>
    </w:rPr>
  </w:style>
  <w:style w:type="paragraph" w:customStyle="1" w:styleId="Sub-numberedpara">
    <w:name w:val="Sub-numbered para"/>
    <w:basedOn w:val="Numberedpara"/>
    <w:qFormat/>
    <w:rsid w:val="00FD2BCE"/>
    <w:pPr>
      <w:numPr>
        <w:ilvl w:val="2"/>
      </w:numPr>
      <w:tabs>
        <w:tab w:val="num" w:pos="360"/>
      </w:tabs>
      <w:spacing w:before="120" w:after="120"/>
      <w:ind w:left="2160" w:hanging="180"/>
    </w:pPr>
  </w:style>
  <w:style w:type="character" w:customStyle="1" w:styleId="Heading2Char">
    <w:name w:val="Heading 2 Char"/>
    <w:basedOn w:val="DefaultParagraphFont"/>
    <w:link w:val="Heading2"/>
    <w:uiPriority w:val="9"/>
    <w:rsid w:val="001366C6"/>
    <w:rPr>
      <w:rFonts w:ascii="Arial" w:hAnsi="Arial" w:cs="Arial"/>
      <w:b/>
      <w:bCs/>
    </w:rPr>
  </w:style>
  <w:style w:type="character" w:customStyle="1" w:styleId="Heading3Char">
    <w:name w:val="Heading 3 Char"/>
    <w:basedOn w:val="DefaultParagraphFont"/>
    <w:link w:val="Heading3"/>
    <w:uiPriority w:val="9"/>
    <w:rsid w:val="0047322A"/>
    <w:rPr>
      <w:rFonts w:ascii="Arial" w:hAnsi="Arial" w:cs="Arial"/>
      <w:b/>
      <w:bCs/>
      <w:i/>
      <w:iCs/>
    </w:rPr>
  </w:style>
  <w:style w:type="paragraph" w:styleId="BodyText">
    <w:name w:val="Body Text"/>
    <w:basedOn w:val="Normal"/>
    <w:link w:val="BodyTextChar"/>
    <w:uiPriority w:val="1"/>
    <w:qFormat/>
    <w:rsid w:val="00B21001"/>
    <w:pPr>
      <w:widowControl w:val="0"/>
      <w:autoSpaceDE w:val="0"/>
      <w:autoSpaceDN w:val="0"/>
      <w:spacing w:before="120"/>
      <w:ind w:left="119"/>
      <w:jc w:val="both"/>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B21001"/>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B21001"/>
    <w:pPr>
      <w:widowControl w:val="0"/>
      <w:autoSpaceDE w:val="0"/>
      <w:autoSpaceDN w:val="0"/>
      <w:spacing w:before="1"/>
      <w:ind w:left="479"/>
      <w:jc w:val="center"/>
    </w:pPr>
    <w:rPr>
      <w:rFonts w:ascii="Calibri" w:eastAsia="Calibri" w:hAnsi="Calibri" w:cs="Calibri"/>
      <w:sz w:val="22"/>
      <w:szCs w:val="22"/>
      <w:lang w:val="en-US" w:eastAsia="en-US"/>
    </w:rPr>
  </w:style>
  <w:style w:type="paragraph" w:styleId="Revision">
    <w:name w:val="Revision"/>
    <w:hidden/>
    <w:uiPriority w:val="99"/>
    <w:semiHidden/>
    <w:rsid w:val="00B21001"/>
    <w:rPr>
      <w:rFonts w:ascii="Calibri" w:eastAsia="Calibri" w:hAnsi="Calibri" w:cs="Calibri"/>
      <w:kern w:val="0"/>
      <w:sz w:val="22"/>
      <w:szCs w:val="22"/>
      <w:lang w:val="en-US"/>
      <w14:ligatures w14:val="none"/>
    </w:rPr>
  </w:style>
  <w:style w:type="character" w:styleId="Strong">
    <w:name w:val="Strong"/>
    <w:basedOn w:val="DefaultParagraphFont"/>
    <w:uiPriority w:val="22"/>
    <w:qFormat/>
    <w:rsid w:val="00B67A35"/>
    <w:rPr>
      <w:b/>
      <w:bCs/>
    </w:rPr>
  </w:style>
  <w:style w:type="paragraph" w:styleId="NormalWeb">
    <w:name w:val="Normal (Web)"/>
    <w:basedOn w:val="Normal"/>
    <w:uiPriority w:val="99"/>
    <w:semiHidden/>
    <w:unhideWhenUsed/>
    <w:rsid w:val="00B67A35"/>
    <w:pPr>
      <w:spacing w:before="100" w:beforeAutospacing="1" w:after="100" w:afterAutospacing="1"/>
      <w:ind w:left="0"/>
    </w:pPr>
    <w:rPr>
      <w:rFonts w:ascii="Times New Roman" w:hAnsi="Times New Roman" w:cs="Times New Roman"/>
      <w:lang w:eastAsia="zh-CN"/>
    </w:rPr>
  </w:style>
  <w:style w:type="character" w:customStyle="1" w:styleId="apple-converted-space">
    <w:name w:val="apple-converted-space"/>
    <w:basedOn w:val="DefaultParagraphFont"/>
    <w:rsid w:val="0096088F"/>
  </w:style>
  <w:style w:type="character" w:customStyle="1" w:styleId="outlook-search-highlight">
    <w:name w:val="outlook-search-highlight"/>
    <w:basedOn w:val="DefaultParagraphFont"/>
    <w:rsid w:val="0096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66321">
      <w:bodyDiv w:val="1"/>
      <w:marLeft w:val="0"/>
      <w:marRight w:val="0"/>
      <w:marTop w:val="0"/>
      <w:marBottom w:val="0"/>
      <w:divBdr>
        <w:top w:val="none" w:sz="0" w:space="0" w:color="auto"/>
        <w:left w:val="none" w:sz="0" w:space="0" w:color="auto"/>
        <w:bottom w:val="none" w:sz="0" w:space="0" w:color="auto"/>
        <w:right w:val="none" w:sz="0" w:space="0" w:color="auto"/>
      </w:divBdr>
      <w:divsChild>
        <w:div w:id="245070822">
          <w:marLeft w:val="0"/>
          <w:marRight w:val="0"/>
          <w:marTop w:val="0"/>
          <w:marBottom w:val="0"/>
          <w:divBdr>
            <w:top w:val="none" w:sz="0" w:space="0" w:color="auto"/>
            <w:left w:val="none" w:sz="0" w:space="0" w:color="auto"/>
            <w:bottom w:val="none" w:sz="0" w:space="0" w:color="auto"/>
            <w:right w:val="none" w:sz="0" w:space="0" w:color="auto"/>
          </w:divBdr>
          <w:divsChild>
            <w:div w:id="647368338">
              <w:marLeft w:val="0"/>
              <w:marRight w:val="0"/>
              <w:marTop w:val="0"/>
              <w:marBottom w:val="0"/>
              <w:divBdr>
                <w:top w:val="none" w:sz="0" w:space="0" w:color="auto"/>
                <w:left w:val="none" w:sz="0" w:space="0" w:color="auto"/>
                <w:bottom w:val="none" w:sz="0" w:space="0" w:color="auto"/>
                <w:right w:val="none" w:sz="0" w:space="0" w:color="auto"/>
              </w:divBdr>
            </w:div>
          </w:divsChild>
        </w:div>
        <w:div w:id="317879206">
          <w:marLeft w:val="0"/>
          <w:marRight w:val="0"/>
          <w:marTop w:val="0"/>
          <w:marBottom w:val="0"/>
          <w:divBdr>
            <w:top w:val="none" w:sz="0" w:space="0" w:color="auto"/>
            <w:left w:val="none" w:sz="0" w:space="0" w:color="auto"/>
            <w:bottom w:val="none" w:sz="0" w:space="0" w:color="auto"/>
            <w:right w:val="none" w:sz="0" w:space="0" w:color="auto"/>
          </w:divBdr>
          <w:divsChild>
            <w:div w:id="185481977">
              <w:marLeft w:val="0"/>
              <w:marRight w:val="0"/>
              <w:marTop w:val="0"/>
              <w:marBottom w:val="0"/>
              <w:divBdr>
                <w:top w:val="none" w:sz="0" w:space="0" w:color="auto"/>
                <w:left w:val="none" w:sz="0" w:space="0" w:color="auto"/>
                <w:bottom w:val="none" w:sz="0" w:space="0" w:color="auto"/>
                <w:right w:val="none" w:sz="0" w:space="0" w:color="auto"/>
              </w:divBdr>
            </w:div>
            <w:div w:id="668289294">
              <w:marLeft w:val="0"/>
              <w:marRight w:val="0"/>
              <w:marTop w:val="0"/>
              <w:marBottom w:val="0"/>
              <w:divBdr>
                <w:top w:val="none" w:sz="0" w:space="0" w:color="auto"/>
                <w:left w:val="none" w:sz="0" w:space="0" w:color="auto"/>
                <w:bottom w:val="none" w:sz="0" w:space="0" w:color="auto"/>
                <w:right w:val="none" w:sz="0" w:space="0" w:color="auto"/>
              </w:divBdr>
            </w:div>
            <w:div w:id="809515031">
              <w:marLeft w:val="0"/>
              <w:marRight w:val="0"/>
              <w:marTop w:val="0"/>
              <w:marBottom w:val="0"/>
              <w:divBdr>
                <w:top w:val="none" w:sz="0" w:space="0" w:color="auto"/>
                <w:left w:val="none" w:sz="0" w:space="0" w:color="auto"/>
                <w:bottom w:val="none" w:sz="0" w:space="0" w:color="auto"/>
                <w:right w:val="none" w:sz="0" w:space="0" w:color="auto"/>
              </w:divBdr>
            </w:div>
            <w:div w:id="1554466918">
              <w:marLeft w:val="0"/>
              <w:marRight w:val="0"/>
              <w:marTop w:val="0"/>
              <w:marBottom w:val="0"/>
              <w:divBdr>
                <w:top w:val="none" w:sz="0" w:space="0" w:color="auto"/>
                <w:left w:val="none" w:sz="0" w:space="0" w:color="auto"/>
                <w:bottom w:val="none" w:sz="0" w:space="0" w:color="auto"/>
                <w:right w:val="none" w:sz="0" w:space="0" w:color="auto"/>
              </w:divBdr>
            </w:div>
            <w:div w:id="2102992489">
              <w:marLeft w:val="0"/>
              <w:marRight w:val="0"/>
              <w:marTop w:val="0"/>
              <w:marBottom w:val="0"/>
              <w:divBdr>
                <w:top w:val="none" w:sz="0" w:space="0" w:color="auto"/>
                <w:left w:val="none" w:sz="0" w:space="0" w:color="auto"/>
                <w:bottom w:val="none" w:sz="0" w:space="0" w:color="auto"/>
                <w:right w:val="none" w:sz="0" w:space="0" w:color="auto"/>
              </w:divBdr>
            </w:div>
          </w:divsChild>
        </w:div>
        <w:div w:id="439952867">
          <w:marLeft w:val="0"/>
          <w:marRight w:val="0"/>
          <w:marTop w:val="0"/>
          <w:marBottom w:val="0"/>
          <w:divBdr>
            <w:top w:val="none" w:sz="0" w:space="0" w:color="auto"/>
            <w:left w:val="none" w:sz="0" w:space="0" w:color="auto"/>
            <w:bottom w:val="none" w:sz="0" w:space="0" w:color="auto"/>
            <w:right w:val="none" w:sz="0" w:space="0" w:color="auto"/>
          </w:divBdr>
          <w:divsChild>
            <w:div w:id="484123054">
              <w:marLeft w:val="0"/>
              <w:marRight w:val="0"/>
              <w:marTop w:val="0"/>
              <w:marBottom w:val="0"/>
              <w:divBdr>
                <w:top w:val="none" w:sz="0" w:space="0" w:color="auto"/>
                <w:left w:val="none" w:sz="0" w:space="0" w:color="auto"/>
                <w:bottom w:val="none" w:sz="0" w:space="0" w:color="auto"/>
                <w:right w:val="none" w:sz="0" w:space="0" w:color="auto"/>
              </w:divBdr>
            </w:div>
            <w:div w:id="861169090">
              <w:marLeft w:val="0"/>
              <w:marRight w:val="0"/>
              <w:marTop w:val="0"/>
              <w:marBottom w:val="0"/>
              <w:divBdr>
                <w:top w:val="none" w:sz="0" w:space="0" w:color="auto"/>
                <w:left w:val="none" w:sz="0" w:space="0" w:color="auto"/>
                <w:bottom w:val="none" w:sz="0" w:space="0" w:color="auto"/>
                <w:right w:val="none" w:sz="0" w:space="0" w:color="auto"/>
              </w:divBdr>
            </w:div>
          </w:divsChild>
        </w:div>
        <w:div w:id="780800252">
          <w:marLeft w:val="0"/>
          <w:marRight w:val="0"/>
          <w:marTop w:val="0"/>
          <w:marBottom w:val="0"/>
          <w:divBdr>
            <w:top w:val="none" w:sz="0" w:space="0" w:color="auto"/>
            <w:left w:val="none" w:sz="0" w:space="0" w:color="auto"/>
            <w:bottom w:val="none" w:sz="0" w:space="0" w:color="auto"/>
            <w:right w:val="none" w:sz="0" w:space="0" w:color="auto"/>
          </w:divBdr>
        </w:div>
        <w:div w:id="1058164437">
          <w:marLeft w:val="0"/>
          <w:marRight w:val="0"/>
          <w:marTop w:val="0"/>
          <w:marBottom w:val="0"/>
          <w:divBdr>
            <w:top w:val="none" w:sz="0" w:space="0" w:color="auto"/>
            <w:left w:val="none" w:sz="0" w:space="0" w:color="auto"/>
            <w:bottom w:val="none" w:sz="0" w:space="0" w:color="auto"/>
            <w:right w:val="none" w:sz="0" w:space="0" w:color="auto"/>
          </w:divBdr>
        </w:div>
        <w:div w:id="1190409334">
          <w:marLeft w:val="0"/>
          <w:marRight w:val="0"/>
          <w:marTop w:val="0"/>
          <w:marBottom w:val="0"/>
          <w:divBdr>
            <w:top w:val="none" w:sz="0" w:space="0" w:color="auto"/>
            <w:left w:val="none" w:sz="0" w:space="0" w:color="auto"/>
            <w:bottom w:val="none" w:sz="0" w:space="0" w:color="auto"/>
            <w:right w:val="none" w:sz="0" w:space="0" w:color="auto"/>
          </w:divBdr>
        </w:div>
        <w:div w:id="1350448795">
          <w:marLeft w:val="0"/>
          <w:marRight w:val="0"/>
          <w:marTop w:val="0"/>
          <w:marBottom w:val="0"/>
          <w:divBdr>
            <w:top w:val="none" w:sz="0" w:space="0" w:color="auto"/>
            <w:left w:val="none" w:sz="0" w:space="0" w:color="auto"/>
            <w:bottom w:val="none" w:sz="0" w:space="0" w:color="auto"/>
            <w:right w:val="none" w:sz="0" w:space="0" w:color="auto"/>
          </w:divBdr>
          <w:divsChild>
            <w:div w:id="1378814618">
              <w:marLeft w:val="0"/>
              <w:marRight w:val="0"/>
              <w:marTop w:val="0"/>
              <w:marBottom w:val="0"/>
              <w:divBdr>
                <w:top w:val="none" w:sz="0" w:space="0" w:color="auto"/>
                <w:left w:val="none" w:sz="0" w:space="0" w:color="auto"/>
                <w:bottom w:val="none" w:sz="0" w:space="0" w:color="auto"/>
                <w:right w:val="none" w:sz="0" w:space="0" w:color="auto"/>
              </w:divBdr>
            </w:div>
          </w:divsChild>
        </w:div>
        <w:div w:id="191400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82BB0B362684792D6A0E709BB552B" ma:contentTypeVersion="19" ma:contentTypeDescription="Create a new document." ma:contentTypeScope="" ma:versionID="dcf1d84b7a8e10650c88215f9b4a01ee">
  <xsd:schema xmlns:xsd="http://www.w3.org/2001/XMLSchema" xmlns:xs="http://www.w3.org/2001/XMLSchema" xmlns:p="http://schemas.microsoft.com/office/2006/metadata/properties" xmlns:ns2="7e52b31d-01b0-4e56-b84e-476c99a73aff" xmlns:ns3="63f82036-76d4-4355-916c-7044f4722662" targetNamespace="http://schemas.microsoft.com/office/2006/metadata/properties" ma:root="true" ma:fieldsID="2a122bc7f2913d2a962db05749bdcf8e" ns2:_="" ns3:_="">
    <xsd:import namespace="7e52b31d-01b0-4e56-b84e-476c99a73aff"/>
    <xsd:import namespace="63f82036-76d4-4355-916c-7044f47226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2b31d-01b0-4e56-b84e-476c99a73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82036-76d4-4355-916c-7044f47226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610541-8169-411e-b448-4b2bbb21b732}" ma:internalName="TaxCatchAll" ma:showField="CatchAllData" ma:web="63f82036-76d4-4355-916c-7044f4722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f82036-76d4-4355-916c-7044f4722662" xsi:nil="true"/>
    <lcf76f155ced4ddcb4097134ff3c332f xmlns="7e52b31d-01b0-4e56-b84e-476c99a73aff">
      <Terms xmlns="http://schemas.microsoft.com/office/infopath/2007/PartnerControls"/>
    </lcf76f155ced4ddcb4097134ff3c332f>
    <SharedWithUsers xmlns="63f82036-76d4-4355-916c-7044f4722662">
      <UserInfo>
        <DisplayName>Elspeth Elliott</DisplayName>
        <AccountId>12</AccountId>
        <AccountType/>
      </UserInfo>
      <UserInfo>
        <DisplayName>Jamie Wightwick</DisplayName>
        <AccountId>9</AccountId>
        <AccountType/>
      </UserInfo>
      <UserInfo>
        <DisplayName>Melville Anderson</DisplayName>
        <AccountId>29</AccountId>
        <AccountType/>
      </UserInfo>
    </SharedWithUsers>
  </documentManagement>
</p:properties>
</file>

<file path=customXml/itemProps1.xml><?xml version="1.0" encoding="utf-8"?>
<ds:datastoreItem xmlns:ds="http://schemas.openxmlformats.org/officeDocument/2006/customXml" ds:itemID="{EAC9E111-7133-4B71-889C-48DFB630E7A1}">
  <ds:schemaRefs>
    <ds:schemaRef ds:uri="http://schemas.microsoft.com/sharepoint/v3/contenttype/forms"/>
  </ds:schemaRefs>
</ds:datastoreItem>
</file>

<file path=customXml/itemProps2.xml><?xml version="1.0" encoding="utf-8"?>
<ds:datastoreItem xmlns:ds="http://schemas.openxmlformats.org/officeDocument/2006/customXml" ds:itemID="{C137DF68-1E24-42BF-AEF1-DDAD9690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2b31d-01b0-4e56-b84e-476c99a73aff"/>
    <ds:schemaRef ds:uri="63f82036-76d4-4355-916c-7044f4722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B2C38-6980-4B2E-8645-19E417CB089E}">
  <ds:schemaRefs>
    <ds:schemaRef ds:uri="http://schemas.microsoft.com/office/2006/metadata/properties"/>
    <ds:schemaRef ds:uri="http://schemas.microsoft.com/office/infopath/2007/PartnerControls"/>
    <ds:schemaRef ds:uri="63f82036-76d4-4355-916c-7044f4722662"/>
    <ds:schemaRef ds:uri="7e52b31d-01b0-4e56-b84e-476c99a73af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3739</Words>
  <Characters>21316</Characters>
  <Application>Microsoft Office Word</Application>
  <DocSecurity>0</DocSecurity>
  <Lines>177</Lines>
  <Paragraphs>50</Paragraphs>
  <ScaleCrop>false</ScaleCrop>
  <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Wightwick</dc:creator>
  <cp:keywords/>
  <dc:description/>
  <cp:lastModifiedBy>Jamie Wightwick</cp:lastModifiedBy>
  <cp:revision>5</cp:revision>
  <cp:lastPrinted>2026-06-10T09:04:00Z</cp:lastPrinted>
  <dcterms:created xsi:type="dcterms:W3CDTF">2026-06-10T09:04:00Z</dcterms:created>
  <dcterms:modified xsi:type="dcterms:W3CDTF">2026-06-10T09:12:00Z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0x010100D0282BB0B362684792D6A0E709BB552B</vt:lpwstr>
  </property>
</Properties>
</file>