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8B77" w14:textId="77777777" w:rsidR="007D2383" w:rsidRDefault="001551B7" w:rsidP="00BF5137">
      <w:pPr>
        <w:pStyle w:val="Title"/>
        <w:spacing w:line="360" w:lineRule="auto"/>
      </w:pPr>
      <w:r>
        <w:t xml:space="preserve">Understanding the </w:t>
      </w:r>
      <w:r w:rsidR="00B13B4E">
        <w:t>P</w:t>
      </w:r>
      <w:r w:rsidR="004B14AB">
        <w:t>erformance of</w:t>
      </w:r>
      <w:r>
        <w:t xml:space="preserve"> Biodiversity Offset Markets: Evidence from An Integrated Ecological – Economic Model </w:t>
      </w:r>
    </w:p>
    <w:p w14:paraId="4D708F09" w14:textId="77777777" w:rsidR="007D2383" w:rsidRDefault="007D2383" w:rsidP="007D2383">
      <w:pPr>
        <w:pStyle w:val="Title"/>
        <w:spacing w:line="360" w:lineRule="auto"/>
        <w:ind w:firstLine="0"/>
        <w:jc w:val="both"/>
      </w:pPr>
    </w:p>
    <w:p w14:paraId="61F81B44" w14:textId="77777777" w:rsidR="00A20F4F" w:rsidRPr="000346DE" w:rsidRDefault="007D2383" w:rsidP="000346DE">
      <w:pPr>
        <w:pStyle w:val="Title"/>
        <w:spacing w:before="0" w:line="480" w:lineRule="auto"/>
        <w:ind w:firstLine="0"/>
        <w:contextualSpacing/>
        <w:jc w:val="both"/>
        <w:rPr>
          <w:b w:val="0"/>
          <w:bCs w:val="0"/>
          <w:sz w:val="24"/>
          <w:szCs w:val="24"/>
        </w:rPr>
      </w:pPr>
      <w:proofErr w:type="gramStart"/>
      <w:r w:rsidRPr="000346DE">
        <w:rPr>
          <w:b w:val="0"/>
          <w:bCs w:val="0"/>
          <w:sz w:val="24"/>
          <w:szCs w:val="24"/>
        </w:rPr>
        <w:t>Dr</w:t>
      </w:r>
      <w:r w:rsidR="00E2250C" w:rsidRPr="000346DE">
        <w:rPr>
          <w:b w:val="0"/>
          <w:bCs w:val="0"/>
          <w:sz w:val="24"/>
          <w:szCs w:val="24"/>
        </w:rPr>
        <w:t xml:space="preserve"> </w:t>
      </w:r>
      <w:r w:rsidRPr="000346DE">
        <w:rPr>
          <w:b w:val="0"/>
          <w:bCs w:val="0"/>
          <w:sz w:val="24"/>
          <w:szCs w:val="24"/>
        </w:rPr>
        <w:t xml:space="preserve"> Katherine</w:t>
      </w:r>
      <w:proofErr w:type="gramEnd"/>
      <w:r w:rsidRPr="000346DE">
        <w:rPr>
          <w:b w:val="0"/>
          <w:bCs w:val="0"/>
          <w:sz w:val="24"/>
          <w:szCs w:val="24"/>
        </w:rPr>
        <w:t xml:space="preserve"> </w:t>
      </w:r>
      <w:r w:rsidR="00A20F4F" w:rsidRPr="000346DE">
        <w:rPr>
          <w:b w:val="0"/>
          <w:bCs w:val="0"/>
          <w:sz w:val="24"/>
          <w:szCs w:val="24"/>
        </w:rPr>
        <w:t xml:space="preserve">Hannah Simpson </w:t>
      </w:r>
    </w:p>
    <w:p w14:paraId="1FA32EEE" w14:textId="77777777" w:rsidR="00A20F4F" w:rsidRPr="000346DE" w:rsidRDefault="00A20F4F" w:rsidP="000346DE">
      <w:pPr>
        <w:pStyle w:val="Title"/>
        <w:spacing w:before="0" w:line="480" w:lineRule="auto"/>
        <w:ind w:firstLine="0"/>
        <w:contextualSpacing/>
        <w:jc w:val="both"/>
        <w:rPr>
          <w:b w:val="0"/>
          <w:bCs w:val="0"/>
          <w:sz w:val="24"/>
          <w:szCs w:val="24"/>
        </w:rPr>
      </w:pPr>
      <w:r w:rsidRPr="000346DE">
        <w:rPr>
          <w:b w:val="0"/>
          <w:bCs w:val="0"/>
          <w:sz w:val="24"/>
          <w:szCs w:val="24"/>
        </w:rPr>
        <w:t xml:space="preserve">Affiliation: </w:t>
      </w:r>
      <w:r w:rsidR="007D2383" w:rsidRPr="000346DE">
        <w:rPr>
          <w:b w:val="0"/>
          <w:bCs w:val="0"/>
          <w:sz w:val="24"/>
          <w:szCs w:val="24"/>
        </w:rPr>
        <w:t>Institute of Biodiversity, Animal Health &amp; Comparative Medicine, University of Glasgow, Glasgow, UK</w:t>
      </w:r>
    </w:p>
    <w:p w14:paraId="2D00CEA1" w14:textId="3E9EBA49" w:rsidR="00A20F4F" w:rsidRPr="000346DE" w:rsidRDefault="00A20F4F" w:rsidP="000346DE">
      <w:pPr>
        <w:pStyle w:val="Title"/>
        <w:spacing w:before="0" w:line="480" w:lineRule="auto"/>
        <w:ind w:firstLine="0"/>
        <w:contextualSpacing/>
        <w:jc w:val="both"/>
        <w:rPr>
          <w:b w:val="0"/>
          <w:bCs w:val="0"/>
          <w:sz w:val="24"/>
          <w:szCs w:val="24"/>
        </w:rPr>
      </w:pPr>
      <w:r w:rsidRPr="000346DE">
        <w:rPr>
          <w:b w:val="0"/>
          <w:bCs w:val="0"/>
          <w:sz w:val="24"/>
          <w:szCs w:val="24"/>
        </w:rPr>
        <w:t xml:space="preserve">Mailing Address: Graham Kerr Building </w:t>
      </w:r>
      <w:r w:rsidRPr="000346DE">
        <w:rPr>
          <w:b w:val="0"/>
          <w:bCs w:val="0"/>
          <w:sz w:val="24"/>
          <w:szCs w:val="24"/>
        </w:rPr>
        <w:t>University of Glasgow, 82 Hillhead Street, Glasgow, G12 8QQ</w:t>
      </w:r>
    </w:p>
    <w:p w14:paraId="2520125B" w14:textId="61664F65" w:rsidR="00A20F4F" w:rsidRPr="000346DE" w:rsidRDefault="00A20F4F" w:rsidP="000346DE">
      <w:pPr>
        <w:pStyle w:val="Title"/>
        <w:spacing w:before="0" w:line="480" w:lineRule="auto"/>
        <w:ind w:firstLine="0"/>
        <w:contextualSpacing/>
        <w:jc w:val="both"/>
        <w:rPr>
          <w:b w:val="0"/>
          <w:bCs w:val="0"/>
          <w:sz w:val="24"/>
          <w:szCs w:val="24"/>
        </w:rPr>
      </w:pPr>
      <w:hyperlink r:id="rId8" w:history="1">
        <w:r w:rsidRPr="000346DE">
          <w:rPr>
            <w:rStyle w:val="Hyperlink"/>
            <w:b w:val="0"/>
            <w:bCs w:val="0"/>
            <w:sz w:val="24"/>
            <w:szCs w:val="24"/>
          </w:rPr>
          <w:t>Katherine.simpson@glasgow.ac.uk</w:t>
        </w:r>
      </w:hyperlink>
      <w:r w:rsidRPr="000346DE">
        <w:rPr>
          <w:b w:val="0"/>
          <w:bCs w:val="0"/>
          <w:sz w:val="24"/>
          <w:szCs w:val="24"/>
        </w:rPr>
        <w:t xml:space="preserve"> </w:t>
      </w:r>
    </w:p>
    <w:p w14:paraId="00D3D598" w14:textId="77777777" w:rsidR="000346DE" w:rsidRDefault="000346DE" w:rsidP="000346DE">
      <w:pPr>
        <w:spacing w:before="0" w:after="0" w:line="480" w:lineRule="auto"/>
        <w:ind w:firstLine="0"/>
        <w:contextualSpacing/>
        <w:rPr>
          <w:sz w:val="24"/>
          <w:szCs w:val="24"/>
          <w:lang w:val="fr-FR"/>
        </w:rPr>
      </w:pPr>
    </w:p>
    <w:p w14:paraId="4A150D5F" w14:textId="08F7DF81" w:rsidR="007D2383" w:rsidRDefault="007D2383" w:rsidP="000346DE">
      <w:pPr>
        <w:spacing w:before="0" w:after="0" w:line="480" w:lineRule="auto"/>
        <w:ind w:firstLine="0"/>
        <w:contextualSpacing/>
        <w:rPr>
          <w:sz w:val="24"/>
          <w:szCs w:val="24"/>
          <w:lang w:val="fr-FR"/>
        </w:rPr>
      </w:pPr>
      <w:r w:rsidRPr="000346DE">
        <w:rPr>
          <w:sz w:val="24"/>
          <w:szCs w:val="24"/>
          <w:lang w:val="fr-FR"/>
        </w:rPr>
        <w:t xml:space="preserve">Professor Frans de Vries </w:t>
      </w:r>
    </w:p>
    <w:p w14:paraId="28461A8D" w14:textId="2792871A" w:rsidR="002A3575" w:rsidRPr="002A3575" w:rsidRDefault="002A3575" w:rsidP="000346DE">
      <w:pPr>
        <w:spacing w:before="0" w:after="0" w:line="480" w:lineRule="auto"/>
        <w:ind w:firstLine="0"/>
        <w:contextualSpacing/>
        <w:rPr>
          <w:sz w:val="24"/>
          <w:szCs w:val="24"/>
        </w:rPr>
      </w:pPr>
      <w:r w:rsidRPr="002A3575">
        <w:rPr>
          <w:sz w:val="24"/>
          <w:szCs w:val="24"/>
        </w:rPr>
        <w:t>Affiliation:  Department of Economics, University of Aberdeen Business School</w:t>
      </w:r>
    </w:p>
    <w:p w14:paraId="3C0C0A80" w14:textId="3F024C88" w:rsidR="00A20F4F" w:rsidRDefault="002A3575" w:rsidP="002A3575">
      <w:pPr>
        <w:spacing w:before="0" w:after="0" w:line="480" w:lineRule="auto"/>
        <w:ind w:firstLine="0"/>
        <w:contextualSpacing/>
        <w:rPr>
          <w:sz w:val="24"/>
          <w:szCs w:val="24"/>
        </w:rPr>
      </w:pPr>
      <w:r w:rsidRPr="002A3575">
        <w:rPr>
          <w:sz w:val="24"/>
          <w:szCs w:val="24"/>
        </w:rPr>
        <w:t>Mailing address: Department of Economics</w:t>
      </w:r>
      <w:r>
        <w:rPr>
          <w:sz w:val="24"/>
          <w:szCs w:val="24"/>
        </w:rPr>
        <w:t xml:space="preserve">, </w:t>
      </w:r>
      <w:r w:rsidRPr="002A3575">
        <w:rPr>
          <w:sz w:val="24"/>
          <w:szCs w:val="24"/>
        </w:rPr>
        <w:t xml:space="preserve">University of Aberdeen Business </w:t>
      </w:r>
      <w:proofErr w:type="gramStart"/>
      <w:r w:rsidRPr="002A3575">
        <w:rPr>
          <w:sz w:val="24"/>
          <w:szCs w:val="24"/>
        </w:rPr>
        <w:t>School</w:t>
      </w:r>
      <w:r>
        <w:rPr>
          <w:sz w:val="24"/>
          <w:szCs w:val="24"/>
        </w:rPr>
        <w:t xml:space="preserve">,  </w:t>
      </w:r>
      <w:r w:rsidRPr="002A3575">
        <w:rPr>
          <w:sz w:val="24"/>
          <w:szCs w:val="24"/>
        </w:rPr>
        <w:t>Aberdeen</w:t>
      </w:r>
      <w:proofErr w:type="gramEnd"/>
      <w:r w:rsidRPr="002A3575">
        <w:rPr>
          <w:sz w:val="24"/>
          <w:szCs w:val="24"/>
        </w:rPr>
        <w:t xml:space="preserve"> AB24 3QY, Scotland, UK</w:t>
      </w:r>
    </w:p>
    <w:p w14:paraId="44A913FD" w14:textId="71B431BA" w:rsidR="002A3575" w:rsidRDefault="002A3575" w:rsidP="002A3575">
      <w:pPr>
        <w:spacing w:before="0" w:after="0" w:line="480" w:lineRule="auto"/>
        <w:ind w:firstLine="0"/>
        <w:contextualSpacing/>
        <w:rPr>
          <w:sz w:val="24"/>
          <w:szCs w:val="24"/>
          <w:lang w:val="it-IT"/>
        </w:rPr>
      </w:pPr>
      <w:r w:rsidRPr="002A3575">
        <w:rPr>
          <w:sz w:val="24"/>
          <w:szCs w:val="24"/>
          <w:lang w:val="it-IT"/>
        </w:rPr>
        <w:t xml:space="preserve">E-mail: </w:t>
      </w:r>
      <w:r>
        <w:rPr>
          <w:sz w:val="24"/>
          <w:szCs w:val="24"/>
          <w:lang w:val="it-IT"/>
        </w:rPr>
        <w:fldChar w:fldCharType="begin"/>
      </w:r>
      <w:r>
        <w:rPr>
          <w:sz w:val="24"/>
          <w:szCs w:val="24"/>
          <w:lang w:val="it-IT"/>
        </w:rPr>
        <w:instrText xml:space="preserve"> HYPERLINK "mailto:</w:instrText>
      </w:r>
      <w:r w:rsidRPr="002A3575">
        <w:rPr>
          <w:sz w:val="24"/>
          <w:szCs w:val="24"/>
          <w:lang w:val="it-IT"/>
        </w:rPr>
        <w:instrText>frans.devries@abdn.ac.uk</w:instrText>
      </w:r>
      <w:r>
        <w:rPr>
          <w:sz w:val="24"/>
          <w:szCs w:val="24"/>
          <w:lang w:val="it-IT"/>
        </w:rPr>
        <w:instrText xml:space="preserve">" </w:instrText>
      </w:r>
      <w:r>
        <w:rPr>
          <w:sz w:val="24"/>
          <w:szCs w:val="24"/>
          <w:lang w:val="it-IT"/>
        </w:rPr>
        <w:fldChar w:fldCharType="separate"/>
      </w:r>
      <w:r w:rsidRPr="00251400">
        <w:rPr>
          <w:rStyle w:val="Hyperlink"/>
          <w:sz w:val="24"/>
          <w:szCs w:val="24"/>
          <w:lang w:val="it-IT"/>
        </w:rPr>
        <w:t>frans.devries@abdn.ac.uk</w:t>
      </w:r>
      <w:r>
        <w:rPr>
          <w:sz w:val="24"/>
          <w:szCs w:val="24"/>
          <w:lang w:val="it-IT"/>
        </w:rPr>
        <w:fldChar w:fldCharType="end"/>
      </w:r>
    </w:p>
    <w:p w14:paraId="6E8CD6D5" w14:textId="77777777" w:rsidR="002A3575" w:rsidRPr="002A3575" w:rsidRDefault="002A3575" w:rsidP="002A3575">
      <w:pPr>
        <w:spacing w:before="0" w:after="0" w:line="480" w:lineRule="auto"/>
        <w:ind w:firstLine="0"/>
        <w:contextualSpacing/>
        <w:rPr>
          <w:sz w:val="24"/>
          <w:szCs w:val="24"/>
          <w:lang w:val="it-IT"/>
        </w:rPr>
      </w:pPr>
    </w:p>
    <w:p w14:paraId="3BD18A15" w14:textId="7175B5BF" w:rsidR="00A20F4F" w:rsidRPr="002A3575" w:rsidRDefault="007D2383" w:rsidP="000346DE">
      <w:pPr>
        <w:spacing w:before="0" w:after="0" w:line="480" w:lineRule="auto"/>
        <w:ind w:firstLine="0"/>
        <w:contextualSpacing/>
        <w:rPr>
          <w:sz w:val="24"/>
          <w:szCs w:val="24"/>
          <w:lang w:val="it-IT"/>
        </w:rPr>
      </w:pPr>
      <w:r w:rsidRPr="002A3575">
        <w:rPr>
          <w:sz w:val="24"/>
          <w:szCs w:val="24"/>
          <w:lang w:val="it-IT"/>
        </w:rPr>
        <w:t>Dr Martin Dallimer</w:t>
      </w:r>
    </w:p>
    <w:p w14:paraId="73E7481B" w14:textId="1852B5EE" w:rsidR="007D2383" w:rsidRPr="000346DE" w:rsidRDefault="00A834FA" w:rsidP="000346DE">
      <w:pPr>
        <w:spacing w:before="0" w:after="0" w:line="480" w:lineRule="auto"/>
        <w:ind w:firstLine="0"/>
        <w:contextualSpacing/>
        <w:rPr>
          <w:sz w:val="24"/>
          <w:szCs w:val="24"/>
        </w:rPr>
      </w:pPr>
      <w:r w:rsidRPr="000346DE">
        <w:rPr>
          <w:sz w:val="24"/>
          <w:szCs w:val="24"/>
        </w:rPr>
        <w:t xml:space="preserve">Sustainability Research Institute, </w:t>
      </w:r>
      <w:r w:rsidR="007D2383" w:rsidRPr="000346DE">
        <w:rPr>
          <w:sz w:val="24"/>
          <w:szCs w:val="24"/>
        </w:rPr>
        <w:t>School of Earth and Environment, University of Leeds, Leeds, UK</w:t>
      </w:r>
    </w:p>
    <w:p w14:paraId="1019A81E" w14:textId="77777777" w:rsidR="00A20F4F" w:rsidRPr="000346DE" w:rsidRDefault="00A20F4F" w:rsidP="000346DE">
      <w:pPr>
        <w:spacing w:before="0" w:after="0" w:line="480" w:lineRule="auto"/>
        <w:ind w:firstLine="0"/>
        <w:contextualSpacing/>
        <w:rPr>
          <w:sz w:val="24"/>
          <w:szCs w:val="24"/>
        </w:rPr>
      </w:pPr>
      <w:r w:rsidRPr="000346DE">
        <w:rPr>
          <w:sz w:val="24"/>
          <w:szCs w:val="24"/>
        </w:rPr>
        <w:t xml:space="preserve">Mailing address: </w:t>
      </w:r>
      <w:r w:rsidRPr="000346DE">
        <w:rPr>
          <w:sz w:val="24"/>
          <w:szCs w:val="24"/>
        </w:rPr>
        <w:t>School of Earth and Environment</w:t>
      </w:r>
      <w:r w:rsidRPr="000346DE">
        <w:rPr>
          <w:sz w:val="24"/>
          <w:szCs w:val="24"/>
        </w:rPr>
        <w:t xml:space="preserve">, </w:t>
      </w:r>
      <w:r w:rsidRPr="000346DE">
        <w:rPr>
          <w:sz w:val="24"/>
          <w:szCs w:val="24"/>
        </w:rPr>
        <w:t>University of Leeds</w:t>
      </w:r>
      <w:r w:rsidRPr="000346DE">
        <w:rPr>
          <w:sz w:val="24"/>
          <w:szCs w:val="24"/>
        </w:rPr>
        <w:t xml:space="preserve">, </w:t>
      </w:r>
      <w:r w:rsidRPr="000346DE">
        <w:rPr>
          <w:sz w:val="24"/>
          <w:szCs w:val="24"/>
        </w:rPr>
        <w:t>Woodhouse Lane</w:t>
      </w:r>
      <w:r w:rsidRPr="000346DE">
        <w:rPr>
          <w:sz w:val="24"/>
          <w:szCs w:val="24"/>
        </w:rPr>
        <w:t xml:space="preserve">, </w:t>
      </w:r>
      <w:r w:rsidRPr="000346DE">
        <w:rPr>
          <w:sz w:val="24"/>
          <w:szCs w:val="24"/>
        </w:rPr>
        <w:t>Leeds</w:t>
      </w:r>
      <w:r w:rsidRPr="000346DE">
        <w:rPr>
          <w:sz w:val="24"/>
          <w:szCs w:val="24"/>
        </w:rPr>
        <w:t xml:space="preserve">, </w:t>
      </w:r>
      <w:r w:rsidRPr="000346DE">
        <w:rPr>
          <w:sz w:val="24"/>
          <w:szCs w:val="24"/>
        </w:rPr>
        <w:t>LS2 9JT</w:t>
      </w:r>
    </w:p>
    <w:p w14:paraId="7D2DDE8F" w14:textId="178979FD" w:rsidR="00A20F4F" w:rsidRPr="000346DE" w:rsidRDefault="00A20F4F" w:rsidP="000346DE">
      <w:pPr>
        <w:spacing w:before="0" w:after="0" w:line="480" w:lineRule="auto"/>
        <w:ind w:firstLine="0"/>
        <w:contextualSpacing/>
        <w:rPr>
          <w:sz w:val="24"/>
          <w:szCs w:val="24"/>
        </w:rPr>
      </w:pPr>
      <w:hyperlink r:id="rId9" w:history="1">
        <w:r w:rsidRPr="000346DE">
          <w:rPr>
            <w:rStyle w:val="Hyperlink"/>
            <w:sz w:val="24"/>
            <w:szCs w:val="24"/>
          </w:rPr>
          <w:t>M.Dallimer@leeds.ac.uk</w:t>
        </w:r>
      </w:hyperlink>
    </w:p>
    <w:p w14:paraId="1FF35B1C" w14:textId="77777777" w:rsidR="000346DE" w:rsidRDefault="000346DE" w:rsidP="000346DE">
      <w:pPr>
        <w:spacing w:before="0" w:after="0" w:line="480" w:lineRule="auto"/>
        <w:ind w:firstLine="0"/>
        <w:contextualSpacing/>
        <w:rPr>
          <w:sz w:val="24"/>
          <w:szCs w:val="24"/>
        </w:rPr>
      </w:pPr>
    </w:p>
    <w:p w14:paraId="3C0C61C7" w14:textId="660D1BE0" w:rsidR="007D2383" w:rsidRPr="000346DE" w:rsidRDefault="007D2383" w:rsidP="000346DE">
      <w:pPr>
        <w:spacing w:before="0" w:after="0" w:line="480" w:lineRule="auto"/>
        <w:ind w:firstLine="0"/>
        <w:contextualSpacing/>
        <w:rPr>
          <w:sz w:val="24"/>
          <w:szCs w:val="24"/>
        </w:rPr>
      </w:pPr>
      <w:r w:rsidRPr="000346DE">
        <w:rPr>
          <w:sz w:val="24"/>
          <w:szCs w:val="24"/>
        </w:rPr>
        <w:t>Professor Paul R. Armsworth</w:t>
      </w:r>
    </w:p>
    <w:p w14:paraId="51BE72D1" w14:textId="56323EF8" w:rsidR="007D2383" w:rsidRPr="000346DE" w:rsidRDefault="007D2383" w:rsidP="000346DE">
      <w:pPr>
        <w:spacing w:before="0" w:after="0" w:line="480" w:lineRule="auto"/>
        <w:ind w:firstLine="0"/>
        <w:contextualSpacing/>
        <w:rPr>
          <w:sz w:val="24"/>
          <w:szCs w:val="24"/>
        </w:rPr>
      </w:pPr>
      <w:r w:rsidRPr="000346DE">
        <w:rPr>
          <w:sz w:val="24"/>
          <w:szCs w:val="24"/>
        </w:rPr>
        <w:lastRenderedPageBreak/>
        <w:t>Department of Ecology and Evolutionary Biology, University of Tennessee, Knoxville, Tennessee</w:t>
      </w:r>
    </w:p>
    <w:p w14:paraId="22B73743" w14:textId="2713F324" w:rsidR="00A20F4F" w:rsidRPr="000346DE" w:rsidRDefault="00A20F4F" w:rsidP="000346DE">
      <w:pPr>
        <w:pStyle w:val="font8"/>
        <w:snapToGrid w:val="0"/>
        <w:spacing w:before="0" w:beforeAutospacing="0" w:after="0" w:afterAutospacing="0" w:line="480" w:lineRule="auto"/>
        <w:contextualSpacing/>
        <w:textAlignment w:val="baseline"/>
        <w:rPr>
          <w:rStyle w:val="color11"/>
          <w:bdr w:val="none" w:sz="0" w:space="0" w:color="auto" w:frame="1"/>
        </w:rPr>
      </w:pPr>
      <w:r w:rsidRPr="000346DE">
        <w:rPr>
          <w:rStyle w:val="color11"/>
          <w:bdr w:val="none" w:sz="0" w:space="0" w:color="auto" w:frame="1"/>
        </w:rPr>
        <w:t>Mailing Address:</w:t>
      </w:r>
      <w:r w:rsidRPr="000346DE">
        <w:t xml:space="preserve"> </w:t>
      </w:r>
      <w:r w:rsidRPr="000346DE">
        <w:rPr>
          <w:rStyle w:val="color11"/>
          <w:bdr w:val="none" w:sz="0" w:space="0" w:color="auto" w:frame="1"/>
        </w:rPr>
        <w:t>569 Dabney Hall</w:t>
      </w:r>
      <w:r w:rsidRPr="000346DE">
        <w:rPr>
          <w:rStyle w:val="color11"/>
          <w:bdr w:val="none" w:sz="0" w:space="0" w:color="auto" w:frame="1"/>
        </w:rPr>
        <w:t xml:space="preserve">, </w:t>
      </w:r>
      <w:r w:rsidRPr="000346DE">
        <w:rPr>
          <w:rStyle w:val="color11"/>
          <w:bdr w:val="none" w:sz="0" w:space="0" w:color="auto" w:frame="1"/>
        </w:rPr>
        <w:t>1416 Circle Drive</w:t>
      </w:r>
      <w:r w:rsidRPr="000346DE">
        <w:rPr>
          <w:rStyle w:val="color11"/>
          <w:bdr w:val="none" w:sz="0" w:space="0" w:color="auto" w:frame="1"/>
        </w:rPr>
        <w:t xml:space="preserve">, </w:t>
      </w:r>
      <w:r w:rsidRPr="000346DE">
        <w:rPr>
          <w:rStyle w:val="color11"/>
          <w:bdr w:val="none" w:sz="0" w:space="0" w:color="auto" w:frame="1"/>
        </w:rPr>
        <w:t>Knoxville, TN 37996-1610</w:t>
      </w:r>
    </w:p>
    <w:p w14:paraId="4363804D" w14:textId="364EF74F" w:rsidR="00A20F4F" w:rsidRPr="000346DE" w:rsidRDefault="00A20F4F" w:rsidP="000346DE">
      <w:pPr>
        <w:pStyle w:val="font8"/>
        <w:snapToGrid w:val="0"/>
        <w:spacing w:before="0" w:beforeAutospacing="0" w:after="0" w:afterAutospacing="0" w:line="480" w:lineRule="auto"/>
        <w:contextualSpacing/>
        <w:textAlignment w:val="baseline"/>
      </w:pPr>
      <w:hyperlink r:id="rId10" w:history="1">
        <w:r w:rsidRPr="000346DE">
          <w:rPr>
            <w:rStyle w:val="Hyperlink"/>
          </w:rPr>
          <w:t>p.armsworth@utk.edu</w:t>
        </w:r>
      </w:hyperlink>
      <w:r w:rsidRPr="000346DE">
        <w:t xml:space="preserve"> </w:t>
      </w:r>
    </w:p>
    <w:p w14:paraId="60A681B0" w14:textId="77777777" w:rsidR="00A20F4F" w:rsidRPr="000346DE" w:rsidRDefault="00A20F4F" w:rsidP="000346DE">
      <w:pPr>
        <w:spacing w:before="0" w:after="0" w:line="480" w:lineRule="auto"/>
        <w:ind w:firstLine="0"/>
        <w:contextualSpacing/>
        <w:rPr>
          <w:sz w:val="24"/>
          <w:szCs w:val="24"/>
        </w:rPr>
      </w:pPr>
    </w:p>
    <w:p w14:paraId="1369BA98" w14:textId="321410EE" w:rsidR="007D2383" w:rsidRPr="000346DE" w:rsidRDefault="007D2383" w:rsidP="000346DE">
      <w:pPr>
        <w:spacing w:before="0" w:after="0" w:line="480" w:lineRule="auto"/>
        <w:ind w:firstLine="0"/>
        <w:contextualSpacing/>
        <w:rPr>
          <w:sz w:val="24"/>
          <w:szCs w:val="24"/>
        </w:rPr>
      </w:pPr>
      <w:r w:rsidRPr="000346DE">
        <w:rPr>
          <w:sz w:val="24"/>
          <w:szCs w:val="24"/>
        </w:rPr>
        <w:t>Professor Nick Hanley</w:t>
      </w:r>
    </w:p>
    <w:p w14:paraId="05E1031E" w14:textId="16375221" w:rsidR="007D2383" w:rsidRPr="000346DE" w:rsidRDefault="007D2383" w:rsidP="000346DE">
      <w:pPr>
        <w:spacing w:before="0" w:after="0" w:line="480" w:lineRule="auto"/>
        <w:ind w:firstLine="0"/>
        <w:contextualSpacing/>
        <w:rPr>
          <w:sz w:val="24"/>
          <w:szCs w:val="24"/>
        </w:rPr>
      </w:pPr>
      <w:r w:rsidRPr="000346DE">
        <w:rPr>
          <w:sz w:val="24"/>
          <w:szCs w:val="24"/>
        </w:rPr>
        <w:t>Institute of Biodiversity, Animal Health &amp; Comparative Medicine, University of Glasgow, Glasgow, UK</w:t>
      </w:r>
    </w:p>
    <w:p w14:paraId="635675D5" w14:textId="6EA60BFA" w:rsidR="00A20F4F" w:rsidRPr="000346DE" w:rsidRDefault="00A20F4F" w:rsidP="000346DE">
      <w:pPr>
        <w:spacing w:before="0" w:after="0" w:line="480" w:lineRule="auto"/>
        <w:ind w:firstLine="0"/>
        <w:contextualSpacing/>
        <w:rPr>
          <w:sz w:val="24"/>
          <w:szCs w:val="24"/>
        </w:rPr>
      </w:pPr>
      <w:hyperlink r:id="rId11" w:history="1">
        <w:r w:rsidRPr="000346DE">
          <w:rPr>
            <w:rStyle w:val="Hyperlink"/>
            <w:sz w:val="24"/>
            <w:szCs w:val="24"/>
          </w:rPr>
          <w:t>nicholas.hanley@glasgow.ac.uk</w:t>
        </w:r>
      </w:hyperlink>
      <w:r w:rsidRPr="000346DE">
        <w:rPr>
          <w:sz w:val="24"/>
          <w:szCs w:val="24"/>
        </w:rPr>
        <w:t xml:space="preserve"> </w:t>
      </w:r>
    </w:p>
    <w:p w14:paraId="60406FE2" w14:textId="77777777" w:rsidR="007D2383" w:rsidRPr="007D2383" w:rsidRDefault="007D2383" w:rsidP="00A20F4F">
      <w:pPr>
        <w:spacing w:before="0" w:line="480" w:lineRule="auto"/>
        <w:ind w:firstLine="0"/>
        <w:rPr>
          <w:sz w:val="24"/>
          <w:szCs w:val="24"/>
        </w:rPr>
      </w:pPr>
    </w:p>
    <w:p w14:paraId="35B9EE88" w14:textId="77777777" w:rsidR="007D2383" w:rsidRPr="007D2383" w:rsidRDefault="007D2383" w:rsidP="007D2383">
      <w:pPr>
        <w:spacing w:line="480" w:lineRule="auto"/>
        <w:ind w:firstLine="0"/>
        <w:rPr>
          <w:sz w:val="24"/>
          <w:szCs w:val="24"/>
        </w:rPr>
      </w:pPr>
    </w:p>
    <w:p w14:paraId="06B71701" w14:textId="77777777" w:rsidR="000346DE" w:rsidRDefault="000346DE">
      <w:pPr>
        <w:snapToGrid/>
        <w:spacing w:before="0" w:after="160" w:line="259" w:lineRule="auto"/>
        <w:ind w:firstLine="0"/>
        <w:jc w:val="left"/>
        <w:rPr>
          <w:rFonts w:eastAsiaTheme="majorEastAsia"/>
          <w:b/>
          <w:bCs/>
          <w:spacing w:val="-10"/>
          <w:kern w:val="28"/>
          <w:sz w:val="24"/>
          <w:szCs w:val="24"/>
        </w:rPr>
      </w:pPr>
      <w:r>
        <w:rPr>
          <w:sz w:val="24"/>
          <w:szCs w:val="24"/>
        </w:rPr>
        <w:br w:type="page"/>
      </w:r>
    </w:p>
    <w:p w14:paraId="3C1D891C" w14:textId="6F4A0BE4" w:rsidR="00712941" w:rsidRPr="003D75FB" w:rsidRDefault="00712941" w:rsidP="003D75FB">
      <w:pPr>
        <w:pStyle w:val="Title"/>
        <w:spacing w:line="480" w:lineRule="auto"/>
        <w:ind w:firstLine="0"/>
        <w:jc w:val="left"/>
        <w:rPr>
          <w:sz w:val="24"/>
          <w:szCs w:val="24"/>
        </w:rPr>
      </w:pPr>
      <w:r w:rsidRPr="003D75FB">
        <w:rPr>
          <w:sz w:val="24"/>
          <w:szCs w:val="24"/>
        </w:rPr>
        <w:lastRenderedPageBreak/>
        <w:t xml:space="preserve">Abstract </w:t>
      </w:r>
    </w:p>
    <w:p w14:paraId="69F74BA0" w14:textId="1B1DDD09" w:rsidR="00CB51FD" w:rsidRPr="003D75FB" w:rsidRDefault="001F0471" w:rsidP="003D75FB">
      <w:pPr>
        <w:spacing w:line="480" w:lineRule="auto"/>
        <w:ind w:firstLine="0"/>
        <w:rPr>
          <w:sz w:val="24"/>
          <w:szCs w:val="24"/>
        </w:rPr>
      </w:pPr>
      <w:r w:rsidRPr="003D75FB">
        <w:rPr>
          <w:sz w:val="24"/>
          <w:szCs w:val="24"/>
        </w:rPr>
        <w:t xml:space="preserve">Biodiversity offset markets can incentivize </w:t>
      </w:r>
      <w:r w:rsidR="00F54285">
        <w:rPr>
          <w:sz w:val="24"/>
          <w:szCs w:val="24"/>
        </w:rPr>
        <w:t xml:space="preserve">private </w:t>
      </w:r>
      <w:r w:rsidRPr="003D75FB">
        <w:rPr>
          <w:sz w:val="24"/>
          <w:szCs w:val="24"/>
        </w:rPr>
        <w:t xml:space="preserve">landowners to take actions that benefit biodiversity. A </w:t>
      </w:r>
      <w:r w:rsidR="001E7C9E" w:rsidRPr="003D75FB">
        <w:rPr>
          <w:sz w:val="24"/>
          <w:szCs w:val="24"/>
        </w:rPr>
        <w:t>spatially explicit</w:t>
      </w:r>
      <w:r w:rsidRPr="003D75FB">
        <w:rPr>
          <w:sz w:val="24"/>
          <w:szCs w:val="24"/>
        </w:rPr>
        <w:t xml:space="preserve"> integrated ecological-economic model is developed and employed for a</w:t>
      </w:r>
      <w:r w:rsidR="00A16138">
        <w:rPr>
          <w:sz w:val="24"/>
          <w:szCs w:val="24"/>
        </w:rPr>
        <w:t xml:space="preserve"> </w:t>
      </w:r>
      <w:r w:rsidR="006336B9">
        <w:rPr>
          <w:sz w:val="24"/>
          <w:szCs w:val="24"/>
        </w:rPr>
        <w:t xml:space="preserve">UK </w:t>
      </w:r>
      <w:r w:rsidR="00A16138">
        <w:rPr>
          <w:sz w:val="24"/>
          <w:szCs w:val="24"/>
        </w:rPr>
        <w:t xml:space="preserve">region </w:t>
      </w:r>
      <w:r w:rsidRPr="003D75FB">
        <w:rPr>
          <w:sz w:val="24"/>
          <w:szCs w:val="24"/>
        </w:rPr>
        <w:t>where offset buyers (house developers) and sellers (farmers) interact through trading offset credits. We simulate how changes in the ecological metric and geographic scale affects the performance of the offset market. Results show that the choice of the metric has a significant effect on market liquidity and the spatial distribution of gains and losses in the “target” species. The results also consistently reveal relatively higher potential welfare gains for developers than for farmers.</w:t>
      </w:r>
    </w:p>
    <w:p w14:paraId="57C726E1" w14:textId="3D30233C" w:rsidR="00BE0736" w:rsidRPr="003D75FB" w:rsidRDefault="00FA50FE" w:rsidP="003D75FB">
      <w:pPr>
        <w:pStyle w:val="Heading1"/>
        <w:spacing w:line="480" w:lineRule="auto"/>
      </w:pPr>
      <w:r w:rsidRPr="00134429">
        <w:br w:type="page"/>
      </w:r>
      <w:r w:rsidR="00175CE1" w:rsidRPr="003D75FB">
        <w:lastRenderedPageBreak/>
        <w:t xml:space="preserve"> Introduction</w:t>
      </w:r>
    </w:p>
    <w:p w14:paraId="03843117" w14:textId="432F5F27" w:rsidR="00832BDC" w:rsidRDefault="001F0FE6">
      <w:pPr>
        <w:spacing w:line="480" w:lineRule="auto"/>
        <w:ind w:firstLine="0"/>
        <w:rPr>
          <w:sz w:val="24"/>
          <w:szCs w:val="24"/>
        </w:rPr>
      </w:pPr>
      <w:r w:rsidRPr="003D75FB">
        <w:rPr>
          <w:sz w:val="24"/>
          <w:szCs w:val="24"/>
        </w:rPr>
        <w:t>Biodiversity</w:t>
      </w:r>
      <w:r w:rsidR="00B74AE9" w:rsidRPr="003D75FB">
        <w:rPr>
          <w:sz w:val="24"/>
          <w:szCs w:val="24"/>
        </w:rPr>
        <w:t xml:space="preserve"> offsetting aims to reconcile the mounting pressure for urban development and agricultural expansion with the need to significantly reduce the impacts of these on biodiversity</w:t>
      </w:r>
      <w:r w:rsidR="007274A6" w:rsidRPr="003D75FB">
        <w:rPr>
          <w:sz w:val="24"/>
          <w:szCs w:val="24"/>
        </w:rPr>
        <w:t xml:space="preserve"> </w:t>
      </w:r>
      <w:r w:rsidR="00B74AE9" w:rsidRPr="003D75FB">
        <w:rPr>
          <w:sz w:val="24"/>
          <w:szCs w:val="24"/>
        </w:rPr>
        <w:fldChar w:fldCharType="begin" w:fldLock="1"/>
      </w:r>
      <w:r w:rsidR="00B74AE9" w:rsidRPr="003D75FB">
        <w:rPr>
          <w:sz w:val="24"/>
          <w:szCs w:val="24"/>
        </w:rPr>
        <w:instrText>ADDIN CSL_CITATION {"citationItems":[{"id":"ITEM-1","itemData":{"author":[{"dropping-particle":"","family":"Ten","given":"Kerry","non-dropping-particle":"","parse-names":false,"suffix":""},{"dropping-particle":"","family":"Treweek","given":"Kate Jo","non-dropping-particle":"","parse-names":false,"suffix":""},{"dropping-particle":"","family":"Ekstrom","given":"Jon","non-dropping-particle":"","parse-names":false,"suffix":""}],"id":"ITEM-1","issued":{"date-parts":[["2010"]]},"title":"THE USE OF MARKET-BASED INSTRUMENTS FOR BIODIVERSITY PROTECTION-THE CASE OF HABITAT BANKING European Commission DG Environment","type":"report"},"uris":["http://www.mendeley.com/documents/?uuid=2c744e6a-848d-33cd-9af3-43e04e425825"]}],"mendeley":{"formattedCitation":"(Ten, Treweek, and Ekstrom 2010)","plainTextFormattedCitation":"(Ten, Treweek, and Ekstrom 2010)","previouslyFormattedCitation":"(Ten, Treweek, and Ekstrom 2010)"},"properties":{"noteIndex":0},"schema":"https://github.com/citation-style-language/schema/raw/master/csl-citation.json"}</w:instrText>
      </w:r>
      <w:r w:rsidR="00B74AE9" w:rsidRPr="003D75FB">
        <w:rPr>
          <w:sz w:val="24"/>
          <w:szCs w:val="24"/>
        </w:rPr>
        <w:fldChar w:fldCharType="separate"/>
      </w:r>
      <w:r w:rsidR="00B74AE9" w:rsidRPr="003D75FB">
        <w:rPr>
          <w:noProof/>
          <w:sz w:val="24"/>
          <w:szCs w:val="24"/>
        </w:rPr>
        <w:t>(Ten, Treweek, and Ekstrom 2010)</w:t>
      </w:r>
      <w:r w:rsidR="00B74AE9" w:rsidRPr="003D75FB">
        <w:rPr>
          <w:sz w:val="24"/>
          <w:szCs w:val="24"/>
        </w:rPr>
        <w:fldChar w:fldCharType="end"/>
      </w:r>
      <w:r w:rsidR="00B74AE9" w:rsidRPr="003D75FB">
        <w:rPr>
          <w:sz w:val="24"/>
          <w:szCs w:val="24"/>
        </w:rPr>
        <w:t xml:space="preserve">. </w:t>
      </w:r>
      <w:r w:rsidR="007274A6" w:rsidRPr="003D75FB">
        <w:rPr>
          <w:sz w:val="24"/>
          <w:szCs w:val="24"/>
        </w:rPr>
        <w:t>B</w:t>
      </w:r>
      <w:r w:rsidR="00B74AE9" w:rsidRPr="003D75FB">
        <w:rPr>
          <w:sz w:val="24"/>
          <w:szCs w:val="24"/>
        </w:rPr>
        <w:t xml:space="preserve">iodiversity offsets provide measurable conservation gains to compensate for significant, residual impacts on biodiversity as a result of new development </w:t>
      </w:r>
      <w:r w:rsidRPr="003D75FB">
        <w:rPr>
          <w:sz w:val="24"/>
          <w:szCs w:val="24"/>
        </w:rPr>
        <w:t>activities</w:t>
      </w:r>
      <w:r w:rsidR="00B74AE9" w:rsidRPr="003D75FB">
        <w:rPr>
          <w:sz w:val="24"/>
          <w:szCs w:val="24"/>
        </w:rPr>
        <w:t xml:space="preserve"> (BBOP 2009). The term “offsetting” often encompasses a wide range of mechanisms including compensatory mitigation, in-kind compensation, mitigation banking, habitat banking, species banking, and wetland banking </w:t>
      </w:r>
      <w:r w:rsidR="00B74AE9" w:rsidRPr="003D75FB">
        <w:rPr>
          <w:sz w:val="24"/>
          <w:szCs w:val="24"/>
        </w:rPr>
        <w:fldChar w:fldCharType="begin" w:fldLock="1"/>
      </w:r>
      <w:r w:rsidR="00B74AE9" w:rsidRPr="003D75FB">
        <w:rPr>
          <w:sz w:val="24"/>
          <w:szCs w:val="24"/>
        </w:rPr>
        <w:instrText>ADDIN CSL_CITATION {"citationItems":[{"id":"ITEM-1","itemData":{"DOI":"10.1016/j.ecoser.2014.10.010","abstract":"Building on the analytical frameworks of policy arrangements and new institutional economics, this article introduces the special issue on biodiversity offsets as market-based instruments (MBIs) for ecosystem services, deconstructing discourses and exploring practices on the ground. The idea of compensating environmental damages from development emerged in the 1970s in the USA and Europe. From the beginning of the century, as the international community became increasingly interested in MBIs as allegedly efficient mechanisms for environmental management, MBIs have rapidly gained traction within the biodiversity compensation policy arena. Terms of compensatory mitigation, biodiversity offsets, mitigation banking, habitat banking, species banking, wetlands mitigation, etc., have therefore widely spread as policy tools around the globe. In this context, academics, practitioners and decision-makers have most often characterized those schemes theoretically as an MBI and frequently grouped them all under the umbrella term of 'biodiversity offsets'. Building on contributions from the special issue, this article contends that biodiversity offset programs are on the contrary mainly characterized as a variety of different heterogeneous policy and institutional arrangements with limited features of market governance. Furthermore, hybrid structures, through long-term bilateral agreements with specific assets and between parties whose identity is crucial, are the rule rather than the exception.","author":[{"dropping-particle":"","family":"Lapeyre","given":"Renaud","non-dropping-particle":"","parse-names":false,"suffix":""},{"dropping-particle":"","family":"Froger","given":"Géraldine","non-dropping-particle":"","parse-names":false,"suffix":""},{"dropping-particle":"","family":"Hrabanski","given":"Marie","non-dropping-particle":"","parse-names":false,"suffix":""}],"id":"ITEM-1","issued":{"date-parts":[["2015"]]},"title":"Biodiversity offsets as market-based instruments for ecosystem services? From discourses to practices","type":"article-journal"},"uris":["http://www.mendeley.com/documents/?uuid=45a0f33d-4e43-37b5-b7d6-28f844810f28"]}],"mendeley":{"formattedCitation":"(Lapeyre, Froger, and Hrabanski 2015)","plainTextFormattedCitation":"(Lapeyre, Froger, and Hrabanski 2015)","previouslyFormattedCitation":"(Lapeyre, Froger, and Hrabanski 2015)"},"properties":{"noteIndex":0},"schema":"https://github.com/citation-style-language/schema/raw/master/csl-citation.json"}</w:instrText>
      </w:r>
      <w:r w:rsidR="00B74AE9" w:rsidRPr="003D75FB">
        <w:rPr>
          <w:sz w:val="24"/>
          <w:szCs w:val="24"/>
        </w:rPr>
        <w:fldChar w:fldCharType="separate"/>
      </w:r>
      <w:r w:rsidR="00B74AE9" w:rsidRPr="003D75FB">
        <w:rPr>
          <w:noProof/>
          <w:sz w:val="24"/>
          <w:szCs w:val="24"/>
        </w:rPr>
        <w:t>(Lapeyre, Froger, and Hrabanski 2015)</w:t>
      </w:r>
      <w:r w:rsidR="00B74AE9" w:rsidRPr="003D75FB">
        <w:rPr>
          <w:sz w:val="24"/>
          <w:szCs w:val="24"/>
        </w:rPr>
        <w:fldChar w:fldCharType="end"/>
      </w:r>
      <w:r w:rsidR="00925F62" w:rsidRPr="003D75FB">
        <w:rPr>
          <w:sz w:val="24"/>
          <w:szCs w:val="24"/>
        </w:rPr>
        <w:t xml:space="preserve">. </w:t>
      </w:r>
      <w:r w:rsidR="00B74AE9" w:rsidRPr="003D75FB">
        <w:rPr>
          <w:sz w:val="24"/>
          <w:szCs w:val="24"/>
        </w:rPr>
        <w:fldChar w:fldCharType="begin"/>
      </w:r>
      <w:r w:rsidR="00B74AE9" w:rsidRPr="003D75FB">
        <w:rPr>
          <w:sz w:val="24"/>
          <w:szCs w:val="24"/>
        </w:rPr>
        <w:instrText>ADDIN RW.CITE{{2558 Lapeyre,Renaud 2015}}</w:instrText>
      </w:r>
      <w:r w:rsidR="00B74AE9" w:rsidRPr="003D75FB">
        <w:rPr>
          <w:sz w:val="24"/>
          <w:szCs w:val="24"/>
        </w:rPr>
        <w:fldChar w:fldCharType="end"/>
      </w:r>
      <w:r w:rsidR="007E3692" w:rsidRPr="003D75FB">
        <w:rPr>
          <w:sz w:val="24"/>
          <w:szCs w:val="24"/>
        </w:rPr>
        <w:t xml:space="preserve"> </w:t>
      </w:r>
    </w:p>
    <w:p w14:paraId="7EF727F1" w14:textId="5CF5A1DA" w:rsidR="004E1A70" w:rsidRDefault="004E1A70">
      <w:pPr>
        <w:spacing w:line="480" w:lineRule="auto"/>
        <w:ind w:firstLine="0"/>
        <w:rPr>
          <w:sz w:val="24"/>
          <w:szCs w:val="24"/>
        </w:rPr>
      </w:pPr>
      <w:r w:rsidRPr="003D75FB">
        <w:rPr>
          <w:sz w:val="24"/>
          <w:szCs w:val="24"/>
        </w:rPr>
        <w:t>In this paper</w:t>
      </w:r>
      <w:r>
        <w:rPr>
          <w:sz w:val="24"/>
          <w:szCs w:val="24"/>
        </w:rPr>
        <w:t>,</w:t>
      </w:r>
      <w:r w:rsidRPr="003D75FB">
        <w:rPr>
          <w:sz w:val="24"/>
          <w:szCs w:val="24"/>
        </w:rPr>
        <w:t xml:space="preserve"> we are specifically interested in </w:t>
      </w:r>
      <w:r w:rsidRPr="003D75FB">
        <w:rPr>
          <w:i/>
          <w:iCs/>
          <w:sz w:val="24"/>
          <w:szCs w:val="24"/>
        </w:rPr>
        <w:t>m</w:t>
      </w:r>
      <w:r w:rsidRPr="003D75FB">
        <w:rPr>
          <w:i/>
          <w:sz w:val="24"/>
          <w:szCs w:val="24"/>
        </w:rPr>
        <w:t>arkets</w:t>
      </w:r>
      <w:r w:rsidRPr="003D75FB">
        <w:rPr>
          <w:sz w:val="24"/>
          <w:szCs w:val="24"/>
        </w:rPr>
        <w:t xml:space="preserve"> for biodiversity offsets. These </w:t>
      </w:r>
      <w:r w:rsidR="00F54285">
        <w:rPr>
          <w:sz w:val="24"/>
          <w:szCs w:val="24"/>
        </w:rPr>
        <w:t xml:space="preserve">markets </w:t>
      </w:r>
      <w:r w:rsidRPr="003D75FB">
        <w:rPr>
          <w:sz w:val="24"/>
          <w:szCs w:val="24"/>
        </w:rPr>
        <w:t>are created when multiple buyers and sellers of offset credits interact with others through a trading process. This creates a setting in which landowners can choose to manage land for conservation, generating offset credits which can then be sold to a developer who is required to mitigate development impacts</w:t>
      </w:r>
      <w:r w:rsidR="00F54285">
        <w:rPr>
          <w:sz w:val="24"/>
          <w:szCs w:val="24"/>
        </w:rPr>
        <w:t xml:space="preserve"> on some measure of biodiversity</w:t>
      </w:r>
      <w:r w:rsidRPr="003D75FB">
        <w:rPr>
          <w:sz w:val="24"/>
          <w:szCs w:val="24"/>
        </w:rPr>
        <w:t xml:space="preserve">. </w:t>
      </w:r>
      <w:r w:rsidR="00404E55">
        <w:rPr>
          <w:sz w:val="24"/>
          <w:szCs w:val="24"/>
        </w:rPr>
        <w:t xml:space="preserve">Such trades can be facilitated by an offset bank which collects offers from sellers and makes these available to potential buyers. </w:t>
      </w:r>
      <w:r w:rsidRPr="003D75FB">
        <w:rPr>
          <w:sz w:val="24"/>
          <w:szCs w:val="24"/>
        </w:rPr>
        <w:t xml:space="preserve">By establishing an appropriate rate of exchange between sellers and buyers, markets can, in theory, achieve no net loss of biodiversity within some defined area at least cost. </w:t>
      </w:r>
    </w:p>
    <w:p w14:paraId="00C010D0" w14:textId="24288741" w:rsidR="00742734" w:rsidRPr="003D75FB" w:rsidRDefault="00F54285">
      <w:pPr>
        <w:spacing w:line="480" w:lineRule="auto"/>
        <w:ind w:firstLine="0"/>
        <w:rPr>
          <w:sz w:val="24"/>
          <w:szCs w:val="24"/>
        </w:rPr>
      </w:pPr>
      <w:r>
        <w:rPr>
          <w:sz w:val="24"/>
          <w:szCs w:val="24"/>
        </w:rPr>
        <w:t>Through the creation of</w:t>
      </w:r>
      <w:r w:rsidR="004E1A70" w:rsidRPr="003D75FB">
        <w:rPr>
          <w:sz w:val="24"/>
          <w:szCs w:val="24"/>
        </w:rPr>
        <w:t xml:space="preserve"> economic incentives for conservation, market mechanisms</w:t>
      </w:r>
      <w:r w:rsidR="00404E55">
        <w:rPr>
          <w:sz w:val="24"/>
          <w:szCs w:val="24"/>
        </w:rPr>
        <w:t xml:space="preserve"> such as markets for offsets</w:t>
      </w:r>
      <w:r w:rsidR="004E1A70" w:rsidRPr="003D75FB">
        <w:rPr>
          <w:sz w:val="24"/>
          <w:szCs w:val="24"/>
        </w:rPr>
        <w:t xml:space="preserve"> encourage private landowners and firms to take costly actions that benefit biodiversity </w:t>
      </w:r>
      <w:r w:rsidR="004E1A70" w:rsidRPr="003D75FB">
        <w:rPr>
          <w:sz w:val="24"/>
          <w:szCs w:val="24"/>
        </w:rPr>
        <w:fldChar w:fldCharType="begin" w:fldLock="1"/>
      </w:r>
      <w:r w:rsidR="004E1A70" w:rsidRPr="003D75FB">
        <w:rPr>
          <w:sz w:val="24"/>
          <w:szCs w:val="24"/>
        </w:rPr>
        <w:instrText>ADDIN CSL_CITATION {"citationItems":[{"id":"ITEM-1","itemData":{"DOI":"10.1016/j.ecolecon.2019.01.003","ISSN":"09218009","abstract":"Biodiversity is decreasing at an alarming rate. Current policies focus on the most valuable species and habitats but cannot stop the degradation occurring in less valuable habitats. One solution is offsetting the loss of biodiversity caused by development projects. The basic idea of biodiversity offsetting is simple: a developer must provide an improvement in biodiversity so that the lost ecological value is compensated for. A banking mechanism for offsetting entails a third party providing offsets for developers to purchase, and thus, an offset market emerges. We develop an equilibrium model to analyse the offset markets and apply the model to the Finnish economy and three selected boreal habitats. We examine how the market depends on trading ratios, the presence of an intermediary and the realization of risks associated with uncertainty. An intermediary can facilitate the market participants meeting each other with minimal transaction costs and safeguard against risks. The results show that the size of the offset markets could potentially be quite considerable and providing offsets could be a profitable business for landowners in Finland. The outcome of the restoration investment and a possible time delay between biodiversity losses and gains impact the trading ratios and thus, have a major impact on the market equilibrium. An intermediary may significantly decrease the costs of compensation for developers, provided that it can provide mature offsets when needed.","author":[{"dropping-particle":"","family":"Kangas","given":"Johanna","non-dropping-particle":"","parse-names":false,"suffix":""},{"dropping-particle":"","family":"Ollikainen","given":"Markku","non-dropping-particle":"","parse-names":false,"suffix":""}],"container-title":"Ecological Economics","id":"ITEM-1","issued":{"date-parts":[["2019","5","1"]]},"page":"54-67","publisher":"Elsevier B.V.","title":"Economic Insights in Ecological Compensations: Market Analysis With an Empirical Application to the Finnish Economy","type":"article-journal","volume":"159"},"uris":["http://www.mendeley.com/documents/?uuid=07321714-7f1b-3d4b-93dc-1da220b4d743"]}],"mendeley":{"formattedCitation":"(Kangas and Ollikainen 2019)","plainTextFormattedCitation":"(Kangas and Ollikainen 2019)","previouslyFormattedCitation":"(Kangas and Ollikainen 2019)"},"properties":{"noteIndex":0},"schema":"https://github.com/citation-style-language/schema/raw/master/csl-citation.json"}</w:instrText>
      </w:r>
      <w:r w:rsidR="004E1A70" w:rsidRPr="003D75FB">
        <w:rPr>
          <w:sz w:val="24"/>
          <w:szCs w:val="24"/>
        </w:rPr>
        <w:fldChar w:fldCharType="separate"/>
      </w:r>
      <w:r w:rsidR="004E1A70" w:rsidRPr="003D75FB">
        <w:rPr>
          <w:noProof/>
          <w:sz w:val="24"/>
          <w:szCs w:val="24"/>
        </w:rPr>
        <w:t>(Kangas and Ollikainen 2019)</w:t>
      </w:r>
      <w:r w:rsidR="004E1A70" w:rsidRPr="003D75FB">
        <w:rPr>
          <w:sz w:val="24"/>
          <w:szCs w:val="24"/>
        </w:rPr>
        <w:fldChar w:fldCharType="end"/>
      </w:r>
      <w:r w:rsidR="004E1A70" w:rsidRPr="003D75FB">
        <w:rPr>
          <w:sz w:val="24"/>
          <w:szCs w:val="24"/>
        </w:rPr>
        <w:t xml:space="preserve">. </w:t>
      </w:r>
      <w:r w:rsidR="00404E55">
        <w:rPr>
          <w:sz w:val="24"/>
          <w:szCs w:val="24"/>
        </w:rPr>
        <w:t>A</w:t>
      </w:r>
      <w:r w:rsidR="004E1A70" w:rsidRPr="003D75FB">
        <w:rPr>
          <w:sz w:val="24"/>
          <w:szCs w:val="24"/>
        </w:rPr>
        <w:t xml:space="preserve"> biodiversity offset mechanism </w:t>
      </w:r>
      <w:r>
        <w:rPr>
          <w:sz w:val="24"/>
          <w:szCs w:val="24"/>
        </w:rPr>
        <w:t>can</w:t>
      </w:r>
      <w:r w:rsidR="004E1A70" w:rsidRPr="003D75FB">
        <w:rPr>
          <w:sz w:val="24"/>
          <w:szCs w:val="24"/>
        </w:rPr>
        <w:t xml:space="preserve"> steer land allocation choices in the direction of greater efficiency, given some constraint on overall biodiversity change. Buyers will not offer more for a credit than the value to them of land for development, and sellers will require no less </w:t>
      </w:r>
      <w:r>
        <w:rPr>
          <w:sz w:val="24"/>
          <w:szCs w:val="24"/>
        </w:rPr>
        <w:t xml:space="preserve">in payment </w:t>
      </w:r>
      <w:r w:rsidR="004E1A70" w:rsidRPr="003D75FB">
        <w:rPr>
          <w:sz w:val="24"/>
          <w:szCs w:val="24"/>
        </w:rPr>
        <w:t>than the opportunity costs of creating offsets</w:t>
      </w:r>
      <w:r>
        <w:rPr>
          <w:sz w:val="24"/>
          <w:szCs w:val="24"/>
        </w:rPr>
        <w:t>,</w:t>
      </w:r>
      <w:r w:rsidR="004E1A70" w:rsidRPr="003D75FB">
        <w:rPr>
          <w:sz w:val="24"/>
          <w:szCs w:val="24"/>
        </w:rPr>
        <w:t xml:space="preserve"> through foregoing some other form of land use such as crop production</w:t>
      </w:r>
      <w:r>
        <w:rPr>
          <w:sz w:val="24"/>
          <w:szCs w:val="24"/>
        </w:rPr>
        <w:t xml:space="preserve">, or through </w:t>
      </w:r>
      <w:r>
        <w:rPr>
          <w:sz w:val="24"/>
          <w:szCs w:val="24"/>
        </w:rPr>
        <w:lastRenderedPageBreak/>
        <w:t>ecological restoration activities</w:t>
      </w:r>
      <w:r w:rsidR="004E1A70" w:rsidRPr="003D75FB">
        <w:rPr>
          <w:sz w:val="24"/>
          <w:szCs w:val="24"/>
        </w:rPr>
        <w:t xml:space="preserve">. </w:t>
      </w:r>
      <w:r w:rsidR="00404E55">
        <w:rPr>
          <w:sz w:val="24"/>
          <w:szCs w:val="24"/>
        </w:rPr>
        <w:t>O</w:t>
      </w:r>
      <w:r w:rsidR="004E1A70" w:rsidRPr="003D75FB">
        <w:rPr>
          <w:sz w:val="24"/>
          <w:szCs w:val="24"/>
        </w:rPr>
        <w:t>ffset markets allow biodiversity conservation targets to be met at the lowest cost since only those suppliers whose supply prices are competitive will be rewarded with payments for supplying offsets.</w:t>
      </w:r>
      <w:r>
        <w:rPr>
          <w:sz w:val="24"/>
          <w:szCs w:val="24"/>
        </w:rPr>
        <w:t xml:space="preserve"> Moreover, the establishment of a market-facilitation bank </w:t>
      </w:r>
      <w:r w:rsidR="00DF085E" w:rsidRPr="003D75FB">
        <w:rPr>
          <w:sz w:val="24"/>
          <w:szCs w:val="24"/>
        </w:rPr>
        <w:t>allows developers to purchase “off the shelf” offsets</w:t>
      </w:r>
      <w:r w:rsidR="00DF085E">
        <w:rPr>
          <w:sz w:val="24"/>
          <w:szCs w:val="24"/>
        </w:rPr>
        <w:t xml:space="preserve"> </w:t>
      </w:r>
      <w:r w:rsidR="00DF085E" w:rsidRPr="003D75FB">
        <w:rPr>
          <w:sz w:val="24"/>
          <w:szCs w:val="24"/>
        </w:rPr>
        <w:fldChar w:fldCharType="begin" w:fldLock="1"/>
      </w:r>
      <w:r w:rsidR="00DF085E" w:rsidRPr="003D75FB">
        <w:rPr>
          <w:sz w:val="24"/>
          <w:szCs w:val="24"/>
        </w:rPr>
        <w:instrText>ADDIN CSL_CITATION {"citationItems":[{"id":"ITEM-1","itemData":{"DOI":"10.2307/24888894","abstract":"Private, governmental, and non-governmental entities enhance, restore, and create wetlands in order to sell credits to permit recipients who impact wetlands. In this article, we model the cost minimization conditions for wetland mitigation banking and define the conditions necessary to maintain wetland services. The U.S. Army Corps of Engineers adjusts the trading ratio between impacted and restored wetlands to account for differences in wetland function. We provide evidence that location is relevant to policy effectiveness and show how location could be included in credit calculation.","author":[{"dropping-particle":"","family":"BONDS","given":"MATTHEW H.","non-dropping-particle":"","parse-names":false,"suffix":""},{"dropping-particle":"","family":"POMPE","given":"JEFFREY J.","non-dropping-particle":"","parse-names":false,"suffix":""}],"container-title":"Natural Resources Journal","id":"ITEM-1","issued":{"date-parts":[["2003"]]},"page":"961-977","publisher":"Regents of the University of New Mexico on behalf of its School of Law","title":"Calculating Wetland Mitigation Banking Credits: Adjusting for Wetland Function and Location","type":"article","volume":"43"},"uris":["http://www.mendeley.com/documents/?uuid=6d284976-898a-31e1-9264-f592425fbefe"]}],"mendeley":{"formattedCitation":"(BONDS and POMPE 2003)","manualFormatting":"(Bonds and Pompe 2003)","plainTextFormattedCitation":"(BONDS and POMPE 2003)","previouslyFormattedCitation":"(BONDS and POMPE 2003)"},"properties":{"noteIndex":0},"schema":"https://github.com/citation-style-language/schema/raw/master/csl-citation.json"}</w:instrText>
      </w:r>
      <w:r w:rsidR="00DF085E" w:rsidRPr="003D75FB">
        <w:rPr>
          <w:sz w:val="24"/>
          <w:szCs w:val="24"/>
        </w:rPr>
        <w:fldChar w:fldCharType="separate"/>
      </w:r>
      <w:r w:rsidR="00DF085E" w:rsidRPr="003D75FB">
        <w:rPr>
          <w:noProof/>
          <w:sz w:val="24"/>
          <w:szCs w:val="24"/>
        </w:rPr>
        <w:t>(Bonds and Pompe 2003</w:t>
      </w:r>
      <w:r w:rsidR="00DF085E" w:rsidRPr="003D75FB">
        <w:rPr>
          <w:sz w:val="24"/>
          <w:szCs w:val="24"/>
        </w:rPr>
        <w:fldChar w:fldCharType="end"/>
      </w:r>
      <w:r w:rsidR="000346DE">
        <w:rPr>
          <w:sz w:val="24"/>
          <w:szCs w:val="24"/>
        </w:rPr>
        <w:t>;</w:t>
      </w:r>
      <w:r w:rsidR="00DF085E">
        <w:rPr>
          <w:sz w:val="24"/>
          <w:szCs w:val="24"/>
        </w:rPr>
        <w:t xml:space="preserve"> </w:t>
      </w:r>
      <w:proofErr w:type="spellStart"/>
      <w:r w:rsidR="00DF085E" w:rsidRPr="003D75FB">
        <w:rPr>
          <w:sz w:val="24"/>
          <w:szCs w:val="24"/>
        </w:rPr>
        <w:t>Levrel</w:t>
      </w:r>
      <w:proofErr w:type="spellEnd"/>
      <w:r w:rsidR="00DF085E" w:rsidRPr="003D75FB">
        <w:rPr>
          <w:sz w:val="24"/>
          <w:szCs w:val="24"/>
        </w:rPr>
        <w:t xml:space="preserve">, </w:t>
      </w:r>
      <w:proofErr w:type="spellStart"/>
      <w:r w:rsidR="00DF085E" w:rsidRPr="003D75FB">
        <w:rPr>
          <w:sz w:val="24"/>
          <w:szCs w:val="24"/>
        </w:rPr>
        <w:t>Scemama</w:t>
      </w:r>
      <w:proofErr w:type="spellEnd"/>
      <w:r w:rsidR="00DF085E" w:rsidRPr="003D75FB">
        <w:rPr>
          <w:sz w:val="24"/>
          <w:szCs w:val="24"/>
        </w:rPr>
        <w:t xml:space="preserve">, and </w:t>
      </w:r>
      <w:proofErr w:type="spellStart"/>
      <w:r w:rsidR="00DF085E" w:rsidRPr="003D75FB">
        <w:rPr>
          <w:sz w:val="24"/>
          <w:szCs w:val="24"/>
        </w:rPr>
        <w:t>Vaissière</w:t>
      </w:r>
      <w:proofErr w:type="spellEnd"/>
      <w:r w:rsidR="00DF085E" w:rsidRPr="003D75FB">
        <w:rPr>
          <w:sz w:val="24"/>
          <w:szCs w:val="24"/>
        </w:rPr>
        <w:t xml:space="preserve"> 2017</w:t>
      </w:r>
      <w:r w:rsidR="000346DE">
        <w:rPr>
          <w:sz w:val="24"/>
          <w:szCs w:val="24"/>
        </w:rPr>
        <w:t>;</w:t>
      </w:r>
      <w:r w:rsidR="00DF085E" w:rsidRPr="003D75FB">
        <w:rPr>
          <w:sz w:val="24"/>
          <w:szCs w:val="24"/>
        </w:rPr>
        <w:t xml:space="preserve"> </w:t>
      </w:r>
      <w:proofErr w:type="spellStart"/>
      <w:r w:rsidR="00DF085E" w:rsidRPr="003D75FB">
        <w:rPr>
          <w:sz w:val="24"/>
          <w:szCs w:val="24"/>
        </w:rPr>
        <w:t>Hannis</w:t>
      </w:r>
      <w:proofErr w:type="spellEnd"/>
      <w:r w:rsidR="00DF085E" w:rsidRPr="003D75FB">
        <w:rPr>
          <w:sz w:val="24"/>
          <w:szCs w:val="24"/>
        </w:rPr>
        <w:t xml:space="preserve"> and Sullivan 2012)</w:t>
      </w:r>
      <w:r w:rsidR="00DF085E">
        <w:rPr>
          <w:sz w:val="24"/>
          <w:szCs w:val="24"/>
        </w:rPr>
        <w:t xml:space="preserve">. </w:t>
      </w:r>
      <w:r>
        <w:rPr>
          <w:sz w:val="24"/>
          <w:szCs w:val="24"/>
        </w:rPr>
        <w:t>O</w:t>
      </w:r>
      <w:r w:rsidR="00DF085E">
        <w:rPr>
          <w:sz w:val="24"/>
          <w:szCs w:val="24"/>
        </w:rPr>
        <w:t xml:space="preserve">ffset banks allow the purchase of credits where </w:t>
      </w:r>
      <w:r w:rsidR="00DF085E" w:rsidRPr="003D75FB">
        <w:rPr>
          <w:sz w:val="24"/>
          <w:szCs w:val="24"/>
        </w:rPr>
        <w:t xml:space="preserve">ecological gains have already been </w:t>
      </w:r>
      <w:r w:rsidR="00E66423">
        <w:rPr>
          <w:sz w:val="24"/>
          <w:szCs w:val="24"/>
        </w:rPr>
        <w:t>certified</w:t>
      </w:r>
      <w:r w:rsidR="00DF085E">
        <w:rPr>
          <w:sz w:val="24"/>
          <w:szCs w:val="24"/>
        </w:rPr>
        <w:t xml:space="preserve">, overcoming </w:t>
      </w:r>
      <w:r w:rsidR="00E66423">
        <w:rPr>
          <w:sz w:val="24"/>
          <w:szCs w:val="24"/>
        </w:rPr>
        <w:t>one of the widely recognised problems</w:t>
      </w:r>
      <w:r w:rsidR="00DF085E">
        <w:rPr>
          <w:sz w:val="24"/>
          <w:szCs w:val="24"/>
        </w:rPr>
        <w:t xml:space="preserve"> in offsetting</w:t>
      </w:r>
      <w:r>
        <w:rPr>
          <w:sz w:val="24"/>
          <w:szCs w:val="24"/>
        </w:rPr>
        <w:t>, namely</w:t>
      </w:r>
      <w:r w:rsidR="00DF085E">
        <w:rPr>
          <w:sz w:val="24"/>
          <w:szCs w:val="24"/>
        </w:rPr>
        <w:t xml:space="preserve"> that the </w:t>
      </w:r>
      <w:r>
        <w:rPr>
          <w:sz w:val="24"/>
          <w:szCs w:val="24"/>
        </w:rPr>
        <w:t xml:space="preserve">ecological benefits of </w:t>
      </w:r>
      <w:r w:rsidR="00DF085E">
        <w:rPr>
          <w:sz w:val="24"/>
          <w:szCs w:val="24"/>
        </w:rPr>
        <w:t xml:space="preserve">restoration actions are uncertain </w:t>
      </w:r>
      <w:r w:rsidR="00742734" w:rsidRPr="003D75FB">
        <w:rPr>
          <w:sz w:val="24"/>
          <w:szCs w:val="24"/>
        </w:rPr>
        <w:fldChar w:fldCharType="begin" w:fldLock="1"/>
      </w:r>
      <w:r w:rsidR="00742734" w:rsidRPr="003D75FB">
        <w:rPr>
          <w:sz w:val="24"/>
          <w:szCs w:val="24"/>
        </w:rPr>
        <w:instrText>ADDIN CSL_CITATION {"citationItems":[{"id":"ITEM-1","itemData":{"DOI":"10.1016/j.biocon.2012.06.003","ISSN":"00063207","abstract":"The science and practice of ecological restoration are increasingly being called upon to compensate for the loss of biodiversity values caused by development projects. Biodiversity offsetting-compensating for losses of biodiversity at an impact site by generating ecologically equivalent gains elsewhere-therefore places substantial faith in the ability of restoration to recover lost biodiversity. Furthermore, the increase in offset-led restoration multiplies the consequences of failure to restore, since the promise of effective restoration may increase the chance that damage to biodiversity is permitted. But what evidence exists that restoration science and practice can reliably, or even feasibly, achieve the goal of 'no net loss' of biodiversity, and under what circumstances are successes and failures more likely? Using recent reviews of the restoration ecology literature, we examine the effectiveness of restoration as an approach for offsetting biodiversity loss, and conclude that many of the expectations set by current offset policy for ecological restoration remain unsupported by evidence. We introduce a conceptual model that illustrates three factors that limit the technical success of offsets: time lags, uncertainty and measurability of the value being offset. These factors can be managed to some extent through sound offset policy design that incorporates active adaptive management, time discounting, explicit accounting for uncertainty, and biodiversity banking. Nevertheless, the domain within which restoration can deliver 'no net loss' offsets remains small. A narrowing of the gap between the expectations set by offset policies and the practice of offsetting is urgently required and we urge the development of stronger links between restoration ecologists and those who make policies that are reliant upon restoration science. © 2012 Elsevier Ltd.","author":[{"dropping-particle":"","family":"Maron","given":"Martine","non-dropping-particle":"","parse-names":false,"suffix":""},{"dropping-particle":"","family":"Hobbs","given":"Richard J.","non-dropping-particle":"","parse-names":false,"suffix":""},{"dropping-particle":"","family":"Moilanen","given":"Atte","non-dropping-particle":"","parse-names":false,"suffix":""},{"dropping-particle":"","family":"Matthews","given":"Jeffrey W.","non-dropping-particle":"","parse-names":false,"suffix":""},{"dropping-particle":"","family":"Christie","given":"Kimberly","non-dropping-particle":"","parse-names":false,"suffix":""},{"dropping-particle":"","family":"Gardner","given":"Toby A.","non-dropping-particle":"","parse-names":false,"suffix":""},{"dropping-particle":"","family":"Keith","given":"David A.","non-dropping-particle":"","parse-names":false,"suffix":""},{"dropping-particle":"","family":"Lindenmayer","given":"David B.","non-dropping-particle":"","parse-names":false,"suffix":""},{"dropping-particle":"","family":"McAlpine","given":"Clive A.","non-dropping-particle":"","parse-names":false,"suffix":""}],"container-title":"Biological Conservation","id":"ITEM-1","issued":{"date-parts":[["2012","10"]]},"page":"141-148","title":"Faustian bargains? Restoration realities in the context of biodiversity offset policies","type":"article-journal","volume":"155"},"uris":["http://www.mendeley.com/documents/?uuid=55dfb082-1265-391b-bbfe-270cc6ccf859"]}],"mendeley":{"formattedCitation":"(Maron et al. 2012)","plainTextFormattedCitation":"(Maron et al. 2012)","previouslyFormattedCitation":"(Maron et al. 2012)"},"properties":{"noteIndex":0},"schema":"https://github.com/citation-style-language/schema/raw/master/csl-citation.json"}</w:instrText>
      </w:r>
      <w:r w:rsidR="00742734" w:rsidRPr="003D75FB">
        <w:rPr>
          <w:sz w:val="24"/>
          <w:szCs w:val="24"/>
        </w:rPr>
        <w:fldChar w:fldCharType="separate"/>
      </w:r>
      <w:r w:rsidR="00742734" w:rsidRPr="003D75FB">
        <w:rPr>
          <w:noProof/>
          <w:sz w:val="24"/>
          <w:szCs w:val="24"/>
        </w:rPr>
        <w:t>(Maron et al</w:t>
      </w:r>
      <w:r w:rsidR="001B568E">
        <w:rPr>
          <w:noProof/>
          <w:sz w:val="24"/>
          <w:szCs w:val="24"/>
        </w:rPr>
        <w:t>,</w:t>
      </w:r>
      <w:r w:rsidR="00742734" w:rsidRPr="003D75FB">
        <w:rPr>
          <w:noProof/>
          <w:sz w:val="24"/>
          <w:szCs w:val="24"/>
        </w:rPr>
        <w:t xml:space="preserve"> 2012)</w:t>
      </w:r>
      <w:r w:rsidR="00742734" w:rsidRPr="003D75FB">
        <w:rPr>
          <w:sz w:val="24"/>
          <w:szCs w:val="24"/>
        </w:rPr>
        <w:fldChar w:fldCharType="end"/>
      </w:r>
      <w:r w:rsidR="00742734" w:rsidRPr="003D75FB">
        <w:rPr>
          <w:sz w:val="24"/>
          <w:szCs w:val="24"/>
        </w:rPr>
        <w:t xml:space="preserve">. </w:t>
      </w:r>
    </w:p>
    <w:p w14:paraId="2E92B151" w14:textId="1BD59046" w:rsidR="00B85493" w:rsidRDefault="00832BDC">
      <w:pPr>
        <w:spacing w:line="480" w:lineRule="auto"/>
        <w:ind w:firstLine="0"/>
        <w:rPr>
          <w:sz w:val="24"/>
          <w:szCs w:val="24"/>
        </w:rPr>
      </w:pPr>
      <w:bookmarkStart w:id="0" w:name="_Hlk48284021"/>
      <w:r w:rsidRPr="003D75FB">
        <w:rPr>
          <w:sz w:val="24"/>
          <w:szCs w:val="24"/>
        </w:rPr>
        <w:t xml:space="preserve">Despite </w:t>
      </w:r>
      <w:r w:rsidR="00F54285">
        <w:rPr>
          <w:sz w:val="24"/>
          <w:szCs w:val="24"/>
        </w:rPr>
        <w:t>an</w:t>
      </w:r>
      <w:r w:rsidR="00F54285" w:rsidRPr="003D75FB">
        <w:rPr>
          <w:sz w:val="24"/>
          <w:szCs w:val="24"/>
        </w:rPr>
        <w:t xml:space="preserve"> </w:t>
      </w:r>
      <w:r w:rsidRPr="003D75FB">
        <w:rPr>
          <w:sz w:val="24"/>
          <w:szCs w:val="24"/>
        </w:rPr>
        <w:t xml:space="preserve">increasing policy interest in biodiversity offsets and a growing ecological literature,  relatively little attention has been paid to the idea by environmental and resource economists when compared to other incentive-based mechanisms, such as payments for ecosystem services and tradable pollution permit markets for air and water pollution </w:t>
      </w:r>
      <w:r w:rsidRPr="003D75FB">
        <w:rPr>
          <w:sz w:val="24"/>
          <w:szCs w:val="24"/>
        </w:rPr>
        <w:fldChar w:fldCharType="begin" w:fldLock="1"/>
      </w:r>
      <w:r w:rsidRPr="003D75FB">
        <w:rPr>
          <w:sz w:val="24"/>
          <w:szCs w:val="24"/>
        </w:rPr>
        <w:instrText>ADDIN CSL_CITATION {"citationItems":[{"id":"ITEM-1","itemData":{"DOI":"10.1016/j.biocon.2015.08.036","ISSN":"00063207","abstract":"Spurred by recent initiatives aimed at achieving \"No Net Loss\" of biodiversity, the concept of biodiversity offsetting (henceforth BO) is growing in popularity in the political, business, conservation and academic arenas. Promising to make economic development compatible with biodiversity conservation, BO mechanisms appear as the new tool for biodiversity conservation, and they are increasingly integrated into agendas and strategies to biodiversity. The concept has also become popular with scholars but it is still highly debated in particular its ecological consequences. Moreover, this recent enthusiasmfor BO has led to confusion especially on its emergence and development in the academic sphere, and its implications for conservation. This article addresses these issues. It examines the origins, characteristics and dynamics of BO in academic output and highlights the main drivers of its development, to finally conclude on its implications for conservation practice. We carried out a systematic literature review based on thorough scientometric analyses of the scientific literature on BO recorded in the Web of Science database over the past three decades (1984-2014). Through the analysis of 477 articles we identified three stages in the development of the topic in academia, and highlighted the influence of specific countries, authors, research areas and articles. We found that non-academic institutionswere particularly influential, notably environmental non-governmental organizations. Furthermore, we identified a major change in the past decade in the topics and lexicon related to BO, which has moved from ecologically-driven approaches to an economic and market lexicon. Overall, this review highlights the use of an economic rhetoric to frame the BO discourse resulting from political influence rather than an actual scientific progress in ecological or economic sciences. This trend seems aligned with a new movement in conservation aimed at using economic approaches to justify and achieve conservation goals. Caught in a strong normative current and supported by a specific viewof nature, we argue that BO is not a neutral concept for conservation practice. We therefore advocate the wise and careful use of this mechanism in practice, and further research be carried out to examine the theoretical and practical dimensions of BO, and the ethical implications underlying its development.","author":[{"dropping-particle":"","family":"Coralie","given":"Calvet","non-dropping-particle":"","parse-names":false,"suffix":""},{"dropping-particle":"","family":"Guillaume","given":"Ollivier","non-dropping-particle":"","parse-names":false,"suffix":""},{"dropping-particle":"","family":"Claude","given":"Napoleone","non-dropping-particle":"","parse-names":false,"suffix":""}],"container-title":"Biological Conservation","id":"ITEM-1","issued":{"date-parts":[["2015","12","1"]]},"page":"492-503","publisher":"Elsevier Ltd","title":"Tracking the origins and development of biodiversity offsetting in academic research and its implications for conservation: A review","type":"article","volume":"192"},"uris":["http://www.mendeley.com/documents/?uuid=7461cfd8-58d6-3020-bc4a-5a7514d8b09a"]},{"id":"ITEM-2","itemData":{"DOI":"10.1007/s10640-015-9996-8","ISSN":"15731502","abstract":"This paper provides a succinct review of the main developments in the literature on incentive-based policy mechanisms in the contexts of pollution control and biodiversity conservation, dating from the early beginnings of the science in the 1960s. A focal point in the review is on the design features of these policy mechanisms. Key developments in policy design were originally established in controlling externalities arising from pollution and have since been extended to policy design tailored towards biodiversity conservation. Special emphasis is given to the spatial characteristics of the environmental problems underlying both pollution control and biodiversity conservation. The paper concludes by drawing some lessons and setting out elements of a future research agenda in both policy domains.","author":[{"dropping-particle":"","family":"Vries","given":"Frans P.","non-dropping-particle":"de","parse-names":false,"suffix":""},{"dropping-particle":"","family":"Hanley","given":"Nick","non-dropping-particle":"","parse-names":false,"suffix":""}],"container-title":"Environmental and Resource Economics","id":"ITEM-2","issue":"4","issued":{"date-parts":[["2016","4","1"]]},"page":"687-702","publisher":"Springer Netherlands","title":"Incentive-Based Policy Design for Pollution Control and Biodiversity Conservation: A Review","type":"article","volume":"63"},"uris":["http://www.mendeley.com/documents/?uuid=77780ba0-fc49-331d-96e4-afd98cb0570c"]}],"mendeley":{"formattedCitation":"(Coralie, Guillaume, and Claude 2015; de Vries and Hanley 2016)","plainTextFormattedCitation":"(Coralie, Guillaume, and Claude 2015; de Vries and Hanley 2016)","previouslyFormattedCitation":"(Coralie, Guillaume, and Claude 2015; de Vries and Hanley 2016)"},"properties":{"noteIndex":0},"schema":"https://github.com/citation-style-language/schema/raw/master/csl-citation.json"}</w:instrText>
      </w:r>
      <w:r w:rsidRPr="003D75FB">
        <w:rPr>
          <w:sz w:val="24"/>
          <w:szCs w:val="24"/>
        </w:rPr>
        <w:fldChar w:fldCharType="separate"/>
      </w:r>
      <w:r w:rsidRPr="003D75FB">
        <w:rPr>
          <w:noProof/>
          <w:sz w:val="24"/>
          <w:szCs w:val="24"/>
        </w:rPr>
        <w:t>(Coralie, Guillaume, and Claude 2015; de Vries and Hanley 2016)</w:t>
      </w:r>
      <w:r w:rsidRPr="003D75FB">
        <w:rPr>
          <w:sz w:val="24"/>
          <w:szCs w:val="24"/>
        </w:rPr>
        <w:fldChar w:fldCharType="end"/>
      </w:r>
      <w:r w:rsidRPr="003D75FB">
        <w:rPr>
          <w:sz w:val="24"/>
          <w:szCs w:val="24"/>
        </w:rPr>
        <w:t xml:space="preserve">. </w:t>
      </w:r>
      <w:r w:rsidR="004E1A70" w:rsidRPr="004E1A70">
        <w:rPr>
          <w:sz w:val="24"/>
          <w:szCs w:val="24"/>
        </w:rPr>
        <w:t>From a</w:t>
      </w:r>
      <w:r w:rsidR="00F54285">
        <w:rPr>
          <w:sz w:val="24"/>
          <w:szCs w:val="24"/>
        </w:rPr>
        <w:t>n</w:t>
      </w:r>
      <w:r w:rsidR="004E1A70" w:rsidRPr="004E1A70">
        <w:rPr>
          <w:sz w:val="24"/>
          <w:szCs w:val="24"/>
        </w:rPr>
        <w:t xml:space="preserve"> economist's perspective, </w:t>
      </w:r>
      <w:r w:rsidR="00F54285">
        <w:rPr>
          <w:sz w:val="24"/>
          <w:szCs w:val="24"/>
        </w:rPr>
        <w:t xml:space="preserve">creating </w:t>
      </w:r>
      <w:r w:rsidR="004E1A70" w:rsidRPr="004E1A70">
        <w:rPr>
          <w:sz w:val="24"/>
          <w:szCs w:val="24"/>
        </w:rPr>
        <w:t>markets for biodiversity offsets face</w:t>
      </w:r>
      <w:r w:rsidR="00F54285">
        <w:rPr>
          <w:sz w:val="24"/>
          <w:szCs w:val="24"/>
        </w:rPr>
        <w:t>s policy designers with</w:t>
      </w:r>
      <w:r w:rsidR="004E1A70" w:rsidRPr="004E1A70">
        <w:rPr>
          <w:sz w:val="24"/>
          <w:szCs w:val="24"/>
        </w:rPr>
        <w:t xml:space="preserve"> some of the same issues as </w:t>
      </w:r>
      <w:r w:rsidR="00F54285">
        <w:rPr>
          <w:sz w:val="24"/>
          <w:szCs w:val="24"/>
        </w:rPr>
        <w:t>with</w:t>
      </w:r>
      <w:r w:rsidR="004E1A70" w:rsidRPr="004E1A70">
        <w:rPr>
          <w:sz w:val="24"/>
          <w:szCs w:val="24"/>
        </w:rPr>
        <w:t xml:space="preserve"> tradable pollution permit markets</w:t>
      </w:r>
      <w:r w:rsidR="00F54285">
        <w:rPr>
          <w:sz w:val="24"/>
          <w:szCs w:val="24"/>
        </w:rPr>
        <w:t>,</w:t>
      </w:r>
      <w:r w:rsidR="004E1A70" w:rsidRPr="004E1A70">
        <w:rPr>
          <w:sz w:val="24"/>
          <w:szCs w:val="24"/>
        </w:rPr>
        <w:t xml:space="preserve"> including </w:t>
      </w:r>
      <w:r w:rsidR="00B85493">
        <w:rPr>
          <w:sz w:val="24"/>
          <w:szCs w:val="24"/>
        </w:rPr>
        <w:t>what to trade (credit definition)</w:t>
      </w:r>
      <w:r w:rsidR="004E1A70" w:rsidRPr="004E1A70">
        <w:rPr>
          <w:sz w:val="24"/>
          <w:szCs w:val="24"/>
        </w:rPr>
        <w:t>, market participation</w:t>
      </w:r>
      <w:r w:rsidR="00B85493">
        <w:rPr>
          <w:sz w:val="24"/>
          <w:szCs w:val="24"/>
        </w:rPr>
        <w:t xml:space="preserve"> and </w:t>
      </w:r>
      <w:r w:rsidR="00446FE2">
        <w:rPr>
          <w:sz w:val="24"/>
          <w:szCs w:val="24"/>
        </w:rPr>
        <w:t xml:space="preserve">geographic </w:t>
      </w:r>
      <w:r w:rsidR="00B85493">
        <w:rPr>
          <w:sz w:val="24"/>
          <w:szCs w:val="24"/>
        </w:rPr>
        <w:t>scale</w:t>
      </w:r>
      <w:r w:rsidR="004E1A70" w:rsidRPr="004E1A70">
        <w:rPr>
          <w:sz w:val="24"/>
          <w:szCs w:val="24"/>
        </w:rPr>
        <w:t xml:space="preserve">, </w:t>
      </w:r>
      <w:r w:rsidR="007B73B4">
        <w:rPr>
          <w:sz w:val="24"/>
          <w:szCs w:val="24"/>
        </w:rPr>
        <w:t xml:space="preserve">and the establishment of appropriate </w:t>
      </w:r>
      <w:r w:rsidR="004E1A70" w:rsidRPr="004E1A70">
        <w:rPr>
          <w:sz w:val="24"/>
          <w:szCs w:val="24"/>
        </w:rPr>
        <w:t xml:space="preserve">trading ratios (Bonds </w:t>
      </w:r>
      <w:r w:rsidR="000C1A68">
        <w:rPr>
          <w:sz w:val="24"/>
          <w:szCs w:val="24"/>
        </w:rPr>
        <w:t xml:space="preserve">and </w:t>
      </w:r>
      <w:proofErr w:type="spellStart"/>
      <w:r w:rsidR="004E1A70" w:rsidRPr="004E1A70">
        <w:rPr>
          <w:sz w:val="24"/>
          <w:szCs w:val="24"/>
        </w:rPr>
        <w:t>Pompe</w:t>
      </w:r>
      <w:proofErr w:type="spellEnd"/>
      <w:r w:rsidR="004E1A70" w:rsidRPr="004E1A70">
        <w:rPr>
          <w:sz w:val="24"/>
          <w:szCs w:val="24"/>
        </w:rPr>
        <w:t xml:space="preserve">, 2003; </w:t>
      </w:r>
      <w:proofErr w:type="spellStart"/>
      <w:r w:rsidR="004E1A70" w:rsidRPr="004E1A70">
        <w:rPr>
          <w:sz w:val="24"/>
          <w:szCs w:val="24"/>
        </w:rPr>
        <w:t>Wissel</w:t>
      </w:r>
      <w:proofErr w:type="spellEnd"/>
      <w:r w:rsidR="004E1A70" w:rsidRPr="004E1A70">
        <w:rPr>
          <w:sz w:val="24"/>
          <w:szCs w:val="24"/>
        </w:rPr>
        <w:t xml:space="preserve"> </w:t>
      </w:r>
      <w:r w:rsidR="000C1A68">
        <w:rPr>
          <w:sz w:val="24"/>
          <w:szCs w:val="24"/>
        </w:rPr>
        <w:t>and</w:t>
      </w:r>
      <w:r w:rsidR="004E1A70" w:rsidRPr="004E1A70">
        <w:rPr>
          <w:sz w:val="24"/>
          <w:szCs w:val="24"/>
        </w:rPr>
        <w:t xml:space="preserve"> </w:t>
      </w:r>
      <w:proofErr w:type="spellStart"/>
      <w:r w:rsidR="004E1A70" w:rsidRPr="004E1A70">
        <w:rPr>
          <w:sz w:val="24"/>
          <w:szCs w:val="24"/>
        </w:rPr>
        <w:t>Wätzold</w:t>
      </w:r>
      <w:proofErr w:type="spellEnd"/>
      <w:r w:rsidR="004E1A70" w:rsidRPr="004E1A70">
        <w:rPr>
          <w:sz w:val="24"/>
          <w:szCs w:val="24"/>
        </w:rPr>
        <w:t>, 2010</w:t>
      </w:r>
      <w:r w:rsidR="000346DE">
        <w:rPr>
          <w:sz w:val="24"/>
          <w:szCs w:val="24"/>
        </w:rPr>
        <w:t>;</w:t>
      </w:r>
      <w:r w:rsidR="00B85493">
        <w:rPr>
          <w:sz w:val="24"/>
          <w:szCs w:val="24"/>
        </w:rPr>
        <w:t xml:space="preserve"> Needham et al, 2019</w:t>
      </w:r>
      <w:r w:rsidR="004E1A70" w:rsidRPr="004E1A70">
        <w:rPr>
          <w:sz w:val="24"/>
          <w:szCs w:val="24"/>
        </w:rPr>
        <w:t>).</w:t>
      </w:r>
      <w:r w:rsidR="004E1A70">
        <w:rPr>
          <w:sz w:val="24"/>
          <w:szCs w:val="24"/>
        </w:rPr>
        <w:t xml:space="preserve"> </w:t>
      </w:r>
      <w:bookmarkStart w:id="1" w:name="_Hlk48284001"/>
      <w:r w:rsidR="00B85493">
        <w:rPr>
          <w:sz w:val="24"/>
          <w:szCs w:val="24"/>
        </w:rPr>
        <w:t>Our paper contributes to this literature by exploring two of these design issues</w:t>
      </w:r>
      <w:r w:rsidR="007B73B4">
        <w:rPr>
          <w:sz w:val="24"/>
          <w:szCs w:val="24"/>
        </w:rPr>
        <w:t>, namely</w:t>
      </w:r>
      <w:r w:rsidR="00B85493">
        <w:rPr>
          <w:sz w:val="24"/>
          <w:szCs w:val="24"/>
        </w:rPr>
        <w:t xml:space="preserve"> credit definition and market scale</w:t>
      </w:r>
      <w:r w:rsidR="007B73B4">
        <w:rPr>
          <w:sz w:val="24"/>
          <w:szCs w:val="24"/>
        </w:rPr>
        <w:t>, showing</w:t>
      </w:r>
      <w:r w:rsidR="00B85493">
        <w:rPr>
          <w:sz w:val="24"/>
          <w:szCs w:val="24"/>
        </w:rPr>
        <w:t xml:space="preserve"> how</w:t>
      </w:r>
      <w:r w:rsidR="007B73B4">
        <w:rPr>
          <w:sz w:val="24"/>
          <w:szCs w:val="24"/>
        </w:rPr>
        <w:t xml:space="preserve"> policy design choices</w:t>
      </w:r>
      <w:r w:rsidR="00B85493">
        <w:rPr>
          <w:sz w:val="24"/>
          <w:szCs w:val="24"/>
        </w:rPr>
        <w:t xml:space="preserve"> affect the economic and ecological outcomes of offset trading. </w:t>
      </w:r>
      <w:bookmarkStart w:id="2" w:name="_Hlk46214270"/>
      <w:r w:rsidR="00B85493">
        <w:rPr>
          <w:sz w:val="24"/>
          <w:szCs w:val="24"/>
        </w:rPr>
        <w:t>Specifically, we ai</w:t>
      </w:r>
      <w:r w:rsidR="007B73B4">
        <w:rPr>
          <w:sz w:val="24"/>
          <w:szCs w:val="24"/>
        </w:rPr>
        <w:t>m</w:t>
      </w:r>
      <w:r w:rsidR="00B85493">
        <w:rPr>
          <w:sz w:val="24"/>
          <w:szCs w:val="24"/>
        </w:rPr>
        <w:t xml:space="preserve"> to answer</w:t>
      </w:r>
      <w:r w:rsidR="009F0A91">
        <w:rPr>
          <w:sz w:val="24"/>
          <w:szCs w:val="24"/>
        </w:rPr>
        <w:t xml:space="preserve"> the following questions</w:t>
      </w:r>
      <w:r w:rsidR="00B85493">
        <w:rPr>
          <w:sz w:val="24"/>
          <w:szCs w:val="24"/>
        </w:rPr>
        <w:t xml:space="preserve">: </w:t>
      </w:r>
    </w:p>
    <w:p w14:paraId="4CA93489" w14:textId="3707AAE0" w:rsidR="00B85493" w:rsidRDefault="00B85493">
      <w:pPr>
        <w:pStyle w:val="ListParagraph"/>
        <w:numPr>
          <w:ilvl w:val="0"/>
          <w:numId w:val="45"/>
        </w:numPr>
        <w:spacing w:line="480" w:lineRule="auto"/>
        <w:rPr>
          <w:sz w:val="24"/>
          <w:szCs w:val="24"/>
        </w:rPr>
      </w:pPr>
      <w:r>
        <w:rPr>
          <w:sz w:val="24"/>
          <w:szCs w:val="24"/>
        </w:rPr>
        <w:t xml:space="preserve">How does the choice of what to trade </w:t>
      </w:r>
      <w:r w:rsidR="00E2250C">
        <w:rPr>
          <w:sz w:val="24"/>
          <w:szCs w:val="24"/>
        </w:rPr>
        <w:t>a</w:t>
      </w:r>
      <w:r>
        <w:rPr>
          <w:sz w:val="24"/>
          <w:szCs w:val="24"/>
        </w:rPr>
        <w:t xml:space="preserve">ffect </w:t>
      </w:r>
      <w:r w:rsidR="009F0A91">
        <w:rPr>
          <w:sz w:val="24"/>
          <w:szCs w:val="24"/>
        </w:rPr>
        <w:t>the ecological and the economic outcomes of an offset market</w:t>
      </w:r>
      <w:r>
        <w:rPr>
          <w:sz w:val="24"/>
          <w:szCs w:val="24"/>
        </w:rPr>
        <w:t xml:space="preserve">? </w:t>
      </w:r>
    </w:p>
    <w:p w14:paraId="125149E2" w14:textId="15DD6696" w:rsidR="00B85493" w:rsidRDefault="00B85493">
      <w:pPr>
        <w:pStyle w:val="ListParagraph"/>
        <w:numPr>
          <w:ilvl w:val="0"/>
          <w:numId w:val="45"/>
        </w:numPr>
        <w:spacing w:line="480" w:lineRule="auto"/>
        <w:rPr>
          <w:sz w:val="24"/>
          <w:szCs w:val="24"/>
        </w:rPr>
      </w:pPr>
      <w:r>
        <w:rPr>
          <w:sz w:val="24"/>
          <w:szCs w:val="24"/>
        </w:rPr>
        <w:t xml:space="preserve">How does </w:t>
      </w:r>
      <w:r w:rsidR="00764ECA">
        <w:rPr>
          <w:sz w:val="24"/>
          <w:szCs w:val="24"/>
        </w:rPr>
        <w:t>the geographic scale of the market</w:t>
      </w:r>
      <w:r>
        <w:rPr>
          <w:sz w:val="24"/>
          <w:szCs w:val="24"/>
        </w:rPr>
        <w:t xml:space="preserve"> </w:t>
      </w:r>
      <w:r w:rsidR="0022002F">
        <w:rPr>
          <w:sz w:val="24"/>
          <w:szCs w:val="24"/>
        </w:rPr>
        <w:t>a</w:t>
      </w:r>
      <w:r>
        <w:rPr>
          <w:sz w:val="24"/>
          <w:szCs w:val="24"/>
        </w:rPr>
        <w:t>ffect the</w:t>
      </w:r>
      <w:r w:rsidR="009F0A91">
        <w:rPr>
          <w:sz w:val="24"/>
          <w:szCs w:val="24"/>
        </w:rPr>
        <w:t>se outcomes</w:t>
      </w:r>
      <w:r>
        <w:rPr>
          <w:sz w:val="24"/>
          <w:szCs w:val="24"/>
        </w:rPr>
        <w:t xml:space="preserve">? </w:t>
      </w:r>
    </w:p>
    <w:p w14:paraId="62FFDB17" w14:textId="6FBA3BBD" w:rsidR="00B85493" w:rsidRDefault="00B85493">
      <w:pPr>
        <w:spacing w:line="480" w:lineRule="auto"/>
        <w:ind w:firstLine="0"/>
        <w:rPr>
          <w:sz w:val="24"/>
          <w:szCs w:val="24"/>
        </w:rPr>
      </w:pPr>
      <w:bookmarkStart w:id="3" w:name="_Hlk46215103"/>
      <w:bookmarkEnd w:id="0"/>
      <w:bookmarkEnd w:id="1"/>
      <w:bookmarkEnd w:id="2"/>
      <w:r w:rsidRPr="00B85493">
        <w:rPr>
          <w:sz w:val="24"/>
          <w:szCs w:val="24"/>
        </w:rPr>
        <w:lastRenderedPageBreak/>
        <w:t xml:space="preserve">To answer these questions, we first develop a </w:t>
      </w:r>
      <w:r w:rsidR="009F0A91">
        <w:rPr>
          <w:sz w:val="24"/>
          <w:szCs w:val="24"/>
        </w:rPr>
        <w:t>conceptual</w:t>
      </w:r>
      <w:r w:rsidRPr="00B85493">
        <w:rPr>
          <w:sz w:val="24"/>
          <w:szCs w:val="24"/>
        </w:rPr>
        <w:t xml:space="preserve"> model of a biodiversity offset market in the context of </w:t>
      </w:r>
      <w:r w:rsidR="009F0A91">
        <w:rPr>
          <w:sz w:val="24"/>
          <w:szCs w:val="24"/>
        </w:rPr>
        <w:t xml:space="preserve">a </w:t>
      </w:r>
      <w:r w:rsidRPr="00B85493">
        <w:rPr>
          <w:sz w:val="24"/>
          <w:szCs w:val="24"/>
        </w:rPr>
        <w:t>no</w:t>
      </w:r>
      <w:r w:rsidR="000C1A68">
        <w:rPr>
          <w:sz w:val="24"/>
          <w:szCs w:val="24"/>
        </w:rPr>
        <w:t xml:space="preserve"> </w:t>
      </w:r>
      <w:r w:rsidRPr="00B85493">
        <w:rPr>
          <w:sz w:val="24"/>
          <w:szCs w:val="24"/>
        </w:rPr>
        <w:t>net</w:t>
      </w:r>
      <w:r w:rsidR="000C1A68">
        <w:rPr>
          <w:sz w:val="24"/>
          <w:szCs w:val="24"/>
        </w:rPr>
        <w:t xml:space="preserve"> </w:t>
      </w:r>
      <w:r w:rsidRPr="00B85493">
        <w:rPr>
          <w:sz w:val="24"/>
          <w:szCs w:val="24"/>
        </w:rPr>
        <w:t>loss</w:t>
      </w:r>
      <w:r w:rsidR="009F0A91">
        <w:rPr>
          <w:sz w:val="24"/>
          <w:szCs w:val="24"/>
        </w:rPr>
        <w:t xml:space="preserve"> of biodiversity</w:t>
      </w:r>
      <w:r w:rsidRPr="00B85493">
        <w:rPr>
          <w:sz w:val="24"/>
          <w:szCs w:val="24"/>
        </w:rPr>
        <w:t xml:space="preserve"> regulation. </w:t>
      </w:r>
      <w:proofErr w:type="gramStart"/>
      <w:r w:rsidRPr="00B85493">
        <w:rPr>
          <w:sz w:val="24"/>
          <w:szCs w:val="24"/>
        </w:rPr>
        <w:t>Spatially</w:t>
      </w:r>
      <w:r w:rsidR="009F0A91">
        <w:rPr>
          <w:sz w:val="24"/>
          <w:szCs w:val="24"/>
        </w:rPr>
        <w:t>-</w:t>
      </w:r>
      <w:r w:rsidRPr="00B85493">
        <w:rPr>
          <w:sz w:val="24"/>
          <w:szCs w:val="24"/>
        </w:rPr>
        <w:t>explicit</w:t>
      </w:r>
      <w:proofErr w:type="gramEnd"/>
      <w:r w:rsidRPr="00B85493">
        <w:rPr>
          <w:sz w:val="24"/>
          <w:szCs w:val="24"/>
        </w:rPr>
        <w:t xml:space="preserve"> biodiversity offset supply and demand curves are then constructed using integrated ecological-economic modelling</w:t>
      </w:r>
      <w:r w:rsidR="009F0A91">
        <w:rPr>
          <w:sz w:val="24"/>
          <w:szCs w:val="24"/>
        </w:rPr>
        <w:t>, in an application of this conceptual framework</w:t>
      </w:r>
      <w:r w:rsidRPr="00B85493">
        <w:rPr>
          <w:sz w:val="24"/>
          <w:szCs w:val="24"/>
        </w:rPr>
        <w:t xml:space="preserve">. These </w:t>
      </w:r>
      <w:r w:rsidR="009F0A91">
        <w:rPr>
          <w:sz w:val="24"/>
          <w:szCs w:val="24"/>
        </w:rPr>
        <w:t xml:space="preserve">supply and demand </w:t>
      </w:r>
      <w:r w:rsidRPr="00B85493">
        <w:rPr>
          <w:sz w:val="24"/>
          <w:szCs w:val="24"/>
        </w:rPr>
        <w:t>curves capture the spatial variations in the costs of supplying biodiversity offsets</w:t>
      </w:r>
      <w:r w:rsidR="000C1A68">
        <w:rPr>
          <w:sz w:val="24"/>
          <w:szCs w:val="24"/>
        </w:rPr>
        <w:t xml:space="preserve">. This spatial variation </w:t>
      </w:r>
      <w:r w:rsidR="00E44077">
        <w:rPr>
          <w:sz w:val="24"/>
          <w:szCs w:val="24"/>
        </w:rPr>
        <w:t>depend</w:t>
      </w:r>
      <w:r w:rsidR="000C1A68">
        <w:rPr>
          <w:sz w:val="24"/>
          <w:szCs w:val="24"/>
        </w:rPr>
        <w:t>s</w:t>
      </w:r>
      <w:r w:rsidR="00E44077">
        <w:rPr>
          <w:sz w:val="24"/>
          <w:szCs w:val="24"/>
        </w:rPr>
        <w:t xml:space="preserve"> on the relative value of land for agriculture</w:t>
      </w:r>
      <w:r w:rsidRPr="00B85493">
        <w:rPr>
          <w:sz w:val="24"/>
          <w:szCs w:val="24"/>
        </w:rPr>
        <w:t xml:space="preserve"> and </w:t>
      </w:r>
      <w:r w:rsidR="000C1A68">
        <w:rPr>
          <w:sz w:val="24"/>
          <w:szCs w:val="24"/>
        </w:rPr>
        <w:t xml:space="preserve">the </w:t>
      </w:r>
      <w:r w:rsidRPr="00B85493">
        <w:rPr>
          <w:sz w:val="24"/>
          <w:szCs w:val="24"/>
        </w:rPr>
        <w:t>value of new housing developments across the landscape. Through the identification of the market-clearing price for the biodiversity offset, our model can then be used to assess the economic welfare implications of such a market</w:t>
      </w:r>
      <w:r w:rsidR="00E44077">
        <w:rPr>
          <w:sz w:val="24"/>
          <w:szCs w:val="24"/>
        </w:rPr>
        <w:t xml:space="preserve"> in terms of the distribution of </w:t>
      </w:r>
      <w:r w:rsidRPr="00B85493">
        <w:rPr>
          <w:sz w:val="24"/>
          <w:szCs w:val="24"/>
        </w:rPr>
        <w:t xml:space="preserve">benefits </w:t>
      </w:r>
      <w:r w:rsidR="00E44077">
        <w:rPr>
          <w:sz w:val="24"/>
          <w:szCs w:val="24"/>
        </w:rPr>
        <w:t>between sellers and buyers</w:t>
      </w:r>
      <w:r w:rsidRPr="00B85493">
        <w:rPr>
          <w:sz w:val="24"/>
          <w:szCs w:val="24"/>
        </w:rPr>
        <w:t xml:space="preserve">. </w:t>
      </w:r>
      <w:r w:rsidR="00E44077">
        <w:rPr>
          <w:sz w:val="24"/>
          <w:szCs w:val="24"/>
        </w:rPr>
        <w:t>Importantly, w</w:t>
      </w:r>
      <w:r w:rsidRPr="00B85493">
        <w:rPr>
          <w:sz w:val="24"/>
          <w:szCs w:val="24"/>
        </w:rPr>
        <w:t xml:space="preserve">e </w:t>
      </w:r>
      <w:r w:rsidR="00E44077">
        <w:rPr>
          <w:sz w:val="24"/>
          <w:szCs w:val="24"/>
        </w:rPr>
        <w:t xml:space="preserve">are </w:t>
      </w:r>
      <w:r w:rsidRPr="00B85493">
        <w:rPr>
          <w:sz w:val="24"/>
          <w:szCs w:val="24"/>
        </w:rPr>
        <w:t xml:space="preserve">also </w:t>
      </w:r>
      <w:r w:rsidR="00E44077">
        <w:rPr>
          <w:sz w:val="24"/>
          <w:szCs w:val="24"/>
        </w:rPr>
        <w:t xml:space="preserve">able to estimate </w:t>
      </w:r>
      <w:r w:rsidRPr="00B85493">
        <w:rPr>
          <w:sz w:val="24"/>
          <w:szCs w:val="24"/>
        </w:rPr>
        <w:t>the ecological implications of such a market across the landscape to identify where the gains and losses in biodiversity take place</w:t>
      </w:r>
      <w:r w:rsidR="00E44077">
        <w:rPr>
          <w:sz w:val="24"/>
          <w:szCs w:val="24"/>
        </w:rPr>
        <w:t xml:space="preserve"> and to which species</w:t>
      </w:r>
      <w:r w:rsidRPr="00B85493">
        <w:rPr>
          <w:sz w:val="24"/>
          <w:szCs w:val="24"/>
        </w:rPr>
        <w:t>.</w:t>
      </w:r>
      <w:r w:rsidR="00E44077">
        <w:rPr>
          <w:sz w:val="24"/>
          <w:szCs w:val="24"/>
        </w:rPr>
        <w:t xml:space="preserve"> </w:t>
      </w:r>
      <w:bookmarkStart w:id="4" w:name="_Hlk48889577"/>
      <w:r w:rsidRPr="00B85493">
        <w:rPr>
          <w:sz w:val="24"/>
          <w:szCs w:val="24"/>
        </w:rPr>
        <w:t xml:space="preserve">Our </w:t>
      </w:r>
      <w:r w:rsidR="00E44077">
        <w:rPr>
          <w:sz w:val="24"/>
          <w:szCs w:val="24"/>
        </w:rPr>
        <w:t xml:space="preserve">empirical </w:t>
      </w:r>
      <w:r w:rsidRPr="00B85493">
        <w:rPr>
          <w:sz w:val="24"/>
          <w:szCs w:val="24"/>
        </w:rPr>
        <w:t>model captures (</w:t>
      </w:r>
      <w:proofErr w:type="spellStart"/>
      <w:r w:rsidRPr="00B85493">
        <w:rPr>
          <w:sz w:val="24"/>
          <w:szCs w:val="24"/>
        </w:rPr>
        <w:t>i</w:t>
      </w:r>
      <w:proofErr w:type="spellEnd"/>
      <w:r w:rsidRPr="00B85493">
        <w:rPr>
          <w:sz w:val="24"/>
          <w:szCs w:val="24"/>
        </w:rPr>
        <w:t xml:space="preserve">) how the choice </w:t>
      </w:r>
      <w:r w:rsidR="00E44077">
        <w:rPr>
          <w:sz w:val="24"/>
          <w:szCs w:val="24"/>
        </w:rPr>
        <w:t xml:space="preserve">of </w:t>
      </w:r>
      <w:r>
        <w:rPr>
          <w:sz w:val="24"/>
          <w:szCs w:val="24"/>
        </w:rPr>
        <w:t xml:space="preserve">what to trade </w:t>
      </w:r>
      <w:r w:rsidRPr="00B85493">
        <w:rPr>
          <w:sz w:val="24"/>
          <w:szCs w:val="24"/>
        </w:rPr>
        <w:t xml:space="preserve">has significant implications on the scale and distribution of new development, (ii) how the choice </w:t>
      </w:r>
      <w:r>
        <w:rPr>
          <w:sz w:val="24"/>
          <w:szCs w:val="24"/>
        </w:rPr>
        <w:t xml:space="preserve">what to trade </w:t>
      </w:r>
      <w:r w:rsidRPr="00B85493">
        <w:rPr>
          <w:sz w:val="24"/>
          <w:szCs w:val="24"/>
        </w:rPr>
        <w:t xml:space="preserve">has significant impacts on ecological gains and losses of species not </w:t>
      </w:r>
      <w:r>
        <w:rPr>
          <w:sz w:val="24"/>
          <w:szCs w:val="24"/>
        </w:rPr>
        <w:t>protected</w:t>
      </w:r>
      <w:r w:rsidRPr="00B85493">
        <w:rPr>
          <w:sz w:val="24"/>
          <w:szCs w:val="24"/>
        </w:rPr>
        <w:t xml:space="preserve"> under the no net loss regulation and (iii) </w:t>
      </w:r>
      <w:r w:rsidR="00E44077">
        <w:rPr>
          <w:sz w:val="24"/>
          <w:szCs w:val="24"/>
        </w:rPr>
        <w:t xml:space="preserve">the implications of </w:t>
      </w:r>
      <w:r w:rsidRPr="00B85493">
        <w:rPr>
          <w:sz w:val="24"/>
          <w:szCs w:val="24"/>
        </w:rPr>
        <w:t xml:space="preserve">changing the </w:t>
      </w:r>
      <w:r w:rsidR="00764ECA">
        <w:rPr>
          <w:sz w:val="24"/>
          <w:szCs w:val="24"/>
        </w:rPr>
        <w:t>geographic scale o</w:t>
      </w:r>
      <w:r w:rsidRPr="00B85493">
        <w:rPr>
          <w:sz w:val="24"/>
          <w:szCs w:val="24"/>
        </w:rPr>
        <w:t xml:space="preserve">f the market. </w:t>
      </w:r>
    </w:p>
    <w:bookmarkEnd w:id="4"/>
    <w:p w14:paraId="45DCCB62" w14:textId="513ED020" w:rsidR="00B85493" w:rsidRDefault="00B85493">
      <w:pPr>
        <w:spacing w:line="480" w:lineRule="auto"/>
        <w:ind w:firstLine="0"/>
        <w:rPr>
          <w:sz w:val="24"/>
          <w:szCs w:val="24"/>
        </w:rPr>
      </w:pPr>
      <w:r w:rsidRPr="003D75FB">
        <w:rPr>
          <w:sz w:val="24"/>
          <w:szCs w:val="24"/>
        </w:rPr>
        <w:t xml:space="preserve">The remainder of the paper is organised as follows. In the next section, we discuss </w:t>
      </w:r>
      <w:r w:rsidR="00764ECA">
        <w:rPr>
          <w:sz w:val="24"/>
          <w:szCs w:val="24"/>
        </w:rPr>
        <w:t>design</w:t>
      </w:r>
      <w:r w:rsidR="00E44077">
        <w:rPr>
          <w:sz w:val="24"/>
          <w:szCs w:val="24"/>
        </w:rPr>
        <w:t xml:space="preserve"> issues in </w:t>
      </w:r>
      <w:r w:rsidR="00764ECA">
        <w:rPr>
          <w:sz w:val="24"/>
          <w:szCs w:val="24"/>
        </w:rPr>
        <w:t>offset market</w:t>
      </w:r>
      <w:r w:rsidR="00E44077">
        <w:rPr>
          <w:sz w:val="24"/>
          <w:szCs w:val="24"/>
        </w:rPr>
        <w:t>s</w:t>
      </w:r>
      <w:r w:rsidR="00764ECA">
        <w:rPr>
          <w:sz w:val="24"/>
          <w:szCs w:val="24"/>
        </w:rPr>
        <w:t xml:space="preserve"> and the </w:t>
      </w:r>
      <w:r w:rsidRPr="003D75FB">
        <w:rPr>
          <w:sz w:val="24"/>
          <w:szCs w:val="24"/>
        </w:rPr>
        <w:t xml:space="preserve">related </w:t>
      </w:r>
      <w:r w:rsidR="00764ECA">
        <w:rPr>
          <w:sz w:val="24"/>
          <w:szCs w:val="24"/>
        </w:rPr>
        <w:t xml:space="preserve">economic </w:t>
      </w:r>
      <w:r w:rsidRPr="003D75FB">
        <w:rPr>
          <w:sz w:val="24"/>
          <w:szCs w:val="24"/>
        </w:rPr>
        <w:t xml:space="preserve">literature. In Section 3 we develop our </w:t>
      </w:r>
      <w:r w:rsidR="00E44077">
        <w:rPr>
          <w:sz w:val="24"/>
          <w:szCs w:val="24"/>
        </w:rPr>
        <w:t>conceptual</w:t>
      </w:r>
      <w:r w:rsidR="00E44077" w:rsidRPr="003D75FB">
        <w:rPr>
          <w:sz w:val="24"/>
          <w:szCs w:val="24"/>
        </w:rPr>
        <w:t xml:space="preserve"> </w:t>
      </w:r>
      <w:r w:rsidRPr="003D75FB">
        <w:rPr>
          <w:sz w:val="24"/>
          <w:szCs w:val="24"/>
        </w:rPr>
        <w:t>model of biodiversity offset trading. Section 4 details the empirical approach, including an overview of the integrated economic - ecological model, our case study</w:t>
      </w:r>
      <w:r w:rsidR="00E44077">
        <w:rPr>
          <w:sz w:val="24"/>
          <w:szCs w:val="24"/>
        </w:rPr>
        <w:t xml:space="preserve"> area</w:t>
      </w:r>
      <w:r w:rsidRPr="003D75FB">
        <w:rPr>
          <w:sz w:val="24"/>
          <w:szCs w:val="24"/>
        </w:rPr>
        <w:t>, data sources and data development</w:t>
      </w:r>
      <w:r w:rsidR="00E44077">
        <w:rPr>
          <w:sz w:val="24"/>
          <w:szCs w:val="24"/>
        </w:rPr>
        <w:t xml:space="preserve"> (much more detail can be found in the SI accompanying this paper)</w:t>
      </w:r>
      <w:r w:rsidRPr="003D75FB">
        <w:rPr>
          <w:sz w:val="24"/>
          <w:szCs w:val="24"/>
        </w:rPr>
        <w:t xml:space="preserve">. Results are presented in Section 5 and the discussion and conclusion in Sections 6 and 7. </w:t>
      </w:r>
    </w:p>
    <w:p w14:paraId="6DEE1EB2" w14:textId="10ADC8EC" w:rsidR="00B85493" w:rsidRDefault="00B85493" w:rsidP="00B85493">
      <w:pPr>
        <w:pStyle w:val="Heading1"/>
      </w:pPr>
      <w:r>
        <w:t>Background</w:t>
      </w:r>
    </w:p>
    <w:p w14:paraId="7601CF03" w14:textId="332C88D3" w:rsidR="00B85493" w:rsidRPr="00EA2D1E" w:rsidRDefault="00B85493" w:rsidP="001B568E">
      <w:pPr>
        <w:pStyle w:val="Heading2"/>
      </w:pPr>
      <w:r w:rsidRPr="00EA2D1E">
        <w:t>Designing an offset market</w:t>
      </w:r>
    </w:p>
    <w:bookmarkEnd w:id="3"/>
    <w:p w14:paraId="58C17204" w14:textId="52688E46" w:rsidR="00E66423" w:rsidRPr="003D75FB" w:rsidRDefault="00E66423">
      <w:pPr>
        <w:spacing w:line="480" w:lineRule="auto"/>
        <w:ind w:firstLine="0"/>
        <w:rPr>
          <w:sz w:val="24"/>
          <w:szCs w:val="24"/>
        </w:rPr>
      </w:pPr>
      <w:r w:rsidRPr="00A16138">
        <w:rPr>
          <w:sz w:val="24"/>
          <w:szCs w:val="24"/>
        </w:rPr>
        <w:lastRenderedPageBreak/>
        <w:t>Needham et al</w:t>
      </w:r>
      <w:r w:rsidR="001B568E">
        <w:rPr>
          <w:sz w:val="24"/>
          <w:szCs w:val="24"/>
        </w:rPr>
        <w:t>,</w:t>
      </w:r>
      <w:r w:rsidRPr="00A16138">
        <w:rPr>
          <w:sz w:val="24"/>
          <w:szCs w:val="24"/>
        </w:rPr>
        <w:t xml:space="preserve"> </w:t>
      </w:r>
      <w:r w:rsidRPr="003D75FB">
        <w:rPr>
          <w:sz w:val="24"/>
          <w:szCs w:val="24"/>
        </w:rPr>
        <w:t xml:space="preserve">(2019) review experience from pollution permit markets and identify some fundamental parameters that seem relevant for the design of </w:t>
      </w:r>
      <w:r w:rsidR="004102E0">
        <w:rPr>
          <w:sz w:val="24"/>
          <w:szCs w:val="24"/>
        </w:rPr>
        <w:t xml:space="preserve">biodiversity </w:t>
      </w:r>
      <w:r w:rsidRPr="003D75FB">
        <w:rPr>
          <w:sz w:val="24"/>
          <w:szCs w:val="24"/>
        </w:rPr>
        <w:t xml:space="preserve">offset markets. The most </w:t>
      </w:r>
      <w:r w:rsidR="004102E0">
        <w:rPr>
          <w:sz w:val="24"/>
          <w:szCs w:val="24"/>
        </w:rPr>
        <w:t>important</w:t>
      </w:r>
      <w:r w:rsidR="004102E0" w:rsidRPr="003D75FB">
        <w:rPr>
          <w:sz w:val="24"/>
          <w:szCs w:val="24"/>
        </w:rPr>
        <w:t xml:space="preserve"> </w:t>
      </w:r>
      <w:r w:rsidRPr="003D75FB">
        <w:rPr>
          <w:sz w:val="24"/>
          <w:szCs w:val="24"/>
        </w:rPr>
        <w:t>of these from the perspective of the current paper are</w:t>
      </w:r>
      <w:r w:rsidR="00685B4D">
        <w:rPr>
          <w:sz w:val="24"/>
          <w:szCs w:val="24"/>
        </w:rPr>
        <w:t xml:space="preserve"> the following.</w:t>
      </w:r>
      <w:r w:rsidRPr="003D75FB">
        <w:rPr>
          <w:sz w:val="24"/>
          <w:szCs w:val="24"/>
        </w:rPr>
        <w:t xml:space="preserve">  </w:t>
      </w:r>
    </w:p>
    <w:p w14:paraId="103FFC04" w14:textId="6C05111D" w:rsidR="00E66423" w:rsidRPr="003D75FB" w:rsidRDefault="00B85493" w:rsidP="00E66423">
      <w:pPr>
        <w:pStyle w:val="ListParagraph"/>
        <w:numPr>
          <w:ilvl w:val="0"/>
          <w:numId w:val="36"/>
        </w:numPr>
        <w:spacing w:line="480" w:lineRule="auto"/>
        <w:rPr>
          <w:sz w:val="24"/>
          <w:szCs w:val="24"/>
        </w:rPr>
      </w:pPr>
      <w:r>
        <w:rPr>
          <w:sz w:val="24"/>
          <w:szCs w:val="24"/>
        </w:rPr>
        <w:t>What to trade: p</w:t>
      </w:r>
      <w:r w:rsidR="00E66423" w:rsidRPr="003D75FB">
        <w:rPr>
          <w:sz w:val="24"/>
          <w:szCs w:val="24"/>
        </w:rPr>
        <w:t xml:space="preserve">olicy targets and </w:t>
      </w:r>
      <w:r>
        <w:rPr>
          <w:sz w:val="24"/>
          <w:szCs w:val="24"/>
        </w:rPr>
        <w:t xml:space="preserve">ecological </w:t>
      </w:r>
      <w:r w:rsidR="00E66423" w:rsidRPr="003D75FB">
        <w:rPr>
          <w:sz w:val="24"/>
          <w:szCs w:val="24"/>
        </w:rPr>
        <w:t>metrics</w:t>
      </w:r>
    </w:p>
    <w:p w14:paraId="01B3E2E6" w14:textId="4EF58898" w:rsidR="00E66423" w:rsidRPr="003D75FB" w:rsidRDefault="00E66423">
      <w:pPr>
        <w:spacing w:line="480" w:lineRule="auto"/>
        <w:ind w:firstLine="0"/>
        <w:rPr>
          <w:sz w:val="24"/>
          <w:szCs w:val="24"/>
        </w:rPr>
      </w:pPr>
      <w:r w:rsidRPr="003D75FB">
        <w:rPr>
          <w:sz w:val="24"/>
          <w:szCs w:val="24"/>
        </w:rPr>
        <w:t>When establishing a pollution permit-trading scheme, the first stage is for the regulatory agency to determine the cap on overall emissions. While voluntary trading can occur (for example, in the context of carbon offsets and forest planting), imposing a regulatory cap greatly increases the volume of trading. Efficient environmental markets require goods to be grouped into simple, measurable, standardised units in order so that they are fully exchangeable. For biodiversity offsetting, a vague cap dictating “no net loss of biodiversity” leaves room for ambiguity and is difficult to measure and quantify</w:t>
      </w:r>
      <w:r w:rsidR="00764ECA">
        <w:rPr>
          <w:sz w:val="24"/>
          <w:szCs w:val="24"/>
        </w:rPr>
        <w:t xml:space="preserve"> (Bull et al</w:t>
      </w:r>
      <w:r w:rsidR="000346DE">
        <w:rPr>
          <w:sz w:val="24"/>
          <w:szCs w:val="24"/>
        </w:rPr>
        <w:t>,</w:t>
      </w:r>
      <w:r w:rsidR="00764ECA">
        <w:rPr>
          <w:sz w:val="24"/>
          <w:szCs w:val="24"/>
        </w:rPr>
        <w:t xml:space="preserve"> 2013)</w:t>
      </w:r>
      <w:r w:rsidRPr="003D75FB">
        <w:rPr>
          <w:sz w:val="24"/>
          <w:szCs w:val="24"/>
        </w:rPr>
        <w:t xml:space="preserve">. This undermines effective monitoring and enforcement, with the prospect of poor market functioning in terms of lack of both cost-effectiveness and environmental effectiveness. A clear </w:t>
      </w:r>
      <w:r w:rsidRPr="003D75FB">
        <w:rPr>
          <w:i/>
          <w:iCs/>
          <w:sz w:val="24"/>
          <w:szCs w:val="24"/>
        </w:rPr>
        <w:t>metric</w:t>
      </w:r>
      <w:r w:rsidRPr="003D75FB">
        <w:rPr>
          <w:sz w:val="24"/>
          <w:szCs w:val="24"/>
        </w:rPr>
        <w:t xml:space="preserve"> for how offsets </w:t>
      </w:r>
      <w:proofErr w:type="gramStart"/>
      <w:r w:rsidRPr="003D75FB">
        <w:rPr>
          <w:sz w:val="24"/>
          <w:szCs w:val="24"/>
        </w:rPr>
        <w:t>are</w:t>
      </w:r>
      <w:proofErr w:type="gramEnd"/>
      <w:r w:rsidRPr="003D75FB">
        <w:rPr>
          <w:sz w:val="24"/>
          <w:szCs w:val="24"/>
        </w:rPr>
        <w:t xml:space="preserve"> measured is thus required. What exactly this metric should be is much less obvious.</w:t>
      </w:r>
      <w:r w:rsidR="009034B2">
        <w:rPr>
          <w:sz w:val="24"/>
          <w:szCs w:val="24"/>
        </w:rPr>
        <w:t xml:space="preserve"> Our paper compares three candidate metrics, to examine the effects of this choice on market performance.</w:t>
      </w:r>
    </w:p>
    <w:p w14:paraId="6D1442EE" w14:textId="68623D1B" w:rsidR="00E66423" w:rsidRPr="003D75FB" w:rsidRDefault="00E66423" w:rsidP="00E66423">
      <w:pPr>
        <w:pStyle w:val="ListParagraph"/>
        <w:numPr>
          <w:ilvl w:val="0"/>
          <w:numId w:val="36"/>
        </w:numPr>
        <w:spacing w:line="480" w:lineRule="auto"/>
        <w:rPr>
          <w:sz w:val="24"/>
          <w:szCs w:val="24"/>
        </w:rPr>
      </w:pPr>
      <w:r w:rsidRPr="003D75FB">
        <w:rPr>
          <w:sz w:val="24"/>
          <w:szCs w:val="24"/>
        </w:rPr>
        <w:t>The trading ratio</w:t>
      </w:r>
    </w:p>
    <w:p w14:paraId="49B80CCD" w14:textId="7FFED49F" w:rsidR="00764ECA" w:rsidRPr="003D75FB" w:rsidRDefault="00E66423" w:rsidP="000D30EE">
      <w:pPr>
        <w:spacing w:line="480" w:lineRule="auto"/>
        <w:ind w:firstLine="0"/>
        <w:rPr>
          <w:sz w:val="24"/>
          <w:szCs w:val="24"/>
        </w:rPr>
      </w:pPr>
      <w:r w:rsidRPr="003D75FB">
        <w:rPr>
          <w:sz w:val="24"/>
          <w:szCs w:val="24"/>
        </w:rPr>
        <w:t>This governs the rate of exchange between offsets at different points in space (between the supply site and the demand site for any prospective trade). Once the metric for an offset market has been established, trading ratios are then required to determine the ecological rate of exchange between sellers and buyers at different points in space</w:t>
      </w:r>
      <w:r w:rsidR="00764ECA">
        <w:rPr>
          <w:sz w:val="24"/>
          <w:szCs w:val="24"/>
        </w:rPr>
        <w:t xml:space="preserve"> (Bull et al</w:t>
      </w:r>
      <w:r w:rsidR="000346DE">
        <w:rPr>
          <w:sz w:val="24"/>
          <w:szCs w:val="24"/>
        </w:rPr>
        <w:t>,</w:t>
      </w:r>
      <w:r w:rsidR="00764ECA">
        <w:rPr>
          <w:sz w:val="24"/>
          <w:szCs w:val="24"/>
        </w:rPr>
        <w:t xml:space="preserve"> 2017)</w:t>
      </w:r>
      <w:r w:rsidRPr="003D75FB">
        <w:rPr>
          <w:sz w:val="24"/>
          <w:szCs w:val="24"/>
        </w:rPr>
        <w:t xml:space="preserve">. Ideally, such trading ratios need to reflect the many potential sources of ecological heterogeneity implicit in the spatial definition of the credit, and thus the ecological consequences of moving pressures on the biodiversity metric (positive, for offset supply and negative, for offset demand) across </w:t>
      </w:r>
      <w:r w:rsidRPr="003D75FB">
        <w:rPr>
          <w:sz w:val="24"/>
          <w:szCs w:val="24"/>
        </w:rPr>
        <w:lastRenderedPageBreak/>
        <w:t>different locations within the policy area</w:t>
      </w:r>
      <w:r w:rsidR="00764ECA">
        <w:rPr>
          <w:sz w:val="24"/>
          <w:szCs w:val="24"/>
        </w:rPr>
        <w:t xml:space="preserve"> (Maron et al, 2012</w:t>
      </w:r>
      <w:r w:rsidR="000346DE">
        <w:rPr>
          <w:sz w:val="24"/>
          <w:szCs w:val="24"/>
        </w:rPr>
        <w:t>;</w:t>
      </w:r>
      <w:r w:rsidR="00764ECA">
        <w:rPr>
          <w:sz w:val="24"/>
          <w:szCs w:val="24"/>
        </w:rPr>
        <w:t xml:space="preserve"> McKenney </w:t>
      </w:r>
      <w:r w:rsidR="000C1A68">
        <w:rPr>
          <w:sz w:val="24"/>
          <w:szCs w:val="24"/>
        </w:rPr>
        <w:t>and</w:t>
      </w:r>
      <w:r w:rsidR="00764ECA">
        <w:rPr>
          <w:sz w:val="24"/>
          <w:szCs w:val="24"/>
        </w:rPr>
        <w:t xml:space="preserve"> </w:t>
      </w:r>
      <w:proofErr w:type="spellStart"/>
      <w:r w:rsidR="00764ECA">
        <w:rPr>
          <w:sz w:val="24"/>
          <w:szCs w:val="24"/>
        </w:rPr>
        <w:t>Kisecker</w:t>
      </w:r>
      <w:proofErr w:type="spellEnd"/>
      <w:r w:rsidR="00764ECA">
        <w:rPr>
          <w:sz w:val="24"/>
          <w:szCs w:val="24"/>
        </w:rPr>
        <w:t>, 2010).</w:t>
      </w:r>
      <w:r w:rsidR="004102E0">
        <w:rPr>
          <w:sz w:val="24"/>
          <w:szCs w:val="24"/>
        </w:rPr>
        <w:t xml:space="preserve"> The parallel concern in polluting trading has been to try to set trading ratios to prevent local breaches of ambient quality targets even when aggregate emissions fall within the cap (</w:t>
      </w:r>
      <w:r w:rsidR="004102E0" w:rsidRPr="004102E0">
        <w:rPr>
          <w:sz w:val="24"/>
          <w:szCs w:val="24"/>
        </w:rPr>
        <w:t xml:space="preserve">Atkinson and </w:t>
      </w:r>
      <w:proofErr w:type="spellStart"/>
      <w:r w:rsidR="004102E0" w:rsidRPr="004102E0">
        <w:rPr>
          <w:sz w:val="24"/>
          <w:szCs w:val="24"/>
        </w:rPr>
        <w:t>Tietenberg</w:t>
      </w:r>
      <w:proofErr w:type="spellEnd"/>
      <w:r w:rsidR="004102E0" w:rsidRPr="004102E0">
        <w:rPr>
          <w:sz w:val="24"/>
          <w:szCs w:val="24"/>
        </w:rPr>
        <w:t>, 1987</w:t>
      </w:r>
      <w:r w:rsidR="004102E0">
        <w:rPr>
          <w:sz w:val="24"/>
          <w:szCs w:val="24"/>
        </w:rPr>
        <w:t>). The ecological literature has also discussed the role of trading ratios to reflect uncertainty over the ecological benefits generated by actions taken to create the offset, and time lags in how long these ecological benefits take to emerge (</w:t>
      </w:r>
      <w:r w:rsidR="000D30EE">
        <w:rPr>
          <w:sz w:val="24"/>
          <w:szCs w:val="24"/>
        </w:rPr>
        <w:t>Bull et al, 2013). However, in this paper we restrict the role of trading ratios to reflect ecological heterogeneity over space alone.</w:t>
      </w:r>
    </w:p>
    <w:p w14:paraId="0AFA2A4C" w14:textId="5A8779CA" w:rsidR="00E66423" w:rsidRDefault="00E66423" w:rsidP="00E66423">
      <w:pPr>
        <w:pStyle w:val="ListParagraph"/>
        <w:numPr>
          <w:ilvl w:val="0"/>
          <w:numId w:val="36"/>
        </w:numPr>
        <w:spacing w:line="480" w:lineRule="auto"/>
        <w:rPr>
          <w:sz w:val="24"/>
          <w:szCs w:val="24"/>
        </w:rPr>
      </w:pPr>
      <w:r w:rsidRPr="003D75FB">
        <w:rPr>
          <w:sz w:val="24"/>
          <w:szCs w:val="24"/>
        </w:rPr>
        <w:t>Market scale and trading volume</w:t>
      </w:r>
    </w:p>
    <w:p w14:paraId="7F312E64" w14:textId="1062CFED" w:rsidR="00764ECA" w:rsidRDefault="00764ECA">
      <w:pPr>
        <w:spacing w:line="480" w:lineRule="auto"/>
        <w:ind w:firstLine="0"/>
        <w:rPr>
          <w:sz w:val="24"/>
          <w:szCs w:val="24"/>
        </w:rPr>
      </w:pPr>
      <w:r>
        <w:rPr>
          <w:sz w:val="24"/>
          <w:szCs w:val="24"/>
        </w:rPr>
        <w:t xml:space="preserve">Biodiversity offset trading takes place within a regulated </w:t>
      </w:r>
      <w:r w:rsidR="009034B2">
        <w:rPr>
          <w:sz w:val="24"/>
          <w:szCs w:val="24"/>
        </w:rPr>
        <w:t>geographic</w:t>
      </w:r>
      <w:r>
        <w:rPr>
          <w:sz w:val="24"/>
          <w:szCs w:val="24"/>
        </w:rPr>
        <w:t xml:space="preserve"> area. Setting these spatial restrictions </w:t>
      </w:r>
      <w:r w:rsidR="009034B2">
        <w:rPr>
          <w:sz w:val="24"/>
          <w:szCs w:val="24"/>
        </w:rPr>
        <w:t>suggest the possibility of</w:t>
      </w:r>
      <w:r>
        <w:rPr>
          <w:sz w:val="24"/>
          <w:szCs w:val="24"/>
        </w:rPr>
        <w:t xml:space="preserve"> economic and ecological trade-offs (see Womble </w:t>
      </w:r>
      <w:r w:rsidR="000C1A68">
        <w:rPr>
          <w:sz w:val="24"/>
          <w:szCs w:val="24"/>
        </w:rPr>
        <w:t>and</w:t>
      </w:r>
      <w:r>
        <w:rPr>
          <w:sz w:val="24"/>
          <w:szCs w:val="24"/>
        </w:rPr>
        <w:t xml:space="preserve"> Doyle</w:t>
      </w:r>
      <w:r w:rsidR="000346DE">
        <w:rPr>
          <w:sz w:val="24"/>
          <w:szCs w:val="24"/>
        </w:rPr>
        <w:t>,</w:t>
      </w:r>
      <w:r>
        <w:rPr>
          <w:sz w:val="24"/>
          <w:szCs w:val="24"/>
        </w:rPr>
        <w:t xml:space="preserve"> 2012</w:t>
      </w:r>
      <w:r w:rsidR="000346DE">
        <w:rPr>
          <w:sz w:val="24"/>
          <w:szCs w:val="24"/>
        </w:rPr>
        <w:t>;</w:t>
      </w:r>
      <w:r w:rsidR="005048ED">
        <w:rPr>
          <w:sz w:val="24"/>
          <w:szCs w:val="24"/>
        </w:rPr>
        <w:t xml:space="preserve"> Doyle et al, 2014</w:t>
      </w:r>
      <w:r>
        <w:rPr>
          <w:sz w:val="24"/>
          <w:szCs w:val="24"/>
        </w:rPr>
        <w:t xml:space="preserve">). </w:t>
      </w:r>
      <w:r w:rsidRPr="003D75FB">
        <w:rPr>
          <w:sz w:val="24"/>
          <w:szCs w:val="24"/>
        </w:rPr>
        <w:t>The</w:t>
      </w:r>
      <w:r>
        <w:rPr>
          <w:sz w:val="24"/>
          <w:szCs w:val="24"/>
        </w:rPr>
        <w:t>re is an</w:t>
      </w:r>
      <w:r w:rsidRPr="003D75FB">
        <w:rPr>
          <w:sz w:val="24"/>
          <w:szCs w:val="24"/>
        </w:rPr>
        <w:t xml:space="preserve"> implication that l</w:t>
      </w:r>
      <w:r>
        <w:rPr>
          <w:sz w:val="24"/>
          <w:szCs w:val="24"/>
        </w:rPr>
        <w:t xml:space="preserve">arger geographic service areas </w:t>
      </w:r>
      <w:r w:rsidRPr="003D75FB">
        <w:rPr>
          <w:sz w:val="24"/>
          <w:szCs w:val="24"/>
        </w:rPr>
        <w:t xml:space="preserve">would be preferred to smaller </w:t>
      </w:r>
      <w:r>
        <w:rPr>
          <w:sz w:val="24"/>
          <w:szCs w:val="24"/>
        </w:rPr>
        <w:t xml:space="preserve">service areas </w:t>
      </w:r>
      <w:r w:rsidRPr="003D75FB">
        <w:rPr>
          <w:sz w:val="24"/>
          <w:szCs w:val="24"/>
        </w:rPr>
        <w:t>on grounds of economic efficiency</w:t>
      </w:r>
      <w:r w:rsidR="009034B2">
        <w:rPr>
          <w:sz w:val="24"/>
          <w:szCs w:val="24"/>
        </w:rPr>
        <w:t>, since l</w:t>
      </w:r>
      <w:r>
        <w:rPr>
          <w:sz w:val="24"/>
          <w:szCs w:val="24"/>
        </w:rPr>
        <w:t>arger service areas imply more potential agents to trade</w:t>
      </w:r>
      <w:r w:rsidR="009034B2">
        <w:rPr>
          <w:sz w:val="24"/>
          <w:szCs w:val="24"/>
        </w:rPr>
        <w:t>.</w:t>
      </w:r>
      <w:r>
        <w:rPr>
          <w:sz w:val="24"/>
          <w:szCs w:val="24"/>
        </w:rPr>
        <w:t xml:space="preserve"> </w:t>
      </w:r>
      <w:r w:rsidR="009034B2">
        <w:rPr>
          <w:sz w:val="24"/>
          <w:szCs w:val="24"/>
        </w:rPr>
        <w:t>I</w:t>
      </w:r>
      <w:r>
        <w:rPr>
          <w:sz w:val="24"/>
          <w:szCs w:val="24"/>
        </w:rPr>
        <w:t>n contrast</w:t>
      </w:r>
      <w:r w:rsidR="0022002F">
        <w:rPr>
          <w:sz w:val="24"/>
          <w:szCs w:val="24"/>
        </w:rPr>
        <w:t>,</w:t>
      </w:r>
      <w:r>
        <w:rPr>
          <w:sz w:val="24"/>
          <w:szCs w:val="24"/>
        </w:rPr>
        <w:t xml:space="preserve"> smaller service areas imply fewer opportunities to trade. </w:t>
      </w:r>
      <w:r w:rsidR="009034B2">
        <w:rPr>
          <w:sz w:val="24"/>
          <w:szCs w:val="24"/>
        </w:rPr>
        <w:t xml:space="preserve">In the latter case, </w:t>
      </w:r>
      <w:r>
        <w:rPr>
          <w:sz w:val="24"/>
          <w:szCs w:val="24"/>
        </w:rPr>
        <w:t>thin markets</w:t>
      </w:r>
      <w:r w:rsidR="009034B2">
        <w:rPr>
          <w:sz w:val="24"/>
          <w:szCs w:val="24"/>
        </w:rPr>
        <w:t xml:space="preserve"> can</w:t>
      </w:r>
      <w:r>
        <w:rPr>
          <w:sz w:val="24"/>
          <w:szCs w:val="24"/>
        </w:rPr>
        <w:t xml:space="preserve"> lead to erratic price s</w:t>
      </w:r>
      <w:r w:rsidR="00E66423" w:rsidRPr="003D75FB">
        <w:rPr>
          <w:sz w:val="24"/>
          <w:szCs w:val="24"/>
        </w:rPr>
        <w:t xml:space="preserve">ignals </w:t>
      </w:r>
      <w:r>
        <w:rPr>
          <w:sz w:val="24"/>
          <w:szCs w:val="24"/>
        </w:rPr>
        <w:t xml:space="preserve">and may </w:t>
      </w:r>
      <w:r w:rsidR="00E66423" w:rsidRPr="003D75FB">
        <w:rPr>
          <w:sz w:val="24"/>
          <w:szCs w:val="24"/>
        </w:rPr>
        <w:t>increase the uncertainty on investor returns from development and, in turn, increase development costs</w:t>
      </w:r>
      <w:r>
        <w:rPr>
          <w:sz w:val="24"/>
          <w:szCs w:val="24"/>
        </w:rPr>
        <w:t xml:space="preserve"> (Fisher-Vand</w:t>
      </w:r>
      <w:r w:rsidR="000C1A68">
        <w:rPr>
          <w:sz w:val="24"/>
          <w:szCs w:val="24"/>
        </w:rPr>
        <w:t>e</w:t>
      </w:r>
      <w:r>
        <w:rPr>
          <w:sz w:val="24"/>
          <w:szCs w:val="24"/>
        </w:rPr>
        <w:t xml:space="preserve">n </w:t>
      </w:r>
      <w:r w:rsidR="000C1A68">
        <w:rPr>
          <w:sz w:val="24"/>
          <w:szCs w:val="24"/>
        </w:rPr>
        <w:t>and</w:t>
      </w:r>
      <w:r>
        <w:rPr>
          <w:sz w:val="24"/>
          <w:szCs w:val="24"/>
        </w:rPr>
        <w:t xml:space="preserve"> Ol</w:t>
      </w:r>
      <w:r w:rsidR="000C1A68">
        <w:rPr>
          <w:sz w:val="24"/>
          <w:szCs w:val="24"/>
        </w:rPr>
        <w:t>m</w:t>
      </w:r>
      <w:r>
        <w:rPr>
          <w:sz w:val="24"/>
          <w:szCs w:val="24"/>
        </w:rPr>
        <w:t>stead, 2013)</w:t>
      </w:r>
      <w:r w:rsidR="00E66423" w:rsidRPr="003D75FB">
        <w:rPr>
          <w:sz w:val="24"/>
          <w:szCs w:val="24"/>
        </w:rPr>
        <w:t xml:space="preserve">. Higher offset price volatility may also deter potential suppliers from incurring the (opportunity) costs needed to create credits. However, </w:t>
      </w:r>
      <w:r>
        <w:rPr>
          <w:sz w:val="24"/>
          <w:szCs w:val="24"/>
        </w:rPr>
        <w:t xml:space="preserve">larger spatial markets </w:t>
      </w:r>
      <w:r w:rsidRPr="003D75FB">
        <w:rPr>
          <w:sz w:val="24"/>
          <w:szCs w:val="24"/>
        </w:rPr>
        <w:t>imply</w:t>
      </w:r>
      <w:r w:rsidR="00E66423" w:rsidRPr="003D75FB">
        <w:rPr>
          <w:sz w:val="24"/>
          <w:szCs w:val="24"/>
        </w:rPr>
        <w:t xml:space="preserve"> a greater heterogeneity in the biodiversity value of conservation actions at different sites, making it harder to measure and ensure equivalence in ecological gains and losses across space</w:t>
      </w:r>
      <w:r w:rsidRPr="00764ECA">
        <w:rPr>
          <w:rFonts w:hint="eastAsia"/>
        </w:rPr>
        <w:t xml:space="preserve"> </w:t>
      </w:r>
      <w:r>
        <w:t>(</w:t>
      </w:r>
      <w:proofErr w:type="spellStart"/>
      <w:r w:rsidRPr="00764ECA">
        <w:rPr>
          <w:rFonts w:hint="eastAsia"/>
          <w:sz w:val="24"/>
          <w:szCs w:val="24"/>
        </w:rPr>
        <w:t>BenDor</w:t>
      </w:r>
      <w:proofErr w:type="spellEnd"/>
      <w:r w:rsidRPr="00764ECA">
        <w:rPr>
          <w:rFonts w:hint="eastAsia"/>
          <w:sz w:val="24"/>
          <w:szCs w:val="24"/>
        </w:rPr>
        <w:t xml:space="preserve"> </w:t>
      </w:r>
      <w:r w:rsidR="000C1A68">
        <w:rPr>
          <w:sz w:val="24"/>
          <w:szCs w:val="24"/>
        </w:rPr>
        <w:t>and</w:t>
      </w:r>
      <w:r w:rsidRPr="00764ECA">
        <w:rPr>
          <w:rFonts w:hint="eastAsia"/>
          <w:sz w:val="24"/>
          <w:szCs w:val="24"/>
        </w:rPr>
        <w:t xml:space="preserve"> </w:t>
      </w:r>
      <w:proofErr w:type="spellStart"/>
      <w:r w:rsidRPr="00764ECA">
        <w:rPr>
          <w:rFonts w:hint="eastAsia"/>
          <w:sz w:val="24"/>
          <w:szCs w:val="24"/>
        </w:rPr>
        <w:t>Brozovi</w:t>
      </w:r>
      <w:r w:rsidRPr="00764ECA">
        <w:rPr>
          <w:rFonts w:ascii="Cambria" w:hAnsi="Cambria" w:cs="Cambria"/>
          <w:sz w:val="24"/>
          <w:szCs w:val="24"/>
        </w:rPr>
        <w:t>ć</w:t>
      </w:r>
      <w:proofErr w:type="spellEnd"/>
      <w:r w:rsidRPr="00764ECA">
        <w:rPr>
          <w:rFonts w:hint="eastAsia"/>
          <w:sz w:val="24"/>
          <w:szCs w:val="24"/>
        </w:rPr>
        <w:t>, 2007</w:t>
      </w:r>
      <w:r>
        <w:rPr>
          <w:sz w:val="24"/>
          <w:szCs w:val="24"/>
        </w:rPr>
        <w:t>)</w:t>
      </w:r>
      <w:r w:rsidR="00E66423" w:rsidRPr="003D75FB">
        <w:rPr>
          <w:sz w:val="24"/>
          <w:szCs w:val="24"/>
        </w:rPr>
        <w:t xml:space="preserve">. </w:t>
      </w:r>
    </w:p>
    <w:p w14:paraId="3A35673F" w14:textId="6D7D9C8A" w:rsidR="00E66423" w:rsidRDefault="00764ECA">
      <w:pPr>
        <w:spacing w:line="480" w:lineRule="auto"/>
        <w:ind w:firstLine="0"/>
        <w:rPr>
          <w:sz w:val="24"/>
          <w:szCs w:val="24"/>
        </w:rPr>
      </w:pPr>
      <w:r>
        <w:rPr>
          <w:sz w:val="24"/>
          <w:szCs w:val="24"/>
        </w:rPr>
        <w:t>In the design of biodiversity offset markets</w:t>
      </w:r>
      <w:r w:rsidR="0022002F">
        <w:rPr>
          <w:sz w:val="24"/>
          <w:szCs w:val="24"/>
        </w:rPr>
        <w:t>,</w:t>
      </w:r>
      <w:r>
        <w:rPr>
          <w:sz w:val="24"/>
          <w:szCs w:val="24"/>
        </w:rPr>
        <w:t xml:space="preserve"> </w:t>
      </w:r>
      <w:r w:rsidR="00E66423" w:rsidRPr="003D75FB">
        <w:rPr>
          <w:sz w:val="24"/>
          <w:szCs w:val="24"/>
        </w:rPr>
        <w:t xml:space="preserve">there will likely be a case-specific optimal trade-off between having a larger spatial scale which increases participation, and a smaller spatial scale which makes the determination of ecological equivalence easier to model and control for </w:t>
      </w:r>
      <w:r w:rsidR="00E66423" w:rsidRPr="003D75FB">
        <w:rPr>
          <w:sz w:val="24"/>
          <w:szCs w:val="24"/>
        </w:rPr>
        <w:lastRenderedPageBreak/>
        <w:t>via trading ratios. Moreover, ensuring transactions costs of trading are kept as low as possible seems likely to be important.</w:t>
      </w:r>
      <w:r w:rsidR="009034B2">
        <w:rPr>
          <w:sz w:val="24"/>
          <w:szCs w:val="24"/>
        </w:rPr>
        <w:t xml:space="preserve"> In our paper, we thus explore the effects of changing the size of the market on economic and ecological performance.</w:t>
      </w:r>
    </w:p>
    <w:p w14:paraId="23EBEABE" w14:textId="1DFE7C7E" w:rsidR="00DF085E" w:rsidRDefault="00DF085E">
      <w:pPr>
        <w:spacing w:line="480" w:lineRule="auto"/>
        <w:ind w:firstLine="0"/>
        <w:rPr>
          <w:sz w:val="24"/>
          <w:szCs w:val="24"/>
        </w:rPr>
      </w:pPr>
      <w:r w:rsidRPr="003D75FB">
        <w:rPr>
          <w:sz w:val="24"/>
          <w:szCs w:val="24"/>
        </w:rPr>
        <w:fldChar w:fldCharType="begin" w:fldLock="1"/>
      </w:r>
      <w:r w:rsidRPr="003D75FB">
        <w:rPr>
          <w:sz w:val="24"/>
          <w:szCs w:val="24"/>
        </w:rPr>
        <w:instrText>ADDIN CSL_CITATION {"citationItems":[{"id":"ITEM-1","itemData":{"DOI":"10.1023/A:1008225021746","ISSN":"09246460","abstract":"This paper offers the first economic analysis of wetlands mitigation banks. The banks are a new alternative for restoration of wetlands by developers before receiving regulatory approval for future development of wetlands in the same watershed. A stochastic optimal control model is developed which incorporates ecological uncertainty of wetlands restoration. The model helps in examining the decisions of how much to invest in a wetlands mitigation bank. The model is calibrated with data from California bioeconomic parameters. Numerical simulation of the model provides a sensitivity analysis of how model parameters of restoration costs, stochastic biological growth, interest rate, and the market value of credits affect the trajectory of investment and the optimal stopping state of wetlands quality when the investment ends. The analysis reveals that restoration of the whole site will occur when there is a reduction in restoration costs, an increase in biological uncertainty or an increase in the value of wetlands credits. Continued restoration is harder to justify with a higher interest rate.","author":[{"dropping-particle":"","family":"Fernandez","given":"Linda","non-dropping-particle":"","parse-names":false,"suffix":""},{"dropping-particle":"","family":"Karp","given":"Larry","non-dropping-particle":"","parse-names":false,"suffix":""}],"container-title":"Environmental and Resource Economics","id":"ITEM-1","issue":"3","issued":{"date-parts":[["1998","10"]]},"page":"323-344","title":"Restoring wetlands through wetlands mitigation banks","type":"article-journal","volume":"12"},"uris":["http://www.mendeley.com/documents/?uuid=69ab657d-008f-3f53-9d2d-27540dda45d3"]}],"mendeley":{"formattedCitation":"(Fernandez and Karp 1998)","manualFormatting":"Fernandez and Karp (1998)","plainTextFormattedCitation":"(Fernandez and Karp 1998)","previouslyFormattedCitation":"(Fernandez and Karp 1998)"},"properties":{"noteIndex":0},"schema":"https://github.com/citation-style-language/schema/raw/master/csl-citation.json"}</w:instrText>
      </w:r>
      <w:r w:rsidRPr="003D75FB">
        <w:rPr>
          <w:sz w:val="24"/>
          <w:szCs w:val="24"/>
        </w:rPr>
        <w:fldChar w:fldCharType="separate"/>
      </w:r>
      <w:r w:rsidRPr="003D75FB">
        <w:rPr>
          <w:noProof/>
          <w:sz w:val="24"/>
          <w:szCs w:val="24"/>
        </w:rPr>
        <w:t>Fernandez and Karp (1998)</w:t>
      </w:r>
      <w:r w:rsidRPr="003D75FB">
        <w:rPr>
          <w:sz w:val="24"/>
          <w:szCs w:val="24"/>
        </w:rPr>
        <w:fldChar w:fldCharType="end"/>
      </w:r>
      <w:r w:rsidRPr="003D75FB">
        <w:rPr>
          <w:sz w:val="24"/>
          <w:szCs w:val="24"/>
        </w:rPr>
        <w:t xml:space="preserve"> provided one of the first economic analyses of wetland banking, focussing on the optimal level of investment in wetland mitigation banking in the USA. Using an ecological-economic model they considered how restoration costs, restoration potential and the market value of offset credits determine how much a landowner should invest in a wetlands bank. Following ecological expectations, the authors found that as restoration costs reduce, it </w:t>
      </w:r>
      <w:r w:rsidR="00021D2A">
        <w:rPr>
          <w:sz w:val="24"/>
          <w:szCs w:val="24"/>
        </w:rPr>
        <w:t>was</w:t>
      </w:r>
      <w:r w:rsidRPr="003D75FB">
        <w:rPr>
          <w:sz w:val="24"/>
          <w:szCs w:val="24"/>
        </w:rPr>
        <w:t xml:space="preserve"> more likely a landowner </w:t>
      </w:r>
      <w:r w:rsidR="00021D2A">
        <w:rPr>
          <w:sz w:val="24"/>
          <w:szCs w:val="24"/>
        </w:rPr>
        <w:t>would</w:t>
      </w:r>
      <w:r w:rsidRPr="003D75FB">
        <w:rPr>
          <w:sz w:val="24"/>
          <w:szCs w:val="24"/>
        </w:rPr>
        <w:t xml:space="preserve"> restore his whole land parcel. </w:t>
      </w:r>
      <w:r w:rsidR="00021D2A">
        <w:rPr>
          <w:sz w:val="24"/>
          <w:szCs w:val="24"/>
        </w:rPr>
        <w:t xml:space="preserve">Furthermore, increasing ecological uncertainty leads to higher credit prices. </w:t>
      </w:r>
      <w:r w:rsidRPr="003D75FB">
        <w:rPr>
          <w:sz w:val="24"/>
          <w:szCs w:val="24"/>
        </w:rPr>
        <w:fldChar w:fldCharType="begin" w:fldLock="1"/>
      </w:r>
      <w:r w:rsidRPr="003D75FB">
        <w:rPr>
          <w:sz w:val="24"/>
          <w:szCs w:val="24"/>
        </w:rPr>
        <w:instrText>ADDIN CSL_CITATION {"citationItems":[{"id":"ITEM-1","itemData":{"DOI":"10.2139/ssrn.457330","abstract":"I model the impact of mitigation banking accompanied by Safe Harbor provisions on a land-owner's choices about supporting a population of an endangered species. The Safe Harbor provision is equivalent to a free call option on a population with market value, and mitigation banking can allow a land-owner with an endangered species to arbitrage between land without and with permission to develop. A land-owner whose land is not zoned for development may therefore stand to benefit from the discovery of an endangered species on his land.","author":[{"dropping-particle":"","family":"Heal","given":"Geoffrey M.","non-dropping-particle":"","parse-names":false,"suffix":""}],"container-title":"SSRN Electronic Journal","id":"ITEM-1","issued":{"date-parts":[["2005","11","2"]]},"publisher":"Elsevier BV","title":"Arbitrage, Options and Endangered Species","type":"article-journal"},"uris":["http://www.mendeley.com/documents/?uuid=6948691c-db7b-38e6-bfbe-0072f4672ecb"]}],"mendeley":{"formattedCitation":"(Heal 2005)","manualFormatting":"Heal (2005)","plainTextFormattedCitation":"(Heal 2005)","previouslyFormattedCitation":"(Heal 2005)"},"properties":{"noteIndex":0},"schema":"https://github.com/citation-style-language/schema/raw/master/csl-citation.json"}</w:instrText>
      </w:r>
      <w:r w:rsidRPr="003D75FB">
        <w:rPr>
          <w:sz w:val="24"/>
          <w:szCs w:val="24"/>
        </w:rPr>
        <w:fldChar w:fldCharType="separate"/>
      </w:r>
      <w:r w:rsidRPr="003D75FB">
        <w:rPr>
          <w:noProof/>
          <w:sz w:val="24"/>
          <w:szCs w:val="24"/>
        </w:rPr>
        <w:t>Heal (2005)</w:t>
      </w:r>
      <w:r w:rsidRPr="003D75FB">
        <w:rPr>
          <w:sz w:val="24"/>
          <w:szCs w:val="24"/>
        </w:rPr>
        <w:fldChar w:fldCharType="end"/>
      </w:r>
      <w:r w:rsidRPr="003D75FB">
        <w:rPr>
          <w:sz w:val="24"/>
          <w:szCs w:val="24"/>
        </w:rPr>
        <w:t xml:space="preserve"> compared </w:t>
      </w:r>
      <w:r w:rsidR="00913BF0">
        <w:rPr>
          <w:sz w:val="24"/>
          <w:szCs w:val="24"/>
        </w:rPr>
        <w:t>a</w:t>
      </w:r>
      <w:r w:rsidR="00913BF0" w:rsidRPr="003D75FB">
        <w:rPr>
          <w:sz w:val="24"/>
          <w:szCs w:val="24"/>
        </w:rPr>
        <w:t xml:space="preserve"> </w:t>
      </w:r>
      <w:r w:rsidRPr="003D75FB">
        <w:rPr>
          <w:sz w:val="24"/>
          <w:szCs w:val="24"/>
        </w:rPr>
        <w:t>habitat</w:t>
      </w:r>
      <w:r w:rsidR="001C64C7">
        <w:rPr>
          <w:sz w:val="24"/>
          <w:szCs w:val="24"/>
        </w:rPr>
        <w:t>-</w:t>
      </w:r>
      <w:r w:rsidRPr="003D75FB">
        <w:rPr>
          <w:sz w:val="24"/>
          <w:szCs w:val="24"/>
        </w:rPr>
        <w:t xml:space="preserve">hectares </w:t>
      </w:r>
      <w:r w:rsidR="00913BF0">
        <w:rPr>
          <w:sz w:val="24"/>
          <w:szCs w:val="24"/>
        </w:rPr>
        <w:t xml:space="preserve">offset </w:t>
      </w:r>
      <w:r w:rsidRPr="003D75FB">
        <w:rPr>
          <w:sz w:val="24"/>
          <w:szCs w:val="24"/>
        </w:rPr>
        <w:t xml:space="preserve">approach with species banking to protect the red-cockaded </w:t>
      </w:r>
      <w:proofErr w:type="gramStart"/>
      <w:r w:rsidRPr="003D75FB">
        <w:rPr>
          <w:sz w:val="24"/>
          <w:szCs w:val="24"/>
        </w:rPr>
        <w:t>woodpecker</w:t>
      </w:r>
      <w:r w:rsidR="00913BF0">
        <w:rPr>
          <w:sz w:val="24"/>
          <w:szCs w:val="24"/>
        </w:rPr>
        <w:t>,</w:t>
      </w:r>
      <w:r w:rsidRPr="003D75FB">
        <w:rPr>
          <w:sz w:val="24"/>
          <w:szCs w:val="24"/>
        </w:rPr>
        <w:t xml:space="preserve"> and</w:t>
      </w:r>
      <w:proofErr w:type="gramEnd"/>
      <w:r w:rsidRPr="003D75FB">
        <w:rPr>
          <w:sz w:val="24"/>
          <w:szCs w:val="24"/>
        </w:rPr>
        <w:t xml:space="preserve"> found that more restrictive definitions of the ecological metric increase the price of a credit. Furthermore, choosing the incorrect ecological metric nullifies the ecological benefits of the trading system. </w:t>
      </w:r>
    </w:p>
    <w:p w14:paraId="2C992FA0" w14:textId="59C05267" w:rsidR="00DF085E" w:rsidRPr="003D75FB" w:rsidRDefault="00DF085E" w:rsidP="00021D2A">
      <w:pPr>
        <w:spacing w:line="480" w:lineRule="auto"/>
        <w:ind w:firstLine="0"/>
        <w:rPr>
          <w:sz w:val="24"/>
          <w:szCs w:val="24"/>
        </w:rPr>
      </w:pPr>
      <w:r w:rsidRPr="003D75FB">
        <w:rPr>
          <w:sz w:val="24"/>
          <w:szCs w:val="24"/>
        </w:rPr>
        <w:t xml:space="preserve">Other modelling approaches have focused on the impact of time lags </w:t>
      </w:r>
      <w:r w:rsidR="00021D2A">
        <w:rPr>
          <w:sz w:val="24"/>
          <w:szCs w:val="24"/>
        </w:rPr>
        <w:t xml:space="preserve">in restoring habitats and the subsequent impact on species. </w:t>
      </w:r>
      <w:r w:rsidRPr="003D75FB">
        <w:rPr>
          <w:sz w:val="24"/>
          <w:szCs w:val="24"/>
        </w:rPr>
        <w:t xml:space="preserve">Time lags have been shown to increase the restoration costs </w:t>
      </w:r>
      <w:r w:rsidR="00021D2A">
        <w:rPr>
          <w:sz w:val="24"/>
          <w:szCs w:val="24"/>
        </w:rPr>
        <w:t xml:space="preserve">for biodiversity offsets and lead to </w:t>
      </w:r>
      <w:r w:rsidRPr="003D75FB">
        <w:rPr>
          <w:sz w:val="24"/>
          <w:szCs w:val="24"/>
        </w:rPr>
        <w:t xml:space="preserve">greater fluctuations in credit supply prices </w:t>
      </w:r>
      <w:r w:rsidRPr="003D75FB">
        <w:rPr>
          <w:sz w:val="24"/>
          <w:szCs w:val="24"/>
        </w:rPr>
        <w:fldChar w:fldCharType="begin" w:fldLock="1"/>
      </w:r>
      <w:r w:rsidRPr="003D75FB">
        <w:rPr>
          <w:sz w:val="24"/>
          <w:szCs w:val="24"/>
        </w:rPr>
        <w:instrText>ADDIN CSL_CITATION {"citationItems":[{"id":"ITEM-1","itemData":{"DOI":"10.1016/j.ecolecon.2010.10.004","ISSN":"09218009","abstract":"Tradable permits are a common environmental policy instrument that has recently been applied also to the conservation of biodiversity. Biodiversity conservation differs in many respects to the classical applications of tradable permits like emissions control. One particularity is that, even if the permit system maintains a constant total amount of species habitat, habitat turnover (the destruction of a habitat and restoration elsewhere) affects the ecosystem. Another particularity is that the restoration of habitats often takes much time, leading to time lags between the initiation of restoration activities and the time when restored habitat is available for trading. We use an agent-based model of a tradable permit market to study the influence of heterogeneous and dynamic conservation costs and habitat restoration time lags on key variables of the market, such as the costs incurred to the market participants and the amount of habitat turnover. Our results show that there may be trade-offs between these key variables. We also find that restoration time lags can lead to fluctuations in permit prices that reduce the efficiency of the permit market. We conclude that temporal lags deserve a careful analysis when implementing tradable permit systems for the preservation of natural habitats and biodiversity. © 2010 Elsevier B.V.","author":[{"dropping-particle":"","family":"Drechsler","given":"Martin","non-dropping-particle":"","parse-names":false,"suffix":""},{"dropping-particle":"","family":"Hartig","given":"Florian","non-dropping-particle":"","parse-names":false,"suffix":""}],"container-title":"Ecological Economics","id":"ITEM-1","issue":"3","issued":{"date-parts":[["2011","1","15"]]},"page":"533-541","publisher":"Elsevier","title":"Conserving biodiversity with tradable permits under changing conservation costs and habitat restoration time lags","type":"article-journal","volume":"70"},"uris":["http://www.mendeley.com/documents/?uuid=0006285f-7c8a-358d-b488-3df839ad1138"]}],"mendeley":{"formattedCitation":"(Drechsler and Hartig 2011)","plainTextFormattedCitation":"(Drechsler and Hartig 2011)","previouslyFormattedCitation":"(Drechsler and Hartig 2011)"},"properties":{"noteIndex":0},"schema":"https://github.com/citation-style-language/schema/raw/master/csl-citation.json"}</w:instrText>
      </w:r>
      <w:r w:rsidRPr="003D75FB">
        <w:rPr>
          <w:sz w:val="24"/>
          <w:szCs w:val="24"/>
        </w:rPr>
        <w:fldChar w:fldCharType="separate"/>
      </w:r>
      <w:r w:rsidRPr="003D75FB">
        <w:rPr>
          <w:noProof/>
          <w:sz w:val="24"/>
          <w:szCs w:val="24"/>
        </w:rPr>
        <w:t>(Drechsler and Hartig 2011)</w:t>
      </w:r>
      <w:r w:rsidRPr="003D75FB">
        <w:rPr>
          <w:sz w:val="24"/>
          <w:szCs w:val="24"/>
        </w:rPr>
        <w:fldChar w:fldCharType="end"/>
      </w:r>
      <w:r w:rsidRPr="003D75FB">
        <w:rPr>
          <w:sz w:val="24"/>
          <w:szCs w:val="24"/>
        </w:rPr>
        <w:t xml:space="preserve">. Solutions to </w:t>
      </w:r>
      <w:r w:rsidR="00021D2A">
        <w:rPr>
          <w:sz w:val="24"/>
          <w:szCs w:val="24"/>
        </w:rPr>
        <w:t xml:space="preserve">include developing a “credit release schedule” </w:t>
      </w:r>
      <w:r w:rsidR="00021D2A" w:rsidRPr="003D75FB">
        <w:rPr>
          <w:sz w:val="24"/>
          <w:szCs w:val="24"/>
        </w:rPr>
        <w:t>to foster investment into offset sites</w:t>
      </w:r>
      <w:r w:rsidR="00021D2A">
        <w:rPr>
          <w:sz w:val="24"/>
          <w:szCs w:val="24"/>
        </w:rPr>
        <w:t xml:space="preserve">. The credit release schedule needs to balance releasing </w:t>
      </w:r>
      <w:r w:rsidRPr="003D75FB">
        <w:rPr>
          <w:sz w:val="24"/>
          <w:szCs w:val="24"/>
        </w:rPr>
        <w:t xml:space="preserve">enough “early release credits” (credits which have not yet reached the full restoration potential) and not over releasing credits which leads to a future net-loss in habitats and species </w:t>
      </w:r>
      <w:r w:rsidRPr="003D75FB">
        <w:rPr>
          <w:sz w:val="24"/>
          <w:szCs w:val="24"/>
        </w:rPr>
        <w:fldChar w:fldCharType="begin" w:fldLock="1"/>
      </w:r>
      <w:r w:rsidRPr="003D75FB">
        <w:rPr>
          <w:sz w:val="24"/>
          <w:szCs w:val="24"/>
        </w:rPr>
        <w:instrText>ADDIN CSL_CITATION {"citationItems":[{"id":"ITEM-1","itemData":{"DOI":"10.1007/s00267-013-0219-1","ISSN":"14321009","abstract":"Ecosystem service markets are popular policy tools for ecosystem protection. Advanced credit releases are an important factor affecting the supply side of ecosystem markets. Under an advanced credit release policy, regulators give ecosystem suppliers a fraction of the total ecosystem credits generated by a restoration project before it is verified that the project actually achieves the required ecological thresholds. In spite of their prominent role in ecosystem markets, there is virtually no regulatory or research literature on the proper design of advanced credit release policies. Using U.S. aquatic ecosystem markets as an example, we develop a principal-agent model of the behavior of regulators and wetland/stream mitigation bankers to determine and explore the optimal degree of advance credit release. The model highlights the tension between regulators' desire to induce market participation, while at the same time ensuring that bankers successfully complete ecological restoration. Our findings suggest several simple guidelines for strengthening advanced credit release policy. © Springer Science+Business Media 2013.","author":[{"dropping-particle":"","family":"BenDor","given":"Todd K.","non-dropping-particle":"","parse-names":false,"suffix":""},{"dropping-particle":"","family":"Guo","given":"Tianshu","non-dropping-particle":"","parse-names":false,"suffix":""},{"dropping-particle":"","family":"Yates","given":"Andrew J.","non-dropping-particle":"","parse-names":false,"suffix":""}],"container-title":"Environmental Management","id":"ITEM-1","issue":"3","issued":{"date-parts":[["2014"]]},"page":"496-509","publisher":"Springer New York LLC","title":"Optimal advanced credit releases in ecosystem service markets","type":"article-journal","volume":"53"},"uris":["http://www.mendeley.com/documents/?uuid=6e8c8725-45b8-3864-b277-dcd7f26b8d54"]}],"mendeley":{"formattedCitation":"(BenDor, Guo, and Yates 2014)","plainTextFormattedCitation":"(BenDor, Guo, and Yates 2014)","previouslyFormattedCitation":"(BenDor, Guo, and Yates 2014)"},"properties":{"noteIndex":0},"schema":"https://github.com/citation-style-language/schema/raw/master/csl-citation.json"}</w:instrText>
      </w:r>
      <w:r w:rsidRPr="003D75FB">
        <w:rPr>
          <w:sz w:val="24"/>
          <w:szCs w:val="24"/>
        </w:rPr>
        <w:fldChar w:fldCharType="separate"/>
      </w:r>
      <w:r w:rsidRPr="003D75FB">
        <w:rPr>
          <w:noProof/>
          <w:sz w:val="24"/>
          <w:szCs w:val="24"/>
        </w:rPr>
        <w:t>(BenDor, Guo, and Yates 2014)</w:t>
      </w:r>
      <w:r w:rsidRPr="003D75FB">
        <w:rPr>
          <w:sz w:val="24"/>
          <w:szCs w:val="24"/>
        </w:rPr>
        <w:fldChar w:fldCharType="end"/>
      </w:r>
      <w:r w:rsidRPr="003D75FB">
        <w:rPr>
          <w:sz w:val="24"/>
          <w:szCs w:val="24"/>
        </w:rPr>
        <w:t xml:space="preserve">. </w:t>
      </w:r>
    </w:p>
    <w:p w14:paraId="3571F78C" w14:textId="31FD2BFC" w:rsidR="00021D2A" w:rsidRDefault="00DF085E">
      <w:pPr>
        <w:spacing w:line="480" w:lineRule="auto"/>
        <w:ind w:firstLine="0"/>
        <w:rPr>
          <w:sz w:val="24"/>
          <w:szCs w:val="24"/>
        </w:rPr>
      </w:pPr>
      <w:r w:rsidRPr="003D75FB">
        <w:rPr>
          <w:sz w:val="24"/>
          <w:szCs w:val="24"/>
        </w:rPr>
        <w:t xml:space="preserve">Implications of the trading ratio on market functioning have also been a key theme within the economics literature. Bonds and </w:t>
      </w:r>
      <w:proofErr w:type="spellStart"/>
      <w:r w:rsidRPr="003D75FB">
        <w:rPr>
          <w:sz w:val="24"/>
          <w:szCs w:val="24"/>
        </w:rPr>
        <w:t>Pompe</w:t>
      </w:r>
      <w:proofErr w:type="spellEnd"/>
      <w:r w:rsidRPr="003D75FB">
        <w:rPr>
          <w:sz w:val="24"/>
          <w:szCs w:val="24"/>
        </w:rPr>
        <w:t xml:space="preserve"> (2003) provide one of the first economic analyses for calculating </w:t>
      </w:r>
      <w:r w:rsidR="00021D2A">
        <w:rPr>
          <w:sz w:val="24"/>
          <w:szCs w:val="24"/>
        </w:rPr>
        <w:t>a t</w:t>
      </w:r>
      <w:r w:rsidRPr="003D75FB">
        <w:rPr>
          <w:sz w:val="24"/>
          <w:szCs w:val="24"/>
        </w:rPr>
        <w:t>rading ratio t</w:t>
      </w:r>
      <w:r w:rsidR="00021D2A">
        <w:rPr>
          <w:sz w:val="24"/>
          <w:szCs w:val="24"/>
        </w:rPr>
        <w:t>hat</w:t>
      </w:r>
      <w:r w:rsidRPr="003D75FB">
        <w:rPr>
          <w:sz w:val="24"/>
          <w:szCs w:val="24"/>
        </w:rPr>
        <w:t xml:space="preserve"> adjust</w:t>
      </w:r>
      <w:r w:rsidR="0022002F">
        <w:rPr>
          <w:sz w:val="24"/>
          <w:szCs w:val="24"/>
        </w:rPr>
        <w:t>s</w:t>
      </w:r>
      <w:r w:rsidRPr="003D75FB">
        <w:rPr>
          <w:sz w:val="24"/>
          <w:szCs w:val="24"/>
        </w:rPr>
        <w:t xml:space="preserve"> for the functionality and location of wetland</w:t>
      </w:r>
      <w:r w:rsidR="00021D2A">
        <w:rPr>
          <w:sz w:val="24"/>
          <w:szCs w:val="24"/>
        </w:rPr>
        <w:t>s</w:t>
      </w:r>
      <w:r w:rsidRPr="003D75FB">
        <w:rPr>
          <w:sz w:val="24"/>
          <w:szCs w:val="24"/>
        </w:rPr>
        <w:t xml:space="preserve">. Further work has been undertaken in the ecological literature by </w:t>
      </w:r>
      <w:r w:rsidRPr="003D75FB">
        <w:rPr>
          <w:sz w:val="24"/>
          <w:szCs w:val="24"/>
        </w:rPr>
        <w:fldChar w:fldCharType="begin"/>
      </w:r>
      <w:r w:rsidRPr="003D75FB">
        <w:rPr>
          <w:sz w:val="24"/>
          <w:szCs w:val="24"/>
        </w:rPr>
        <w:instrText>ADDIN RW.CITE{{2437 Bruggeman,D.J. 2005; 1873 Moilanen,Atte 2009; 2507 BenDor, Todd 2009; 1338 Laitila,Jussi 2014; 1343 Bull,J.W. 2014}}</w:instrText>
      </w:r>
      <w:r w:rsidRPr="003D75FB">
        <w:rPr>
          <w:sz w:val="24"/>
          <w:szCs w:val="24"/>
        </w:rPr>
        <w:fldChar w:fldCharType="separate"/>
      </w:r>
      <w:r w:rsidRPr="003D75FB">
        <w:rPr>
          <w:sz w:val="24"/>
          <w:szCs w:val="24"/>
        </w:rPr>
        <w:t>BenDor et al</w:t>
      </w:r>
      <w:r w:rsidR="001B568E">
        <w:rPr>
          <w:sz w:val="24"/>
          <w:szCs w:val="24"/>
        </w:rPr>
        <w:t>,</w:t>
      </w:r>
      <w:r w:rsidRPr="003D75FB">
        <w:rPr>
          <w:sz w:val="24"/>
          <w:szCs w:val="24"/>
        </w:rPr>
        <w:t xml:space="preserve"> (2009)</w:t>
      </w:r>
      <w:r w:rsidR="000346DE">
        <w:rPr>
          <w:sz w:val="24"/>
          <w:szCs w:val="24"/>
        </w:rPr>
        <w:t>;</w:t>
      </w:r>
      <w:r w:rsidRPr="003D75FB">
        <w:rPr>
          <w:sz w:val="24"/>
          <w:szCs w:val="24"/>
        </w:rPr>
        <w:t xml:space="preserve"> Bruggeman et </w:t>
      </w:r>
      <w:r w:rsidRPr="003D75FB">
        <w:rPr>
          <w:sz w:val="24"/>
          <w:szCs w:val="24"/>
        </w:rPr>
        <w:lastRenderedPageBreak/>
        <w:t>al</w:t>
      </w:r>
      <w:r w:rsidR="001B568E">
        <w:rPr>
          <w:sz w:val="24"/>
          <w:szCs w:val="24"/>
        </w:rPr>
        <w:t>,</w:t>
      </w:r>
      <w:r w:rsidRPr="003D75FB">
        <w:rPr>
          <w:sz w:val="24"/>
          <w:szCs w:val="24"/>
        </w:rPr>
        <w:t xml:space="preserve"> (2005)</w:t>
      </w:r>
      <w:r w:rsidR="000346DE">
        <w:rPr>
          <w:sz w:val="24"/>
          <w:szCs w:val="24"/>
        </w:rPr>
        <w:t>;</w:t>
      </w:r>
      <w:r w:rsidRPr="003D75FB">
        <w:rPr>
          <w:sz w:val="24"/>
          <w:szCs w:val="24"/>
        </w:rPr>
        <w:t xml:space="preserve"> Bull et al</w:t>
      </w:r>
      <w:r w:rsidR="001B568E">
        <w:rPr>
          <w:sz w:val="24"/>
          <w:szCs w:val="24"/>
        </w:rPr>
        <w:t>,</w:t>
      </w:r>
      <w:r w:rsidRPr="003D75FB">
        <w:rPr>
          <w:sz w:val="24"/>
          <w:szCs w:val="24"/>
        </w:rPr>
        <w:t xml:space="preserve"> (2014)</w:t>
      </w:r>
      <w:r w:rsidR="000346DE">
        <w:rPr>
          <w:sz w:val="24"/>
          <w:szCs w:val="24"/>
        </w:rPr>
        <w:t>;</w:t>
      </w:r>
      <w:r w:rsidRPr="003D75FB">
        <w:rPr>
          <w:sz w:val="24"/>
          <w:szCs w:val="24"/>
        </w:rPr>
        <w:t xml:space="preserve"> </w:t>
      </w:r>
      <w:proofErr w:type="spellStart"/>
      <w:r w:rsidRPr="003D75FB">
        <w:rPr>
          <w:sz w:val="24"/>
          <w:szCs w:val="24"/>
        </w:rPr>
        <w:t>Laitila</w:t>
      </w:r>
      <w:proofErr w:type="spellEnd"/>
      <w:r w:rsidRPr="003D75FB">
        <w:rPr>
          <w:sz w:val="24"/>
          <w:szCs w:val="24"/>
        </w:rPr>
        <w:t xml:space="preserve"> et al</w:t>
      </w:r>
      <w:r w:rsidR="001B568E">
        <w:rPr>
          <w:sz w:val="24"/>
          <w:szCs w:val="24"/>
        </w:rPr>
        <w:t>,</w:t>
      </w:r>
      <w:r w:rsidRPr="003D75FB">
        <w:rPr>
          <w:sz w:val="24"/>
          <w:szCs w:val="24"/>
        </w:rPr>
        <w:t xml:space="preserve"> (2014)</w:t>
      </w:r>
      <w:r w:rsidR="001B568E">
        <w:rPr>
          <w:sz w:val="24"/>
          <w:szCs w:val="24"/>
        </w:rPr>
        <w:t xml:space="preserve">; </w:t>
      </w:r>
      <w:proofErr w:type="spellStart"/>
      <w:r w:rsidRPr="003D75FB">
        <w:rPr>
          <w:sz w:val="24"/>
          <w:szCs w:val="24"/>
        </w:rPr>
        <w:t>Moilanen</w:t>
      </w:r>
      <w:proofErr w:type="spellEnd"/>
      <w:r w:rsidRPr="003D75FB">
        <w:rPr>
          <w:sz w:val="24"/>
          <w:szCs w:val="24"/>
        </w:rPr>
        <w:t xml:space="preserve"> et al</w:t>
      </w:r>
      <w:r w:rsidR="001B568E">
        <w:rPr>
          <w:sz w:val="24"/>
          <w:szCs w:val="24"/>
        </w:rPr>
        <w:t>,</w:t>
      </w:r>
      <w:r w:rsidRPr="003D75FB">
        <w:rPr>
          <w:sz w:val="24"/>
          <w:szCs w:val="24"/>
        </w:rPr>
        <w:t xml:space="preserve"> (2009)</w:t>
      </w:r>
      <w:r w:rsidRPr="003D75FB">
        <w:rPr>
          <w:sz w:val="24"/>
          <w:szCs w:val="24"/>
        </w:rPr>
        <w:fldChar w:fldCharType="end"/>
      </w:r>
      <w:r w:rsidRPr="003D75FB">
        <w:rPr>
          <w:sz w:val="24"/>
          <w:szCs w:val="24"/>
        </w:rPr>
        <w:t xml:space="preserve">. Further research has concentrated on linking economic and ecological models to examine whether offset markets offer </w:t>
      </w:r>
      <w:r w:rsidR="005048ED">
        <w:rPr>
          <w:sz w:val="24"/>
          <w:szCs w:val="24"/>
        </w:rPr>
        <w:t xml:space="preserve">new </w:t>
      </w:r>
      <w:r w:rsidRPr="003D75FB">
        <w:rPr>
          <w:sz w:val="24"/>
          <w:szCs w:val="24"/>
        </w:rPr>
        <w:t xml:space="preserve">opportunities for biodiversity conservation. </w:t>
      </w:r>
      <w:bookmarkStart w:id="5" w:name="_Hlk33091722"/>
      <w:bookmarkStart w:id="6" w:name="_Hlk32929104"/>
      <w:r w:rsidRPr="003D75FB">
        <w:rPr>
          <w:sz w:val="24"/>
          <w:szCs w:val="24"/>
        </w:rPr>
        <w:fldChar w:fldCharType="begin" w:fldLock="1"/>
      </w:r>
      <w:r w:rsidRPr="003D75FB">
        <w:rPr>
          <w:sz w:val="24"/>
          <w:szCs w:val="24"/>
        </w:rPr>
        <w:instrText>ADDIN CSL_CITATION {"citationItems":[{"id":"ITEM-1","itemData":{"DOI":"10.1016/j.ecolecon.2009.10.006","ISSN":"09218009","abstract":"We analyze interactions between economics and ecology for ecosystem service markets under no-net-loss regulation. Previous studies of no-net-loss regulation address the ecological efficacy and valuation of restoration but largely ignore the effects of market dynamics. We link an economic model of free-entry equilibria with an ecological model that includes returns to scale and inefficiency of restored ecosystems and apply the result to stream mitigation banking in North Carolina. Intuition from ecology alone must be modified to account for economic processes, and vice versa. To implement no-net-loss regulation, one must not only account for ecological differences between restored and natural ecosystems, but also consider the effect of market entry on the number and size of restoration projects. In a purely economic model, free-entry equilibria are characterized by excess entry: the equilibrium number of firms is greater than the welfare maximizing number. Ecological considerations may exacerbate or ameliorate this, so that either excess entry or insufficient entry may occur, depending on the specific ecosystem services sought. © 2009 Elsevier B.V. All rights reserved.","author":[{"dropping-particle":"","family":"Doyle","given":"Martin W.","non-dropping-particle":"","parse-names":false,"suffix":""},{"dropping-particle":"","family":"Yates","given":"Andrew J.","non-dropping-particle":"","parse-names":false,"suffix":""}],"container-title":"Ecological Economics","id":"ITEM-1","issue":"4","issued":{"date-parts":[["2010","2","15"]]},"page":"820-827","publisher":"Elsevier","title":"Stream ecosystem service markets under no-net-loss regulation","type":"article-journal","volume":"69"},"uris":["http://www.mendeley.com/documents/?uuid=3c335326-c66b-33db-85be-956ac2ca9c22"]}],"mendeley":{"formattedCitation":"(Doyle and Yates 2010)","manualFormatting":"Doyle and Yates (2010)","plainTextFormattedCitation":"(Doyle and Yates 2010)","previouslyFormattedCitation":"(Doyle and Yates 2010)"},"properties":{"noteIndex":0},"schema":"https://github.com/citation-style-language/schema/raw/master/csl-citation.json"}</w:instrText>
      </w:r>
      <w:r w:rsidRPr="003D75FB">
        <w:rPr>
          <w:sz w:val="24"/>
          <w:szCs w:val="24"/>
        </w:rPr>
        <w:fldChar w:fldCharType="separate"/>
      </w:r>
      <w:r w:rsidRPr="003D75FB">
        <w:rPr>
          <w:noProof/>
          <w:sz w:val="24"/>
          <w:szCs w:val="24"/>
        </w:rPr>
        <w:t>Doyle and Yates (2010)</w:t>
      </w:r>
      <w:r w:rsidRPr="003D75FB">
        <w:rPr>
          <w:sz w:val="24"/>
          <w:szCs w:val="24"/>
        </w:rPr>
        <w:fldChar w:fldCharType="end"/>
      </w:r>
      <w:r w:rsidRPr="003D75FB">
        <w:rPr>
          <w:sz w:val="24"/>
          <w:szCs w:val="24"/>
        </w:rPr>
        <w:fldChar w:fldCharType="begin"/>
      </w:r>
      <w:r w:rsidRPr="003D75FB">
        <w:rPr>
          <w:sz w:val="24"/>
          <w:szCs w:val="24"/>
        </w:rPr>
        <w:instrText>ADDIN RW.CITE{{2394 Doyle,Martin W. 2010}}</w:instrText>
      </w:r>
      <w:r w:rsidRPr="003D75FB">
        <w:rPr>
          <w:sz w:val="24"/>
          <w:szCs w:val="24"/>
        </w:rPr>
        <w:fldChar w:fldCharType="end"/>
      </w:r>
      <w:r w:rsidRPr="003D75FB">
        <w:rPr>
          <w:sz w:val="24"/>
          <w:szCs w:val="24"/>
        </w:rPr>
        <w:t xml:space="preserve"> provide an economic-ecological model of ecosystem service markets following a no net loss principle. A focal point in their analysis is the scale of the market by assessing how (free) entry of mitigators (i.e., suppliers of offset credits) affects ecosystem restoration. Their results indicate that</w:t>
      </w:r>
      <w:r w:rsidR="00F64830">
        <w:rPr>
          <w:sz w:val="24"/>
          <w:szCs w:val="24"/>
        </w:rPr>
        <w:t>,</w:t>
      </w:r>
      <w:r w:rsidRPr="003D75FB">
        <w:rPr>
          <w:sz w:val="24"/>
          <w:szCs w:val="24"/>
        </w:rPr>
        <w:t xml:space="preserve"> as additional suppliers enter the market, the size of an individual restoration project decreases but the total amount of mitigation increases, thus increasing credit supply. Their results also indicate that using a single metric to capture ecosystem functioning will result in loss of some ecosystem functions, stressing the need to further understand the relationship between restoration and multiple ecosystem service functions. </w:t>
      </w:r>
      <w:bookmarkEnd w:id="5"/>
    </w:p>
    <w:p w14:paraId="190EC3BD" w14:textId="36CF5B4F" w:rsidR="00DF085E" w:rsidRDefault="00DF085E" w:rsidP="00DF085E">
      <w:pPr>
        <w:spacing w:line="480" w:lineRule="auto"/>
        <w:ind w:firstLine="0"/>
        <w:rPr>
          <w:color w:val="000000" w:themeColor="text1"/>
          <w:sz w:val="24"/>
          <w:szCs w:val="24"/>
        </w:rPr>
      </w:pPr>
      <w:r w:rsidRPr="003D75FB">
        <w:rPr>
          <w:color w:val="000000" w:themeColor="text1"/>
          <w:sz w:val="24"/>
          <w:szCs w:val="24"/>
        </w:rPr>
        <w:t>Most recently</w:t>
      </w:r>
      <w:r w:rsidR="00F64830">
        <w:rPr>
          <w:color w:val="000000" w:themeColor="text1"/>
          <w:sz w:val="24"/>
          <w:szCs w:val="24"/>
        </w:rPr>
        <w:t>,</w:t>
      </w:r>
      <w:r w:rsidRPr="003D75FB">
        <w:rPr>
          <w:color w:val="000000" w:themeColor="text1"/>
          <w:sz w:val="24"/>
          <w:szCs w:val="24"/>
        </w:rPr>
        <w:t xml:space="preserve"> </w:t>
      </w:r>
      <w:r w:rsidRPr="003D75FB">
        <w:rPr>
          <w:color w:val="000000" w:themeColor="text1"/>
          <w:sz w:val="24"/>
          <w:szCs w:val="24"/>
        </w:rPr>
        <w:fldChar w:fldCharType="begin" w:fldLock="1"/>
      </w:r>
      <w:r w:rsidRPr="003D75FB">
        <w:rPr>
          <w:color w:val="000000" w:themeColor="text1"/>
          <w:sz w:val="24"/>
          <w:szCs w:val="24"/>
        </w:rPr>
        <w:instrText>ADDIN CSL_CITATION {"citationItems":[{"id":"ITEM-1","itemData":{"DOI":"10.1016/j.ecolecon.2019.01.003","ISSN":"09218009","abstract":"Biodiversity is decreasing at an alarming rate. Current policies focus on the most valuable species and habitats but cannot stop the degradation occurring in less valuable habitats. One solution is offsetting the loss of biodiversity caused by development projects. The basic idea of biodiversity offsetting is simple: a developer must provide an improvement in biodiversity so that the lost ecological value is compensated for. A banking mechanism for offsetting entails a third party providing offsets for developers to purchase, and thus, an offset market emerges. We develop an equilibrium model to analyse the offset markets and apply the model to the Finnish economy and three selected boreal habitats. We examine how the market depends on trading ratios, the presence of an intermediary and the realization of risks associated with uncertainty. An intermediary can facilitate the market participants meeting each other with minimal transaction costs and safeguard against risks. The results show that the size of the offset markets could potentially be quite considerable and providing offsets could be a profitable business for landowners in Finland. The outcome of the restoration investment and a possible time delay between biodiversity losses and gains impact the trading ratios and thus, have a major impact on the market equilibrium. An intermediary may significantly decrease the costs of compensation for developers, provided that it can provide mature offsets when needed.","author":[{"dropping-particle":"","family":"Kangas","given":"Johanna","non-dropping-particle":"","parse-names":false,"suffix":""},{"dropping-particle":"","family":"Ollikainen","given":"Markku","non-dropping-particle":"","parse-names":false,"suffix":""}],"container-title":"Ecological Economics","id":"ITEM-1","issued":{"date-parts":[["2019","5","1"]]},"page":"54-67","publisher":"Elsevier B.V.","title":"Economic Insights in Ecological Compensations: Market Analysis With an Empirical Application to the Finnish Economy","type":"article-journal","volume":"159"},"uris":["http://www.mendeley.com/documents/?uuid=07321714-7f1b-3d4b-93dc-1da220b4d743"]}],"mendeley":{"formattedCitation":"(Kangas and Ollikainen 2019)","manualFormatting":"Kangas and Ollikainen (2019)","plainTextFormattedCitation":"(Kangas and Ollikainen 2019)","previouslyFormattedCitation":"(Kangas and Ollikainen 2019)"},"properties":{"noteIndex":0},"schema":"https://github.com/citation-style-language/schema/raw/master/csl-citation.json"}</w:instrText>
      </w:r>
      <w:r w:rsidRPr="003D75FB">
        <w:rPr>
          <w:color w:val="000000" w:themeColor="text1"/>
          <w:sz w:val="24"/>
          <w:szCs w:val="24"/>
        </w:rPr>
        <w:fldChar w:fldCharType="separate"/>
      </w:r>
      <w:r w:rsidRPr="003D75FB">
        <w:rPr>
          <w:noProof/>
          <w:color w:val="000000" w:themeColor="text1"/>
          <w:sz w:val="24"/>
          <w:szCs w:val="24"/>
        </w:rPr>
        <w:t>Kangas and Ollikainen (2019)</w:t>
      </w:r>
      <w:r w:rsidRPr="003D75FB">
        <w:rPr>
          <w:color w:val="000000" w:themeColor="text1"/>
          <w:sz w:val="24"/>
          <w:szCs w:val="24"/>
        </w:rPr>
        <w:fldChar w:fldCharType="end"/>
      </w:r>
      <w:r w:rsidRPr="003D75FB">
        <w:rPr>
          <w:color w:val="000000" w:themeColor="text1"/>
          <w:sz w:val="24"/>
          <w:szCs w:val="24"/>
        </w:rPr>
        <w:t xml:space="preserve"> develop a model to analyse a market for biodiversity offsets </w:t>
      </w:r>
      <w:r w:rsidR="00F64830">
        <w:rPr>
          <w:color w:val="000000" w:themeColor="text1"/>
          <w:sz w:val="24"/>
          <w:szCs w:val="24"/>
        </w:rPr>
        <w:t xml:space="preserve">in Finland </w:t>
      </w:r>
      <w:r w:rsidRPr="003D75FB">
        <w:rPr>
          <w:color w:val="000000" w:themeColor="text1"/>
          <w:sz w:val="24"/>
          <w:szCs w:val="24"/>
        </w:rPr>
        <w:t xml:space="preserve">with a focus on </w:t>
      </w:r>
      <w:r w:rsidR="005048ED">
        <w:rPr>
          <w:color w:val="000000" w:themeColor="text1"/>
          <w:sz w:val="24"/>
          <w:szCs w:val="24"/>
        </w:rPr>
        <w:t xml:space="preserve">the </w:t>
      </w:r>
      <w:r w:rsidRPr="003D75FB">
        <w:rPr>
          <w:color w:val="000000" w:themeColor="text1"/>
          <w:sz w:val="24"/>
          <w:szCs w:val="24"/>
        </w:rPr>
        <w:t xml:space="preserve">restoration potential of three habitats: wetlands, forests and agricultural habitats. Credits are developed as a result of restoration measures which would not have otherwise occurred, and restoration potential is assessed based on expert assessments and the literature. Demand is based on predictions for future land use change. The model considers how market equilibrium adjusts in response to trading ratios, the focus habitat for restoration, and uncertainties associated with restoration outcomes. Results showed that all three of these aspects impacted the market equilibrium price in theoretically anticipated ways: offset prices were higher when restoration actions were more costly and uncertainty high. </w:t>
      </w:r>
    </w:p>
    <w:p w14:paraId="6677D724" w14:textId="5E9701CE" w:rsidR="00DF085E" w:rsidRPr="00A9658C" w:rsidRDefault="00DF085E" w:rsidP="00446FE2">
      <w:pPr>
        <w:spacing w:line="480" w:lineRule="auto"/>
        <w:ind w:firstLine="0"/>
        <w:rPr>
          <w:color w:val="000000" w:themeColor="text1"/>
          <w:sz w:val="24"/>
          <w:szCs w:val="24"/>
        </w:rPr>
      </w:pPr>
      <w:r w:rsidRPr="003D75FB">
        <w:rPr>
          <w:color w:val="000000" w:themeColor="text1"/>
          <w:sz w:val="24"/>
          <w:szCs w:val="24"/>
        </w:rPr>
        <w:t xml:space="preserve">Building from the above literature, our research uses an integrated ecological-economic modelling approach to explore first theoretically, and then empirically (for a specified </w:t>
      </w:r>
      <w:r w:rsidR="00A9658C">
        <w:rPr>
          <w:color w:val="000000" w:themeColor="text1"/>
          <w:sz w:val="24"/>
          <w:szCs w:val="24"/>
        </w:rPr>
        <w:t xml:space="preserve">UK </w:t>
      </w:r>
      <w:r w:rsidRPr="003D75FB">
        <w:rPr>
          <w:color w:val="000000" w:themeColor="text1"/>
          <w:sz w:val="24"/>
          <w:szCs w:val="24"/>
        </w:rPr>
        <w:t>case study), the impact</w:t>
      </w:r>
      <w:r w:rsidR="00446FE2">
        <w:rPr>
          <w:color w:val="000000" w:themeColor="text1"/>
          <w:sz w:val="24"/>
          <w:szCs w:val="24"/>
        </w:rPr>
        <w:t xml:space="preserve"> </w:t>
      </w:r>
      <w:r w:rsidRPr="003D75FB">
        <w:rPr>
          <w:color w:val="000000" w:themeColor="text1"/>
          <w:sz w:val="24"/>
          <w:szCs w:val="24"/>
        </w:rPr>
        <w:t xml:space="preserve">of two design parameters on equilibrium </w:t>
      </w:r>
      <w:r w:rsidR="00A9658C">
        <w:rPr>
          <w:color w:val="000000" w:themeColor="text1"/>
          <w:sz w:val="24"/>
          <w:szCs w:val="24"/>
        </w:rPr>
        <w:t>price for biodiversity offset credits</w:t>
      </w:r>
      <w:r w:rsidRPr="003D75FB">
        <w:rPr>
          <w:color w:val="000000" w:themeColor="text1"/>
          <w:sz w:val="24"/>
          <w:szCs w:val="24"/>
        </w:rPr>
        <w:t xml:space="preserve">. </w:t>
      </w:r>
      <w:bookmarkStart w:id="7" w:name="_Hlk46215172"/>
      <w:r w:rsidR="00A9658C">
        <w:rPr>
          <w:color w:val="000000" w:themeColor="text1"/>
          <w:sz w:val="24"/>
          <w:szCs w:val="24"/>
        </w:rPr>
        <w:lastRenderedPageBreak/>
        <w:t>W</w:t>
      </w:r>
      <w:r w:rsidRPr="003D75FB">
        <w:rPr>
          <w:sz w:val="24"/>
          <w:szCs w:val="24"/>
        </w:rPr>
        <w:t xml:space="preserve">e contrast economic and ecological market outcomes under varying species-specific ecological policy targets and </w:t>
      </w:r>
      <w:r w:rsidR="00446FE2">
        <w:rPr>
          <w:sz w:val="24"/>
          <w:szCs w:val="24"/>
        </w:rPr>
        <w:t>different geographical trading regions</w:t>
      </w:r>
      <w:r w:rsidRPr="003D75FB">
        <w:rPr>
          <w:sz w:val="24"/>
          <w:szCs w:val="24"/>
        </w:rPr>
        <w:t>. In addition, our model</w:t>
      </w:r>
      <w:r w:rsidR="008A0983">
        <w:rPr>
          <w:sz w:val="24"/>
          <w:szCs w:val="24"/>
        </w:rPr>
        <w:t xml:space="preserve"> </w:t>
      </w:r>
      <w:r w:rsidRPr="003D75FB">
        <w:rPr>
          <w:sz w:val="24"/>
          <w:szCs w:val="24"/>
        </w:rPr>
        <w:t xml:space="preserve">allows us to assess how land-use and specific species distribution and abundance shift within the case study region as a result of offset trading. </w:t>
      </w:r>
      <w:bookmarkEnd w:id="6"/>
    </w:p>
    <w:bookmarkEnd w:id="7"/>
    <w:p w14:paraId="3BF06A05" w14:textId="5B1CC708" w:rsidR="00674562" w:rsidRPr="003D75FB" w:rsidRDefault="00A931CD" w:rsidP="003D75FB">
      <w:pPr>
        <w:pStyle w:val="Heading1"/>
        <w:spacing w:line="480" w:lineRule="auto"/>
      </w:pPr>
      <w:r>
        <w:t>A</w:t>
      </w:r>
      <w:r w:rsidR="00674562" w:rsidRPr="003D75FB">
        <w:t xml:space="preserve"> </w:t>
      </w:r>
      <w:r w:rsidR="007071B5">
        <w:t>Conceptual</w:t>
      </w:r>
      <w:r w:rsidR="00674562" w:rsidRPr="003D75FB">
        <w:t xml:space="preserve"> Model of </w:t>
      </w:r>
      <w:r w:rsidR="007071B5">
        <w:t xml:space="preserve">Biodiversity </w:t>
      </w:r>
      <w:r w:rsidR="00674562" w:rsidRPr="003D75FB">
        <w:t xml:space="preserve">Offset Trading </w:t>
      </w:r>
    </w:p>
    <w:p w14:paraId="1D0E3D53" w14:textId="77777777" w:rsidR="008A0983" w:rsidRDefault="008A0983" w:rsidP="008A0983">
      <w:pPr>
        <w:spacing w:line="480" w:lineRule="auto"/>
        <w:ind w:firstLine="0"/>
        <w:rPr>
          <w:sz w:val="24"/>
          <w:szCs w:val="24"/>
        </w:rPr>
      </w:pPr>
      <w:r>
        <w:rPr>
          <w:sz w:val="24"/>
          <w:szCs w:val="24"/>
        </w:rPr>
        <w:t xml:space="preserve">Consider a region where land can be divided into </w:t>
      </w:r>
      <w:bookmarkStart w:id="8" w:name="_Hlk45878851"/>
      <w:r>
        <w:rPr>
          <w:sz w:val="24"/>
          <w:szCs w:val="24"/>
        </w:rPr>
        <w:t xml:space="preserve">three possible uses, which are mutually </w:t>
      </w:r>
      <w:bookmarkEnd w:id="8"/>
      <w:r>
        <w:rPr>
          <w:sz w:val="24"/>
          <w:szCs w:val="24"/>
        </w:rPr>
        <w:t xml:space="preserve">exclusive at any point in time: agriculture, development for new housing, and conservation. Within such a setting, it is assumed that there are a </w:t>
      </w:r>
      <m:oMath>
        <m:r>
          <w:rPr>
            <w:rFonts w:ascii="Cambria Math" w:hAnsi="Cambria Math"/>
            <w:sz w:val="24"/>
            <w:szCs w:val="24"/>
          </w:rPr>
          <m:t>n</m:t>
        </m:r>
      </m:oMath>
      <w:r>
        <w:rPr>
          <w:sz w:val="24"/>
          <w:szCs w:val="24"/>
        </w:rPr>
        <w:t xml:space="preserve"> number of farmers who own the land and </w:t>
      </w:r>
      <m:oMath>
        <m:r>
          <w:rPr>
            <w:rFonts w:ascii="Cambria Math" w:hAnsi="Cambria Math"/>
            <w:sz w:val="24"/>
            <w:szCs w:val="24"/>
          </w:rPr>
          <m:t>m</m:t>
        </m:r>
      </m:oMath>
      <w:r>
        <w:rPr>
          <w:sz w:val="24"/>
          <w:szCs w:val="24"/>
        </w:rPr>
        <w:t xml:space="preserve"> developers who wish to acquire land for housing development. We further assume that both the farmers and developers are price-takers in their respective output markets as well as the market for offsets, i.e., no individual in either group has market power.</w:t>
      </w:r>
    </w:p>
    <w:p w14:paraId="7574F7B0" w14:textId="06B60960" w:rsidR="0097317A" w:rsidRDefault="00674562" w:rsidP="002E0177">
      <w:pPr>
        <w:spacing w:line="480" w:lineRule="auto"/>
        <w:ind w:firstLine="0"/>
        <w:rPr>
          <w:sz w:val="24"/>
          <w:szCs w:val="24"/>
        </w:rPr>
      </w:pPr>
      <w:r w:rsidRPr="003D75FB">
        <w:rPr>
          <w:sz w:val="24"/>
          <w:szCs w:val="24"/>
        </w:rPr>
        <w:t>Farmers’ default land use is assumed to be for agricultural purposes</w:t>
      </w:r>
      <w:r w:rsidR="007F7681" w:rsidRPr="003D75FB">
        <w:rPr>
          <w:sz w:val="24"/>
          <w:szCs w:val="24"/>
        </w:rPr>
        <w:t xml:space="preserve"> in the form</w:t>
      </w:r>
      <w:r w:rsidRPr="003D75FB">
        <w:rPr>
          <w:sz w:val="24"/>
          <w:szCs w:val="24"/>
        </w:rPr>
        <w:t xml:space="preserve"> </w:t>
      </w:r>
      <w:r w:rsidR="007F7681" w:rsidRPr="003D75FB">
        <w:rPr>
          <w:sz w:val="24"/>
          <w:szCs w:val="24"/>
        </w:rPr>
        <w:t xml:space="preserve">of </w:t>
      </w:r>
      <w:r w:rsidRPr="003D75FB">
        <w:rPr>
          <w:sz w:val="24"/>
          <w:szCs w:val="24"/>
        </w:rPr>
        <w:t xml:space="preserve">crop </w:t>
      </w:r>
      <w:r w:rsidR="0050425B" w:rsidRPr="003D75FB">
        <w:rPr>
          <w:sz w:val="24"/>
          <w:szCs w:val="24"/>
        </w:rPr>
        <w:t xml:space="preserve">or livestock </w:t>
      </w:r>
      <w:r w:rsidRPr="003D75FB">
        <w:rPr>
          <w:sz w:val="24"/>
          <w:szCs w:val="24"/>
        </w:rPr>
        <w:t xml:space="preserve">production. However, farmers can offer up some of their land for conservation, where conservation land </w:t>
      </w:r>
      <w:r w:rsidR="0050425B" w:rsidRPr="003D75FB">
        <w:rPr>
          <w:sz w:val="24"/>
          <w:szCs w:val="24"/>
        </w:rPr>
        <w:t>(</w:t>
      </w:r>
      <w:r w:rsidR="00424A1D" w:rsidRPr="003D75FB">
        <w:rPr>
          <w:sz w:val="24"/>
          <w:szCs w:val="24"/>
        </w:rPr>
        <w:t>newly created</w:t>
      </w:r>
      <w:r w:rsidR="0050425B" w:rsidRPr="003D75FB">
        <w:rPr>
          <w:sz w:val="24"/>
          <w:szCs w:val="24"/>
        </w:rPr>
        <w:t xml:space="preserve"> </w:t>
      </w:r>
      <w:r w:rsidR="00A35759" w:rsidRPr="003D75FB">
        <w:rPr>
          <w:sz w:val="24"/>
          <w:szCs w:val="24"/>
        </w:rPr>
        <w:t xml:space="preserve">wildlife </w:t>
      </w:r>
      <w:r w:rsidR="00B629B2" w:rsidRPr="003D75FB">
        <w:rPr>
          <w:sz w:val="24"/>
          <w:szCs w:val="24"/>
        </w:rPr>
        <w:t>habitat</w:t>
      </w:r>
      <w:r w:rsidR="0050425B" w:rsidRPr="003D75FB">
        <w:rPr>
          <w:sz w:val="24"/>
          <w:szCs w:val="24"/>
        </w:rPr>
        <w:t xml:space="preserve">, for instance) earns offset credits depending on the </w:t>
      </w:r>
      <w:r w:rsidR="00A35759" w:rsidRPr="003D75FB">
        <w:rPr>
          <w:sz w:val="24"/>
          <w:szCs w:val="24"/>
        </w:rPr>
        <w:t xml:space="preserve">biodiversity </w:t>
      </w:r>
      <w:r w:rsidR="0050425B" w:rsidRPr="003D75FB">
        <w:rPr>
          <w:sz w:val="24"/>
          <w:szCs w:val="24"/>
        </w:rPr>
        <w:t>metric used</w:t>
      </w:r>
      <w:r w:rsidRPr="003D75FB">
        <w:rPr>
          <w:sz w:val="24"/>
          <w:szCs w:val="24"/>
        </w:rPr>
        <w:t xml:space="preserve">. </w:t>
      </w:r>
      <w:r w:rsidR="0050425B" w:rsidRPr="003D75FB">
        <w:rPr>
          <w:sz w:val="24"/>
          <w:szCs w:val="24"/>
        </w:rPr>
        <w:t>T</w:t>
      </w:r>
      <w:r w:rsidRPr="003D75FB">
        <w:rPr>
          <w:sz w:val="24"/>
          <w:szCs w:val="24"/>
        </w:rPr>
        <w:t xml:space="preserve">he farmer’s optimization problem entails maximizing the profits derived from </w:t>
      </w:r>
      <w:r w:rsidR="00B629B2" w:rsidRPr="003D75FB">
        <w:rPr>
          <w:sz w:val="24"/>
          <w:szCs w:val="24"/>
        </w:rPr>
        <w:t xml:space="preserve">agricultural </w:t>
      </w:r>
      <w:r w:rsidRPr="003D75FB">
        <w:rPr>
          <w:sz w:val="24"/>
          <w:szCs w:val="24"/>
        </w:rPr>
        <w:t xml:space="preserve">production plus the value of any offset sales. Every hectare given up </w:t>
      </w:r>
      <w:proofErr w:type="gramStart"/>
      <w:r w:rsidRPr="003D75FB">
        <w:rPr>
          <w:sz w:val="24"/>
          <w:szCs w:val="24"/>
        </w:rPr>
        <w:t>to create</w:t>
      </w:r>
      <w:proofErr w:type="gramEnd"/>
      <w:r w:rsidRPr="003D75FB">
        <w:rPr>
          <w:sz w:val="24"/>
          <w:szCs w:val="24"/>
        </w:rPr>
        <w:t xml:space="preserve"> new </w:t>
      </w:r>
      <w:r w:rsidR="00B629B2" w:rsidRPr="003D75FB">
        <w:rPr>
          <w:sz w:val="24"/>
          <w:szCs w:val="24"/>
        </w:rPr>
        <w:t xml:space="preserve">habitat </w:t>
      </w:r>
      <w:r w:rsidRPr="003D75FB">
        <w:rPr>
          <w:sz w:val="24"/>
          <w:szCs w:val="24"/>
        </w:rPr>
        <w:t xml:space="preserve">means one less hectare for </w:t>
      </w:r>
      <w:r w:rsidR="00B629B2" w:rsidRPr="003D75FB">
        <w:rPr>
          <w:sz w:val="24"/>
          <w:szCs w:val="24"/>
        </w:rPr>
        <w:t>agricultural production</w:t>
      </w:r>
      <w:r w:rsidRPr="003D75FB">
        <w:rPr>
          <w:sz w:val="24"/>
          <w:szCs w:val="24"/>
        </w:rPr>
        <w:t xml:space="preserve">. </w:t>
      </w:r>
      <w:bookmarkStart w:id="9" w:name="_Hlk46306257"/>
      <w:r w:rsidR="002E0177">
        <w:rPr>
          <w:sz w:val="24"/>
          <w:szCs w:val="24"/>
        </w:rPr>
        <w:t xml:space="preserve">Furthermore, conversion to a different habitat type may involve a restoration cost. Therefore, the conversion cost to the farmer consists of the opportunity costs of the foregone agricultural output plus any associated restoration costs. </w:t>
      </w:r>
      <w:bookmarkEnd w:id="9"/>
    </w:p>
    <w:p w14:paraId="182AE9B2" w14:textId="2ED303D6" w:rsidR="00674562" w:rsidRDefault="00674562" w:rsidP="003D75FB">
      <w:pPr>
        <w:spacing w:line="480" w:lineRule="auto"/>
        <w:ind w:firstLine="0"/>
        <w:rPr>
          <w:sz w:val="24"/>
          <w:szCs w:val="24"/>
        </w:rPr>
      </w:pPr>
      <w:r w:rsidRPr="003D75FB">
        <w:rPr>
          <w:sz w:val="24"/>
          <w:szCs w:val="24"/>
        </w:rPr>
        <w:t>From an agricultural perspective</w:t>
      </w:r>
      <w:r w:rsidR="0022002F">
        <w:rPr>
          <w:sz w:val="24"/>
          <w:szCs w:val="24"/>
        </w:rPr>
        <w:t>,</w:t>
      </w:r>
      <w:r w:rsidRPr="003D75FB">
        <w:rPr>
          <w:sz w:val="24"/>
          <w:szCs w:val="24"/>
        </w:rPr>
        <w:t xml:space="preserve"> land is of variable quality, measured in terms of agricultural output per hectare. </w:t>
      </w:r>
      <w:bookmarkStart w:id="10" w:name="_Hlk45878996"/>
      <w:r w:rsidRPr="003D75FB">
        <w:rPr>
          <w:sz w:val="24"/>
          <w:szCs w:val="24"/>
        </w:rPr>
        <w:t xml:space="preserve">Ranking all land owned by any one farmer along this gradient yields a continuous, upward sloping supply (marginal cost) curve </w:t>
      </w:r>
      <w:r w:rsidR="00CB7529">
        <w:rPr>
          <w:sz w:val="24"/>
          <w:szCs w:val="24"/>
        </w:rPr>
        <w:t>for</w:t>
      </w:r>
      <w:r w:rsidRPr="003D75FB">
        <w:rPr>
          <w:sz w:val="24"/>
          <w:szCs w:val="24"/>
        </w:rPr>
        <w:t xml:space="preserve"> creating new offset credits. The </w:t>
      </w:r>
      <w:r w:rsidRPr="003D75FB">
        <w:rPr>
          <w:sz w:val="24"/>
          <w:szCs w:val="24"/>
        </w:rPr>
        <w:lastRenderedPageBreak/>
        <w:t xml:space="preserve">farmer maximises profits by choosing to supply the quantity of offsets </w:t>
      </w:r>
      <w:r w:rsidR="00CB7529">
        <w:rPr>
          <w:sz w:val="24"/>
          <w:szCs w:val="24"/>
        </w:rPr>
        <w:t>that</w:t>
      </w:r>
      <w:r w:rsidR="00CB7529" w:rsidRPr="003D75FB">
        <w:rPr>
          <w:sz w:val="24"/>
          <w:szCs w:val="24"/>
        </w:rPr>
        <w:t xml:space="preserve"> </w:t>
      </w:r>
      <w:r w:rsidRPr="003D75FB">
        <w:rPr>
          <w:sz w:val="24"/>
          <w:szCs w:val="24"/>
        </w:rPr>
        <w:t xml:space="preserve">equates the marginal cost of creating new </w:t>
      </w:r>
      <w:r w:rsidR="00FE0098" w:rsidRPr="003D75FB">
        <w:rPr>
          <w:sz w:val="24"/>
          <w:szCs w:val="24"/>
        </w:rPr>
        <w:t xml:space="preserve">habitat </w:t>
      </w:r>
      <w:r w:rsidRPr="003D75FB">
        <w:rPr>
          <w:sz w:val="24"/>
          <w:szCs w:val="24"/>
        </w:rPr>
        <w:t>(i.e., lost agricultural profit at the margin) with the offset price.</w:t>
      </w:r>
      <w:bookmarkEnd w:id="10"/>
      <w:r w:rsidRPr="003D75FB">
        <w:rPr>
          <w:sz w:val="24"/>
          <w:szCs w:val="24"/>
        </w:rPr>
        <w:t xml:space="preserve"> If agricultural prices rise, then the opportunity cost of creating new </w:t>
      </w:r>
      <w:r w:rsidR="00FE0098" w:rsidRPr="003D75FB">
        <w:rPr>
          <w:sz w:val="24"/>
          <w:szCs w:val="24"/>
        </w:rPr>
        <w:t xml:space="preserve">habitat </w:t>
      </w:r>
      <w:r w:rsidRPr="003D75FB">
        <w:rPr>
          <w:sz w:val="24"/>
          <w:szCs w:val="24"/>
        </w:rPr>
        <w:t>rises, and so the supply curve for each individual farmer (hence aggregate supply) would shift up.</w:t>
      </w:r>
    </w:p>
    <w:p w14:paraId="41541E64" w14:textId="50E97102" w:rsidR="0022002F" w:rsidRPr="003D75FB" w:rsidRDefault="0050425B" w:rsidP="003D75FB">
      <w:pPr>
        <w:spacing w:line="480" w:lineRule="auto"/>
        <w:ind w:firstLine="0"/>
        <w:rPr>
          <w:sz w:val="24"/>
          <w:szCs w:val="24"/>
        </w:rPr>
      </w:pPr>
      <w:r w:rsidRPr="003D75FB">
        <w:rPr>
          <w:sz w:val="24"/>
          <w:szCs w:val="24"/>
        </w:rPr>
        <w:t>House d</w:t>
      </w:r>
      <w:r w:rsidR="00674562" w:rsidRPr="003D75FB">
        <w:rPr>
          <w:sz w:val="24"/>
          <w:szCs w:val="24"/>
        </w:rPr>
        <w:t>eveloper</w:t>
      </w:r>
      <w:r w:rsidRPr="003D75FB">
        <w:rPr>
          <w:sz w:val="24"/>
          <w:szCs w:val="24"/>
        </w:rPr>
        <w:t>s</w:t>
      </w:r>
      <w:r w:rsidR="00674562" w:rsidRPr="003D75FB">
        <w:rPr>
          <w:sz w:val="24"/>
          <w:szCs w:val="24"/>
        </w:rPr>
        <w:t xml:space="preserve"> face land values for housing that varies spatially across the </w:t>
      </w:r>
      <w:r w:rsidR="00FE0098" w:rsidRPr="003D75FB">
        <w:rPr>
          <w:sz w:val="24"/>
          <w:szCs w:val="24"/>
        </w:rPr>
        <w:t>region</w:t>
      </w:r>
      <w:r w:rsidR="00674562" w:rsidRPr="003D75FB">
        <w:rPr>
          <w:sz w:val="24"/>
          <w:szCs w:val="24"/>
        </w:rPr>
        <w:t xml:space="preserve">. </w:t>
      </w:r>
      <w:r w:rsidRPr="003D75FB">
        <w:rPr>
          <w:sz w:val="24"/>
          <w:szCs w:val="24"/>
        </w:rPr>
        <w:t>Each</w:t>
      </w:r>
      <w:r w:rsidR="00674562" w:rsidRPr="003D75FB">
        <w:rPr>
          <w:sz w:val="24"/>
          <w:szCs w:val="24"/>
        </w:rPr>
        <w:t xml:space="preserve"> developer knows that, depending on the conservation value of land, each hectare acquired for </w:t>
      </w:r>
      <w:r w:rsidRPr="003D75FB">
        <w:rPr>
          <w:sz w:val="24"/>
          <w:szCs w:val="24"/>
        </w:rPr>
        <w:t xml:space="preserve">new housing </w:t>
      </w:r>
      <w:r w:rsidR="00674562" w:rsidRPr="003D75FB">
        <w:rPr>
          <w:sz w:val="24"/>
          <w:szCs w:val="24"/>
        </w:rPr>
        <w:t xml:space="preserve">development requires </w:t>
      </w:r>
      <w:proofErr w:type="gramStart"/>
      <w:r w:rsidR="00674562" w:rsidRPr="003D75FB">
        <w:rPr>
          <w:sz w:val="24"/>
          <w:szCs w:val="24"/>
        </w:rPr>
        <w:t>a number of</w:t>
      </w:r>
      <w:proofErr w:type="gramEnd"/>
      <w:r w:rsidR="00674562" w:rsidRPr="003D75FB">
        <w:rPr>
          <w:sz w:val="24"/>
          <w:szCs w:val="24"/>
        </w:rPr>
        <w:t xml:space="preserve"> offset credits to be purchased from </w:t>
      </w:r>
      <w:r w:rsidR="00FE0098" w:rsidRPr="003D75FB">
        <w:rPr>
          <w:sz w:val="24"/>
          <w:szCs w:val="24"/>
        </w:rPr>
        <w:t>an offset provider or offset bank</w:t>
      </w:r>
      <w:r w:rsidR="00674562" w:rsidRPr="003D75FB">
        <w:rPr>
          <w:sz w:val="24"/>
          <w:szCs w:val="24"/>
        </w:rPr>
        <w:t>. Ranking development options according to their expected housing value to this developer from highest to lowest yields a downward sloping demand curve for offset credits. The developer chooses to buy a quantity of credits which equates their individual demand curve with the market price of offsets</w:t>
      </w:r>
      <w:r w:rsidR="0001610F" w:rsidRPr="003D75FB">
        <w:rPr>
          <w:sz w:val="24"/>
          <w:szCs w:val="24"/>
          <w:vertAlign w:val="superscript"/>
        </w:rPr>
        <w:endnoteReference w:id="1"/>
      </w:r>
      <w:r w:rsidR="00070107">
        <w:rPr>
          <w:sz w:val="24"/>
          <w:szCs w:val="24"/>
        </w:rPr>
        <w:t>.</w:t>
      </w:r>
      <w:r w:rsidR="0001610F" w:rsidRPr="003D75FB">
        <w:rPr>
          <w:sz w:val="24"/>
          <w:szCs w:val="24"/>
        </w:rPr>
        <w:t xml:space="preserve"> </w:t>
      </w:r>
      <w:r w:rsidR="0022002F" w:rsidRPr="003D75FB">
        <w:rPr>
          <w:sz w:val="24"/>
          <w:szCs w:val="24"/>
        </w:rPr>
        <w:t xml:space="preserve">If the expected average house price in the </w:t>
      </w:r>
      <w:r w:rsidR="00A16138">
        <w:rPr>
          <w:sz w:val="24"/>
          <w:szCs w:val="24"/>
        </w:rPr>
        <w:t>region</w:t>
      </w:r>
      <w:r w:rsidR="0022002F" w:rsidRPr="003D75FB">
        <w:rPr>
          <w:sz w:val="24"/>
          <w:szCs w:val="24"/>
        </w:rPr>
        <w:t xml:space="preserve"> rises, this would increase the developer’s willingness to pay for any potential housing site, implying a shift of the demand curve for offsets to the right. The slope of the aggregate demand curve depends on the heterogeneity in the derived demand for offsets, i.e., </w:t>
      </w:r>
      <w:r w:rsidR="008A0983">
        <w:rPr>
          <w:sz w:val="24"/>
          <w:szCs w:val="24"/>
        </w:rPr>
        <w:t>developers</w:t>
      </w:r>
      <w:r w:rsidR="00F41D9C">
        <w:rPr>
          <w:sz w:val="24"/>
          <w:szCs w:val="24"/>
        </w:rPr>
        <w:t>’</w:t>
      </w:r>
      <w:r w:rsidR="008A0983">
        <w:rPr>
          <w:sz w:val="24"/>
          <w:szCs w:val="24"/>
        </w:rPr>
        <w:t xml:space="preserve"> </w:t>
      </w:r>
      <w:r w:rsidR="0022002F" w:rsidRPr="003D75FB">
        <w:rPr>
          <w:sz w:val="24"/>
          <w:szCs w:val="24"/>
        </w:rPr>
        <w:t>willingness to pay for land for housing development. If each hectare of habitat created can be heterogeneous in ecological terms, then this means that each offset created or demanded has a different ecological value. On the demand side, higher ecological value land requires credits of higher value to be purchased to offset the impacts of development on biodiversity; on the supply side, higher value ecological land generates more valuable credits when new habitat is created.</w:t>
      </w:r>
    </w:p>
    <w:p w14:paraId="531EBC2B" w14:textId="575EA795" w:rsidR="0001610F" w:rsidRPr="003D75FB" w:rsidRDefault="0022002F" w:rsidP="003D75FB">
      <w:pPr>
        <w:spacing w:line="480" w:lineRule="auto"/>
        <w:ind w:firstLine="0"/>
        <w:rPr>
          <w:sz w:val="24"/>
          <w:szCs w:val="24"/>
        </w:rPr>
      </w:pPr>
      <w:r w:rsidRPr="003D75FB">
        <w:rPr>
          <w:sz w:val="24"/>
          <w:szCs w:val="24"/>
        </w:rPr>
        <w:t xml:space="preserve">Assume for the moment that we have a single ecological indicator which is the focus for policy. </w:t>
      </w:r>
      <w:bookmarkStart w:id="11" w:name="_Hlk45879092"/>
      <w:r w:rsidRPr="003D75FB">
        <w:rPr>
          <w:sz w:val="24"/>
          <w:szCs w:val="24"/>
        </w:rPr>
        <w:t xml:space="preserve">Then we can think of the value of any given credit </w:t>
      </w:r>
      <w:r w:rsidRPr="003D75FB">
        <w:rPr>
          <w:iCs/>
          <w:sz w:val="24"/>
          <w:szCs w:val="24"/>
        </w:rPr>
        <w:t>supplied</w:t>
      </w:r>
      <w:r w:rsidRPr="003D75FB">
        <w:rPr>
          <w:sz w:val="24"/>
          <w:szCs w:val="24"/>
        </w:rPr>
        <w:t xml:space="preserve"> to the market to be </w:t>
      </w:r>
      <m:oMath>
        <m:r>
          <w:rPr>
            <w:rFonts w:ascii="Cambria Math" w:hAnsi="Cambria Math"/>
            <w:sz w:val="24"/>
            <w:szCs w:val="24"/>
          </w:rPr>
          <m:t>h</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w:r w:rsidRPr="003D75FB">
        <w:rPr>
          <w:sz w:val="24"/>
          <w:szCs w:val="24"/>
        </w:rPr>
        <w:t xml:space="preserve">, with </w:t>
      </w:r>
      <m:oMath>
        <m:r>
          <w:rPr>
            <w:rFonts w:ascii="Cambria Math" w:hAnsi="Cambria Math"/>
            <w:sz w:val="24"/>
            <w:szCs w:val="24"/>
          </w:rPr>
          <m:t>h</m:t>
        </m:r>
      </m:oMath>
      <w:r w:rsidRPr="003D75FB">
        <w:rPr>
          <w:sz w:val="24"/>
          <w:szCs w:val="24"/>
        </w:rPr>
        <w:t xml:space="preserve"> referring to the amount of hectares </w:t>
      </w:r>
      <w:bookmarkStart w:id="12" w:name="_Hlk45780415"/>
      <w:r w:rsidRPr="003D75FB">
        <w:rPr>
          <w:sz w:val="24"/>
          <w:szCs w:val="24"/>
        </w:rPr>
        <w:t xml:space="preserve">and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w:r w:rsidRPr="003D75FB">
        <w:rPr>
          <w:sz w:val="24"/>
          <w:szCs w:val="24"/>
        </w:rPr>
        <w:t xml:space="preserve"> indicating the </w:t>
      </w:r>
      <w:r>
        <w:rPr>
          <w:sz w:val="24"/>
          <w:szCs w:val="24"/>
        </w:rPr>
        <w:t xml:space="preserve">average </w:t>
      </w:r>
      <w:r w:rsidRPr="003D75FB">
        <w:rPr>
          <w:sz w:val="24"/>
          <w:szCs w:val="24"/>
        </w:rPr>
        <w:t xml:space="preserve">ecological value at site </w:t>
      </w:r>
      <m:oMath>
        <m:r>
          <w:rPr>
            <w:rFonts w:ascii="Cambria Math" w:hAnsi="Cambria Math"/>
            <w:sz w:val="24"/>
            <w:szCs w:val="24"/>
          </w:rPr>
          <m:t>i</m:t>
        </m:r>
      </m:oMath>
      <w:r w:rsidRPr="003D75FB">
        <w:rPr>
          <w:sz w:val="24"/>
          <w:szCs w:val="24"/>
        </w:rPr>
        <w:t xml:space="preserve">. </w:t>
      </w:r>
      <w:bookmarkEnd w:id="11"/>
      <w:bookmarkEnd w:id="12"/>
      <w:r w:rsidRPr="003D75FB">
        <w:rPr>
          <w:sz w:val="24"/>
          <w:szCs w:val="24"/>
        </w:rPr>
        <w:t xml:space="preserve">On the demand side, a developer must obtain </w:t>
      </w:r>
      <w:proofErr w:type="gramStart"/>
      <w:r w:rsidRPr="003D75FB">
        <w:rPr>
          <w:sz w:val="24"/>
          <w:szCs w:val="24"/>
        </w:rPr>
        <w:t>a number of</w:t>
      </w:r>
      <w:proofErr w:type="gramEnd"/>
      <w:r w:rsidRPr="003D75FB">
        <w:rPr>
          <w:sz w:val="24"/>
          <w:szCs w:val="24"/>
        </w:rPr>
        <w:t xml:space="preserve"> offsets equal to a value </w:t>
      </w:r>
      <m:oMath>
        <m:r>
          <w:rPr>
            <w:rFonts w:ascii="Cambria Math" w:hAnsi="Cambria Math"/>
            <w:sz w:val="24"/>
            <w:szCs w:val="24"/>
          </w:rPr>
          <m:t>h</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j</m:t>
            </m:r>
          </m:sub>
        </m:sSub>
      </m:oMath>
      <w:r w:rsidRPr="003D75FB">
        <w:rPr>
          <w:sz w:val="24"/>
          <w:szCs w:val="24"/>
        </w:rPr>
        <w:t xml:space="preserve">, where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j</m:t>
            </m:r>
          </m:sub>
        </m:sSub>
      </m:oMath>
      <w:r w:rsidRPr="003D75FB">
        <w:rPr>
          <w:sz w:val="24"/>
          <w:szCs w:val="24"/>
        </w:rPr>
        <w:t xml:space="preserve"> </w:t>
      </w:r>
      <w:r w:rsidRPr="003D75FB">
        <w:rPr>
          <w:sz w:val="24"/>
          <w:szCs w:val="24"/>
        </w:rPr>
        <w:lastRenderedPageBreak/>
        <w:t xml:space="preserve">reflects the ecological value of site </w:t>
      </w:r>
      <m:oMath>
        <m:r>
          <w:rPr>
            <w:rFonts w:ascii="Cambria Math" w:hAnsi="Cambria Math"/>
            <w:sz w:val="24"/>
            <w:szCs w:val="24"/>
          </w:rPr>
          <m:t>j</m:t>
        </m:r>
      </m:oMath>
      <w:r w:rsidRPr="003D75FB">
        <w:rPr>
          <w:sz w:val="24"/>
          <w:szCs w:val="24"/>
        </w:rPr>
        <w:t xml:space="preserve"> which is damaged by the development. Assuming a development of one hectare in size, the developer must ensure it purchases appropriate offsets such that </w:t>
      </w:r>
      <m:oMath>
        <m:r>
          <w:rPr>
            <w:rFonts w:ascii="Cambria Math" w:hAnsi="Cambria Math"/>
            <w:sz w:val="24"/>
            <w:szCs w:val="24"/>
          </w:rPr>
          <m:t>h</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hAnsi="Cambria Math"/>
            <w:sz w:val="24"/>
            <w:szCs w:val="24"/>
          </w:rPr>
          <m:t>=h</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j</m:t>
            </m:r>
          </m:sub>
        </m:sSub>
      </m:oMath>
      <w:r w:rsidRPr="003D75FB">
        <w:rPr>
          <w:sz w:val="24"/>
          <w:szCs w:val="24"/>
        </w:rPr>
        <w:t>. From this</w:t>
      </w:r>
      <w:r>
        <w:rPr>
          <w:sz w:val="24"/>
          <w:szCs w:val="24"/>
        </w:rPr>
        <w:t>,</w:t>
      </w:r>
      <w:r w:rsidRPr="003D75FB">
        <w:rPr>
          <w:sz w:val="24"/>
          <w:szCs w:val="24"/>
        </w:rPr>
        <w:t xml:space="preserve"> we can define the offset trading ratio between any two sites </w:t>
      </w:r>
      <m:oMath>
        <m:r>
          <w:rPr>
            <w:rFonts w:ascii="Cambria Math" w:hAnsi="Cambria Math"/>
            <w:sz w:val="24"/>
            <w:szCs w:val="24"/>
          </w:rPr>
          <m:t>i</m:t>
        </m:r>
      </m:oMath>
      <w:r w:rsidRPr="003D75FB">
        <w:rPr>
          <w:sz w:val="24"/>
          <w:szCs w:val="24"/>
        </w:rPr>
        <w:t xml:space="preserve"> (supply side) and </w:t>
      </w:r>
      <m:oMath>
        <m:r>
          <w:rPr>
            <w:rFonts w:ascii="Cambria Math" w:hAnsi="Cambria Math"/>
            <w:sz w:val="24"/>
            <w:szCs w:val="24"/>
          </w:rPr>
          <m:t>j</m:t>
        </m:r>
      </m:oMath>
      <w:r w:rsidRPr="003D75FB">
        <w:rPr>
          <w:sz w:val="24"/>
          <w:szCs w:val="24"/>
        </w:rPr>
        <w:t xml:space="preserve"> (demand side) as:</w:t>
      </w:r>
      <w:r w:rsidR="0001610F" w:rsidRPr="003D75FB">
        <w:rPr>
          <w:sz w:val="24"/>
          <w:szCs w:val="24"/>
          <w:vertAlign w:val="superscript"/>
        </w:rPr>
        <w:endnoteReference w:id="2"/>
      </w:r>
    </w:p>
    <w:p w14:paraId="5D258F4B" w14:textId="0C94D21D" w:rsidR="0022002F" w:rsidRPr="008A0983" w:rsidRDefault="00010F39" w:rsidP="00EA2D1E">
      <w:pPr>
        <w:tabs>
          <w:tab w:val="right" w:pos="9026"/>
        </w:tabs>
        <w:spacing w:line="480" w:lineRule="auto"/>
        <w:ind w:firstLine="0"/>
        <w:jc w:val="left"/>
        <w:rPr>
          <w:sz w:val="24"/>
          <w:szCs w:val="24"/>
        </w:rPr>
      </w:pPr>
      <m:oMath>
        <m:r>
          <w:rPr>
            <w:rFonts w:ascii="Cambria Math" w:hAnsi="Cambria Math"/>
            <w:sz w:val="24"/>
            <w:szCs w:val="24"/>
          </w:rPr>
          <m:t>e</m:t>
        </m:r>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i</m:t>
                </m:r>
              </m:sub>
            </m:sSub>
          </m:num>
          <m:den>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j</m:t>
                </m:r>
              </m:sub>
            </m:sSub>
          </m:den>
        </m:f>
      </m:oMath>
      <w:r w:rsidR="00EA2D1E">
        <w:rPr>
          <w:sz w:val="24"/>
          <w:szCs w:val="24"/>
        </w:rPr>
        <w:tab/>
        <w:t>[1]</w:t>
      </w:r>
    </w:p>
    <w:p w14:paraId="5051EB53" w14:textId="501B0E49" w:rsidR="008A0983" w:rsidRDefault="008A0983" w:rsidP="008A0983">
      <w:pPr>
        <w:spacing w:line="480" w:lineRule="auto"/>
        <w:ind w:firstLine="0"/>
        <w:rPr>
          <w:sz w:val="24"/>
          <w:szCs w:val="24"/>
        </w:rPr>
      </w:pPr>
      <w:r>
        <w:rPr>
          <w:sz w:val="24"/>
          <w:szCs w:val="24"/>
        </w:rPr>
        <w:t xml:space="preserve">We are now </w:t>
      </w:r>
      <w:proofErr w:type="gramStart"/>
      <w:r>
        <w:rPr>
          <w:sz w:val="24"/>
          <w:szCs w:val="24"/>
        </w:rPr>
        <w:t>in a position</w:t>
      </w:r>
      <w:proofErr w:type="gramEnd"/>
      <w:r>
        <w:rPr>
          <w:sz w:val="24"/>
          <w:szCs w:val="24"/>
        </w:rPr>
        <w:t xml:space="preserve"> to develop a simple model that highlights the core functioning of the market for biodiversity offsets. This not only allows us to draw some clear comparative statics results, but also provides a solid basis for the actual case study implementation later. We will do so by building on Doyle and Yates (2010) but extend their model in two important ways. </w:t>
      </w:r>
      <w:bookmarkStart w:id="13" w:name="_Hlk45879219"/>
      <w:r>
        <w:rPr>
          <w:sz w:val="24"/>
          <w:szCs w:val="24"/>
        </w:rPr>
        <w:t xml:space="preserve">First, our model captures heterogeneous opportunity cost of land use. </w:t>
      </w:r>
      <w:bookmarkStart w:id="14" w:name="_Hlk45781023"/>
      <w:r>
        <w:rPr>
          <w:sz w:val="24"/>
          <w:szCs w:val="24"/>
        </w:rPr>
        <w:t xml:space="preserve">Second, given this heterogeneity, we will derive spatially explicit demand and supply functions for biodiversity offsets. </w:t>
      </w:r>
      <w:bookmarkEnd w:id="13"/>
      <w:bookmarkEnd w:id="14"/>
    </w:p>
    <w:p w14:paraId="60B5F755" w14:textId="2668E150" w:rsidR="008A0983" w:rsidRDefault="008A0983" w:rsidP="008A0983">
      <w:pPr>
        <w:spacing w:line="480" w:lineRule="auto"/>
        <w:ind w:firstLine="0"/>
        <w:rPr>
          <w:sz w:val="24"/>
          <w:szCs w:val="24"/>
        </w:rPr>
      </w:pPr>
      <w:r>
        <w:rPr>
          <w:sz w:val="24"/>
          <w:szCs w:val="24"/>
        </w:rPr>
        <w:t xml:space="preserve">Given a number of </w:t>
      </w:r>
      <m:oMath>
        <m:r>
          <w:rPr>
            <w:rFonts w:ascii="Cambria Math" w:hAnsi="Cambria Math"/>
            <w:sz w:val="24"/>
            <w:szCs w:val="24"/>
          </w:rPr>
          <m:t>n</m:t>
        </m:r>
      </m:oMath>
      <w:r>
        <w:rPr>
          <w:sz w:val="24"/>
          <w:szCs w:val="24"/>
        </w:rPr>
        <w:t xml:space="preserve"> farmers, the quantity of hectares (offsets) “produced” by an individual seller can be represented by the function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(n,e,</m:t>
        </m:r>
        <m:sSub>
          <m:sSubPr>
            <m:ctrlPr>
              <w:rPr>
                <w:rFonts w:ascii="Cambria Math" w:hAnsi="Cambria Math"/>
                <w:i/>
                <w:sz w:val="24"/>
                <w:szCs w:val="24"/>
              </w:rPr>
            </m:ctrlPr>
          </m:sSubPr>
          <m:e>
            <m:r>
              <w:rPr>
                <w:rFonts w:ascii="Cambria Math" w:hAnsi="Cambria Math"/>
                <w:sz w:val="24"/>
                <w:szCs w:val="24"/>
              </w:rPr>
              <m:t>p,c</m:t>
            </m:r>
          </m:e>
          <m:sub>
            <m:r>
              <w:rPr>
                <w:rFonts w:ascii="Cambria Math" w:hAnsi="Cambria Math"/>
                <w:sz w:val="24"/>
                <w:szCs w:val="24"/>
              </w:rPr>
              <m:t>k</m:t>
            </m:r>
          </m:sub>
        </m:sSub>
        <m:r>
          <w:rPr>
            <w:rFonts w:ascii="Cambria Math" w:hAnsi="Cambria Math"/>
            <w:sz w:val="24"/>
            <w:szCs w:val="24"/>
          </w:rPr>
          <m:t>)</m:t>
        </m:r>
      </m:oMath>
      <w:r>
        <w:rPr>
          <w:sz w:val="24"/>
          <w:szCs w:val="24"/>
        </w:rPr>
        <w:t xml:space="preserve">, where </w:t>
      </w:r>
      <m:oMath>
        <m:r>
          <w:rPr>
            <w:rFonts w:ascii="Cambria Math" w:hAnsi="Cambria Math"/>
            <w:sz w:val="24"/>
            <w:szCs w:val="24"/>
          </w:rPr>
          <m:t>p</m:t>
        </m:r>
      </m:oMath>
      <w:r>
        <w:rPr>
          <w:sz w:val="24"/>
          <w:szCs w:val="24"/>
        </w:rPr>
        <w:t xml:space="preserve"> is the offset price, </w:t>
      </w:r>
      <m:oMath>
        <m:r>
          <w:rPr>
            <w:rFonts w:ascii="Cambria Math" w:hAnsi="Cambria Math"/>
            <w:sz w:val="24"/>
            <w:szCs w:val="24"/>
          </w:rPr>
          <m:t>e</m:t>
        </m:r>
      </m:oMath>
      <w:r>
        <w:rPr>
          <w:sz w:val="24"/>
          <w:szCs w:val="24"/>
        </w:rPr>
        <w:t xml:space="preserve"> is the trading ratio as defined in </w:t>
      </w:r>
      <w:r w:rsidR="00A87474">
        <w:rPr>
          <w:sz w:val="24"/>
          <w:szCs w:val="24"/>
        </w:rPr>
        <w:t>[</w:t>
      </w:r>
      <w:r>
        <w:rPr>
          <w:sz w:val="24"/>
          <w:szCs w:val="24"/>
        </w:rPr>
        <w:t>1</w:t>
      </w:r>
      <w:r w:rsidR="00A87474">
        <w:rPr>
          <w:sz w:val="24"/>
          <w:szCs w:val="24"/>
        </w:rPr>
        <w:t>]</w:t>
      </w:r>
      <w:r>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k</m:t>
            </m:r>
          </m:sub>
        </m:sSub>
      </m:oMath>
      <w:r>
        <w:rPr>
          <w:sz w:val="24"/>
          <w:szCs w:val="24"/>
        </w:rPr>
        <w:t xml:space="preserve"> the opportunity cost of land use of type </w:t>
      </w:r>
      <m:oMath>
        <m:r>
          <w:rPr>
            <w:rFonts w:ascii="Cambria Math" w:hAnsi="Cambria Math"/>
            <w:sz w:val="24"/>
            <w:szCs w:val="24"/>
          </w:rPr>
          <m:t>k=1,…,K</m:t>
        </m:r>
      </m:oMath>
      <w:r>
        <w:rPr>
          <w:sz w:val="24"/>
          <w:szCs w:val="24"/>
        </w:rPr>
        <w:t xml:space="preserve">. Aggregating across all farmers, the total amount of land supplied for conservation, </w:t>
      </w:r>
      <m:oMath>
        <m:r>
          <w:rPr>
            <w:rFonts w:ascii="Cambria Math" w:hAnsi="Cambria Math"/>
            <w:sz w:val="24"/>
            <w:szCs w:val="24"/>
          </w:rPr>
          <m:t>S(h)</m:t>
        </m:r>
      </m:oMath>
      <w:r>
        <w:rPr>
          <w:sz w:val="24"/>
          <w:szCs w:val="24"/>
        </w:rPr>
        <w:t>, is then:</w:t>
      </w:r>
    </w:p>
    <w:p w14:paraId="6B1B9529" w14:textId="1DD8C085" w:rsidR="008A0983" w:rsidRDefault="00010F39" w:rsidP="00EA2D1E">
      <w:pPr>
        <w:tabs>
          <w:tab w:val="right" w:pos="9026"/>
        </w:tabs>
        <w:spacing w:line="480" w:lineRule="auto"/>
        <w:ind w:firstLine="0"/>
        <w:jc w:val="left"/>
        <w:rPr>
          <w:sz w:val="24"/>
          <w:szCs w:val="24"/>
        </w:rPr>
      </w:pPr>
      <w:bookmarkStart w:id="15" w:name="_Hlk48547705"/>
      <m:oMath>
        <m:r>
          <w:rPr>
            <w:rFonts w:ascii="Cambria Math" w:hAnsi="Cambria Math"/>
            <w:sz w:val="24"/>
            <w:szCs w:val="24"/>
          </w:rPr>
          <m:t>S(h)</m:t>
        </m:r>
        <m:r>
          <m:rPr>
            <m:sty m:val="p"/>
          </m:rPr>
          <w:rPr>
            <w:rFonts w:ascii="Cambria Math" w:hAnsi="Cambria Math"/>
            <w:sz w:val="24"/>
            <w:szCs w:val="24"/>
          </w:rPr>
          <m:t>=</m:t>
        </m:r>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m:rPr>
            <m:sty m:val="p"/>
          </m:rPr>
          <w:rPr>
            <w:rFonts w:ascii="Cambria Math" w:hAnsi="Cambria Math"/>
            <w:sz w:val="24"/>
            <w:szCs w:val="24"/>
          </w:rPr>
          <m:t>(</m:t>
        </m:r>
        <m:r>
          <w:rPr>
            <w:rFonts w:ascii="Cambria Math" w:hAnsi="Cambria Math"/>
            <w:sz w:val="24"/>
            <w:szCs w:val="24"/>
          </w:rPr>
          <m:t>n</m:t>
        </m:r>
        <m:r>
          <m:rPr>
            <m:sty m:val="p"/>
          </m:rPr>
          <w:rPr>
            <w:rFonts w:ascii="Cambria Math" w:hAnsi="Cambria Math"/>
            <w:sz w:val="24"/>
            <w:szCs w:val="24"/>
          </w:rPr>
          <m:t>,</m:t>
        </m:r>
        <m:r>
          <w:rPr>
            <w:rFonts w:ascii="Cambria Math" w:hAnsi="Cambria Math"/>
            <w:sz w:val="24"/>
            <w:szCs w:val="24"/>
          </w:rPr>
          <m:t>e, p,</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k</m:t>
            </m:r>
          </m:sub>
        </m:sSub>
        <m:r>
          <m:rPr>
            <m:sty m:val="p"/>
          </m:rPr>
          <w:rPr>
            <w:rFonts w:ascii="Cambria Math" w:hAnsi="Cambria Math"/>
            <w:sz w:val="24"/>
            <w:szCs w:val="24"/>
          </w:rPr>
          <m:t>)</m:t>
        </m:r>
      </m:oMath>
      <w:r w:rsidR="00EA2D1E">
        <w:rPr>
          <w:sz w:val="24"/>
          <w:szCs w:val="24"/>
        </w:rPr>
        <w:t xml:space="preserve"> </w:t>
      </w:r>
      <w:r w:rsidR="00EA2D1E">
        <w:rPr>
          <w:sz w:val="24"/>
          <w:szCs w:val="24"/>
        </w:rPr>
        <w:tab/>
        <w:t>[2]</w:t>
      </w:r>
    </w:p>
    <w:bookmarkEnd w:id="15"/>
    <w:p w14:paraId="64CA687C" w14:textId="35B6E595" w:rsidR="00042F9C" w:rsidRDefault="00042F9C" w:rsidP="00042F9C">
      <w:pPr>
        <w:spacing w:line="480" w:lineRule="auto"/>
        <w:ind w:firstLine="0"/>
        <w:rPr>
          <w:sz w:val="24"/>
          <w:szCs w:val="24"/>
        </w:rPr>
      </w:pPr>
      <w:r>
        <w:rPr>
          <w:sz w:val="24"/>
          <w:szCs w:val="24"/>
        </w:rPr>
        <w:t xml:space="preserve">On the demand side there are a total of </w:t>
      </w:r>
      <m:oMath>
        <m:r>
          <w:rPr>
            <w:rFonts w:ascii="Cambria Math" w:hAnsi="Cambria Math"/>
            <w:sz w:val="24"/>
            <w:szCs w:val="24"/>
          </w:rPr>
          <m:t>m</m:t>
        </m:r>
      </m:oMath>
      <w:r>
        <w:rPr>
          <w:sz w:val="24"/>
          <w:szCs w:val="24"/>
        </w:rPr>
        <w:t xml:space="preserve"> developers. These developers must buy </w:t>
      </w:r>
      <w:proofErr w:type="gramStart"/>
      <w:r>
        <w:rPr>
          <w:sz w:val="24"/>
          <w:szCs w:val="24"/>
        </w:rPr>
        <w:t>a number of</w:t>
      </w:r>
      <w:proofErr w:type="gramEnd"/>
      <w:r>
        <w:rPr>
          <w:sz w:val="24"/>
          <w:szCs w:val="24"/>
        </w:rPr>
        <w:t xml:space="preserve"> hectares to offset the degradation of each hectare due to development. Analogous to the supply side of the market, given the trading ratio </w:t>
      </w:r>
      <w:r w:rsidR="00A87474">
        <w:rPr>
          <w:sz w:val="24"/>
          <w:szCs w:val="24"/>
        </w:rPr>
        <w:t>[</w:t>
      </w:r>
      <w:r>
        <w:rPr>
          <w:sz w:val="24"/>
          <w:szCs w:val="24"/>
        </w:rPr>
        <w:t>1</w:t>
      </w:r>
      <w:r w:rsidR="00A87474">
        <w:rPr>
          <w:sz w:val="24"/>
          <w:szCs w:val="24"/>
        </w:rPr>
        <w:t>]</w:t>
      </w:r>
      <w:r>
        <w:rPr>
          <w:sz w:val="24"/>
          <w:szCs w:val="24"/>
        </w:rPr>
        <w:t>, the number of developers (</w:t>
      </w:r>
      <m:oMath>
        <m:r>
          <w:rPr>
            <w:rFonts w:ascii="Cambria Math" w:hAnsi="Cambria Math"/>
            <w:sz w:val="24"/>
            <w:szCs w:val="24"/>
          </w:rPr>
          <m:t>m</m:t>
        </m:r>
      </m:oMath>
      <w:r>
        <w:rPr>
          <w:sz w:val="24"/>
          <w:szCs w:val="24"/>
        </w:rPr>
        <w:t>), and the offset price (</w:t>
      </w:r>
      <m:oMath>
        <m:r>
          <w:rPr>
            <w:rFonts w:ascii="Cambria Math" w:hAnsi="Cambria Math"/>
            <w:sz w:val="24"/>
            <w:szCs w:val="24"/>
          </w:rPr>
          <m:t>p</m:t>
        </m:r>
      </m:oMath>
      <w:r>
        <w:rPr>
          <w:sz w:val="24"/>
          <w:szCs w:val="24"/>
        </w:rPr>
        <w:t xml:space="preserve">), the demand function of an individual developer is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r>
          <w:rPr>
            <w:rFonts w:ascii="Cambria Math" w:hAnsi="Cambria Math"/>
            <w:sz w:val="24"/>
            <w:szCs w:val="24"/>
          </w:rPr>
          <m:t>(m,e,p,r)</m:t>
        </m:r>
      </m:oMath>
      <w:r>
        <w:rPr>
          <w:sz w:val="24"/>
          <w:szCs w:val="24"/>
        </w:rPr>
        <w:t xml:space="preserve">, where </w:t>
      </w:r>
      <m:oMath>
        <m:r>
          <w:rPr>
            <w:rFonts w:ascii="Cambria Math" w:hAnsi="Cambria Math"/>
            <w:sz w:val="24"/>
            <w:szCs w:val="24"/>
          </w:rPr>
          <m:t>r</m:t>
        </m:r>
      </m:oMath>
      <w:r>
        <w:rPr>
          <w:sz w:val="24"/>
          <w:szCs w:val="24"/>
        </w:rPr>
        <w:t xml:space="preserve"> is the value </w:t>
      </w:r>
      <w:r>
        <w:rPr>
          <w:sz w:val="24"/>
          <w:szCs w:val="24"/>
        </w:rPr>
        <w:lastRenderedPageBreak/>
        <w:t>of land for housing in the development area. The total amount of hectares demanded</w:t>
      </w:r>
      <m:oMath>
        <m:r>
          <w:rPr>
            <w:rFonts w:ascii="Cambria Math" w:hAnsi="Cambria Math"/>
            <w:sz w:val="24"/>
            <w:szCs w:val="24"/>
          </w:rPr>
          <m:t xml:space="preserve"> </m:t>
        </m:r>
      </m:oMath>
      <w:r>
        <w:rPr>
          <w:sz w:val="24"/>
          <w:szCs w:val="24"/>
        </w:rPr>
        <w:t xml:space="preserve">for development, </w:t>
      </w:r>
      <m:oMath>
        <m:r>
          <w:rPr>
            <w:rFonts w:ascii="Cambria Math" w:hAnsi="Cambria Math"/>
            <w:sz w:val="24"/>
            <w:szCs w:val="24"/>
          </w:rPr>
          <m:t>D(h)</m:t>
        </m:r>
      </m:oMath>
      <w:r>
        <w:rPr>
          <w:sz w:val="24"/>
          <w:szCs w:val="24"/>
        </w:rPr>
        <w:t>, follows a straightforward aggregation across all developers:</w:t>
      </w:r>
    </w:p>
    <w:p w14:paraId="76D7D776" w14:textId="50CA1043" w:rsidR="00042F9C" w:rsidRDefault="00010F39" w:rsidP="00EA2D1E">
      <w:pPr>
        <w:tabs>
          <w:tab w:val="right" w:pos="9026"/>
        </w:tabs>
        <w:spacing w:line="480" w:lineRule="auto"/>
        <w:ind w:firstLine="0"/>
        <w:rPr>
          <w:sz w:val="24"/>
          <w:szCs w:val="24"/>
        </w:rPr>
      </w:pPr>
      <w:bookmarkStart w:id="16" w:name="_Hlk48548055"/>
      <m:oMath>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h</m:t>
            </m:r>
          </m:e>
        </m:d>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r>
          <w:rPr>
            <w:rFonts w:ascii="Cambria Math" w:hAnsi="Cambria Math"/>
            <w:sz w:val="24"/>
            <w:szCs w:val="24"/>
          </w:rPr>
          <m:t>(m,e,p,r)</m:t>
        </m:r>
        <m:r>
          <m:rPr>
            <m:sty m:val="p"/>
          </m:rPr>
          <w:rPr>
            <w:rFonts w:ascii="Cambria Math" w:hAnsi="Cambria Math"/>
            <w:sz w:val="24"/>
            <w:szCs w:val="24"/>
          </w:rPr>
          <m:t xml:space="preserve"> </m:t>
        </m:r>
      </m:oMath>
      <w:r w:rsidR="00EA2D1E">
        <w:rPr>
          <w:sz w:val="24"/>
          <w:szCs w:val="24"/>
        </w:rPr>
        <w:t xml:space="preserve"> </w:t>
      </w:r>
      <w:r w:rsidR="00EA2D1E">
        <w:rPr>
          <w:sz w:val="24"/>
          <w:szCs w:val="24"/>
        </w:rPr>
        <w:tab/>
        <w:t>[3]</w:t>
      </w:r>
    </w:p>
    <w:bookmarkEnd w:id="16"/>
    <w:p w14:paraId="5171C5B9" w14:textId="109BBDBD" w:rsidR="00042F9C" w:rsidRDefault="00042F9C" w:rsidP="00042F9C">
      <w:pPr>
        <w:spacing w:line="480" w:lineRule="auto"/>
        <w:ind w:firstLine="0"/>
        <w:rPr>
          <w:sz w:val="24"/>
          <w:szCs w:val="24"/>
        </w:rPr>
      </w:pPr>
      <w:r>
        <w:rPr>
          <w:sz w:val="24"/>
          <w:szCs w:val="24"/>
        </w:rPr>
        <w:t xml:space="preserve">The aggregate demand curve for offset credits in </w:t>
      </w:r>
      <w:r w:rsidR="00A87474">
        <w:rPr>
          <w:sz w:val="24"/>
          <w:szCs w:val="24"/>
        </w:rPr>
        <w:t>[3]</w:t>
      </w:r>
      <w:r>
        <w:rPr>
          <w:sz w:val="24"/>
          <w:szCs w:val="24"/>
        </w:rPr>
        <w:t xml:space="preserve">, representing a particular set of spatial values for the value of land for housing development, and the aggregate supply curve for offsets in </w:t>
      </w:r>
      <w:r w:rsidR="00A87474">
        <w:rPr>
          <w:sz w:val="24"/>
          <w:szCs w:val="24"/>
        </w:rPr>
        <w:t>[</w:t>
      </w:r>
      <w:r>
        <w:rPr>
          <w:sz w:val="24"/>
          <w:szCs w:val="24"/>
        </w:rPr>
        <w:t>2</w:t>
      </w:r>
      <w:r w:rsidR="00A87474">
        <w:rPr>
          <w:sz w:val="24"/>
          <w:szCs w:val="24"/>
        </w:rPr>
        <w:t>]</w:t>
      </w:r>
      <w:r>
        <w:rPr>
          <w:sz w:val="24"/>
          <w:szCs w:val="24"/>
        </w:rPr>
        <w:t xml:space="preserve">, showing the value of foregone profits from farming, allows the offset market to clear at an equilibrium offset price </w:t>
      </w:r>
      <m:oMath>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r>
          <w:rPr>
            <w:rFonts w:ascii="Cambria Math" w:hAnsi="Cambria Math"/>
            <w:sz w:val="24"/>
            <w:szCs w:val="24"/>
          </w:rPr>
          <m:t>(n,m,e,</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k</m:t>
            </m:r>
          </m:sub>
        </m:sSub>
        <m:r>
          <w:rPr>
            <w:rFonts w:ascii="Cambria Math" w:hAnsi="Cambria Math"/>
            <w:sz w:val="24"/>
            <w:szCs w:val="24"/>
          </w:rPr>
          <m:t>,r))</m:t>
        </m:r>
      </m:oMath>
      <w:r>
        <w:rPr>
          <w:sz w:val="24"/>
          <w:szCs w:val="24"/>
        </w:rPr>
        <w:t xml:space="preserve">. This generates an equilibrium amount of hectares </w:t>
      </w:r>
      <m:oMath>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oMath>
      <w:r>
        <w:rPr>
          <w:sz w:val="24"/>
          <w:szCs w:val="24"/>
        </w:rPr>
        <w:t xml:space="preserve"> for biodiversity offsets such that </w:t>
      </w:r>
      <m:oMath>
        <m:r>
          <w:rPr>
            <w:rFonts w:ascii="Cambria Math" w:hAnsi="Cambria Math"/>
            <w:sz w:val="24"/>
            <w:szCs w:val="24"/>
          </w:rPr>
          <m:t>S</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e>
        </m:d>
        <m:r>
          <w:rPr>
            <w:rFonts w:ascii="Cambria Math" w:hAnsi="Cambria Math"/>
            <w:sz w:val="24"/>
            <w:szCs w:val="24"/>
          </w:rPr>
          <m:t>=D</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e>
        </m:d>
        <m:r>
          <w:rPr>
            <w:rFonts w:ascii="Cambria Math" w:hAnsi="Cambria Math"/>
            <w:sz w:val="24"/>
            <w:szCs w:val="24"/>
          </w:rPr>
          <m:t>.</m:t>
        </m:r>
      </m:oMath>
      <w:r>
        <w:rPr>
          <w:sz w:val="24"/>
          <w:szCs w:val="24"/>
        </w:rPr>
        <w:t xml:space="preserve"> Knowing the expression of the equilibrium price of offset credits, </w:t>
      </w:r>
      <m:oMath>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m:t>
            </m:r>
          </m:sup>
        </m:sSup>
      </m:oMath>
      <w:r>
        <w:rPr>
          <w:sz w:val="24"/>
          <w:szCs w:val="24"/>
        </w:rPr>
        <w:t xml:space="preserve">, we can now do some comparative statics exercises to determine how the equilibrium price responds to changes in the identified determinants. </w:t>
      </w:r>
      <w:bookmarkStart w:id="17" w:name="_Hlk32931793"/>
      <w:r>
        <w:rPr>
          <w:sz w:val="24"/>
          <w:szCs w:val="24"/>
        </w:rPr>
        <w:t xml:space="preserve">First, a change in the market size governs the offset equilibrium price in a straightforward manner. An increase in the number of sellers, </w:t>
      </w:r>
      <m:oMath>
        <m:r>
          <w:rPr>
            <w:rFonts w:ascii="Cambria Math" w:hAnsi="Cambria Math"/>
            <w:sz w:val="24"/>
            <w:szCs w:val="24"/>
          </w:rPr>
          <m:t>n</m:t>
        </m:r>
      </m:oMath>
      <w:r>
        <w:rPr>
          <w:sz w:val="24"/>
          <w:szCs w:val="24"/>
        </w:rPr>
        <w:t xml:space="preserve">, would increase the </w:t>
      </w:r>
      <w:proofErr w:type="gramStart"/>
      <w:r>
        <w:rPr>
          <w:sz w:val="24"/>
          <w:szCs w:val="24"/>
        </w:rPr>
        <w:t>amount</w:t>
      </w:r>
      <w:proofErr w:type="gramEnd"/>
      <w:r>
        <w:rPr>
          <w:sz w:val="24"/>
          <w:szCs w:val="24"/>
        </w:rPr>
        <w:t xml:space="preserve"> of hectares supplied to the market for offsetting, which would have a downward pressure on the equilibrium price. In contrast, the equilibrium price would increase if demand would be enhanced through an increase in the number of buyers, </w:t>
      </w:r>
      <m:oMath>
        <m:r>
          <w:rPr>
            <w:rFonts w:ascii="Cambria Math" w:hAnsi="Cambria Math"/>
            <w:sz w:val="24"/>
            <w:szCs w:val="24"/>
          </w:rPr>
          <m:t>m</m:t>
        </m:r>
      </m:oMath>
      <w:r>
        <w:rPr>
          <w:sz w:val="24"/>
          <w:szCs w:val="24"/>
        </w:rPr>
        <w:t xml:space="preserve">. These two effects are summarized by Eqs. </w:t>
      </w:r>
      <w:r w:rsidR="00A87474">
        <w:rPr>
          <w:sz w:val="24"/>
          <w:szCs w:val="24"/>
        </w:rPr>
        <w:t>[</w:t>
      </w:r>
      <w:r>
        <w:rPr>
          <w:sz w:val="24"/>
          <w:szCs w:val="24"/>
        </w:rPr>
        <w:t>4a</w:t>
      </w:r>
      <w:r w:rsidR="00A87474">
        <w:rPr>
          <w:sz w:val="24"/>
          <w:szCs w:val="24"/>
        </w:rPr>
        <w:t>]</w:t>
      </w:r>
      <w:r>
        <w:rPr>
          <w:sz w:val="24"/>
          <w:szCs w:val="24"/>
        </w:rPr>
        <w:t xml:space="preserve"> and </w:t>
      </w:r>
      <w:r w:rsidR="00A87474">
        <w:rPr>
          <w:sz w:val="24"/>
          <w:szCs w:val="24"/>
        </w:rPr>
        <w:t>[</w:t>
      </w:r>
      <w:r>
        <w:rPr>
          <w:sz w:val="24"/>
          <w:szCs w:val="24"/>
        </w:rPr>
        <w:t>4b</w:t>
      </w:r>
      <w:r w:rsidR="00A87474">
        <w:rPr>
          <w:sz w:val="24"/>
          <w:szCs w:val="24"/>
        </w:rPr>
        <w:t>]</w:t>
      </w:r>
      <w:r>
        <w:rPr>
          <w:sz w:val="24"/>
          <w:szCs w:val="24"/>
        </w:rPr>
        <w:t>, respectively:</w:t>
      </w:r>
    </w:p>
    <w:bookmarkEnd w:id="17"/>
    <w:p w14:paraId="14BB2DCA" w14:textId="3FF9D240" w:rsidR="00042F9C" w:rsidRPr="00EA2D1E" w:rsidRDefault="004F612E" w:rsidP="00EA2D1E">
      <w:pPr>
        <w:tabs>
          <w:tab w:val="right" w:pos="9026"/>
        </w:tabs>
        <w:spacing w:line="480" w:lineRule="auto"/>
        <w:ind w:firstLine="0"/>
        <w:rPr>
          <w:sz w:val="24"/>
          <w:szCs w:val="24"/>
          <w:lang w:val="pt-BR"/>
        </w:rPr>
      </w:pPr>
      <m:oMath>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lang w:val="pt-BR"/>
                  </w:rPr>
                  <m:t>*</m:t>
                </m:r>
              </m:sup>
            </m:sSup>
          </m:num>
          <m:den>
            <m:r>
              <w:rPr>
                <w:rFonts w:ascii="Cambria Math" w:hAnsi="Cambria Math"/>
                <w:sz w:val="24"/>
                <w:szCs w:val="24"/>
              </w:rPr>
              <m:t>∂n</m:t>
            </m:r>
          </m:den>
        </m:f>
        <m:r>
          <m:rPr>
            <m:sty m:val="p"/>
          </m:rPr>
          <w:rPr>
            <w:rFonts w:ascii="Cambria Math" w:hAnsi="Cambria Math"/>
            <w:sz w:val="24"/>
            <w:szCs w:val="24"/>
            <w:lang w:val="pt-BR"/>
          </w:rPr>
          <m:t>=</m:t>
        </m:r>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lang w:val="pt-BR"/>
                  </w:rPr>
                  <m:t>*</m:t>
                </m:r>
              </m:sup>
            </m:sSup>
          </m:num>
          <m:den>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lang w:val="pt-BR"/>
                  </w:rPr>
                  <m:t>h</m:t>
                </m:r>
              </m:e>
              <m:sup>
                <m:r>
                  <m:rPr>
                    <m:sty m:val="p"/>
                  </m:rPr>
                  <w:rPr>
                    <w:rFonts w:ascii="Cambria Math" w:hAnsi="Cambria Math"/>
                    <w:sz w:val="24"/>
                    <w:szCs w:val="24"/>
                    <w:lang w:val="pt-BR"/>
                  </w:rPr>
                  <m:t>*</m:t>
                </m:r>
              </m:sup>
            </m:sSup>
          </m:den>
        </m:f>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lang w:val="pt-BR"/>
                  </w:rPr>
                  <m:t>h</m:t>
                </m:r>
              </m:e>
              <m:sup>
                <m:r>
                  <m:rPr>
                    <m:sty m:val="p"/>
                  </m:rPr>
                  <w:rPr>
                    <w:rFonts w:ascii="Cambria Math" w:hAnsi="Cambria Math"/>
                    <w:sz w:val="24"/>
                    <w:szCs w:val="24"/>
                    <w:lang w:val="pt-BR"/>
                  </w:rPr>
                  <m:t>*</m:t>
                </m:r>
              </m:sup>
            </m:sSup>
          </m:num>
          <m:den>
            <m:r>
              <w:rPr>
                <w:rFonts w:ascii="Cambria Math" w:hAnsi="Cambria Math"/>
                <w:sz w:val="24"/>
                <w:szCs w:val="24"/>
              </w:rPr>
              <m:t>∂n</m:t>
            </m:r>
          </m:den>
        </m:f>
        <m:r>
          <m:rPr>
            <m:sty m:val="p"/>
          </m:rPr>
          <w:rPr>
            <w:rFonts w:ascii="Cambria Math" w:hAnsi="Cambria Math"/>
            <w:sz w:val="24"/>
            <w:szCs w:val="24"/>
            <w:lang w:val="pt-BR"/>
          </w:rPr>
          <m:t>&lt;0</m:t>
        </m:r>
      </m:oMath>
      <w:r w:rsidR="000346DE" w:rsidRPr="00EA2D1E">
        <w:rPr>
          <w:sz w:val="24"/>
          <w:szCs w:val="24"/>
          <w:lang w:val="pt-BR"/>
        </w:rPr>
        <w:t xml:space="preserve"> </w:t>
      </w:r>
      <w:r w:rsidR="00EA2D1E" w:rsidRPr="00EA2D1E">
        <w:rPr>
          <w:sz w:val="24"/>
          <w:szCs w:val="24"/>
          <w:lang w:val="pt-BR"/>
        </w:rPr>
        <w:tab/>
        <w:t>[4a</w:t>
      </w:r>
      <w:r w:rsidR="00EA2D1E">
        <w:rPr>
          <w:sz w:val="24"/>
          <w:szCs w:val="24"/>
          <w:lang w:val="pt-BR"/>
        </w:rPr>
        <w:t>]</w:t>
      </w:r>
    </w:p>
    <w:p w14:paraId="6BD86137" w14:textId="6CF1CD9D" w:rsidR="00042F9C" w:rsidRPr="00EA2D1E" w:rsidRDefault="00010F39" w:rsidP="00EA2D1E">
      <w:pPr>
        <w:tabs>
          <w:tab w:val="right" w:pos="9026"/>
        </w:tabs>
        <w:spacing w:line="480" w:lineRule="auto"/>
        <w:ind w:firstLine="0"/>
        <w:rPr>
          <w:sz w:val="24"/>
          <w:szCs w:val="24"/>
          <w:lang w:val="pt-BR"/>
        </w:rPr>
      </w:pPr>
      <m:oMath>
        <m:r>
          <m:rPr>
            <m:sty m:val="p"/>
          </m:rPr>
          <w:rPr>
            <w:rFonts w:ascii="Cambria Math" w:hAnsi="Cambria Math"/>
            <w:sz w:val="24"/>
            <w:szCs w:val="24"/>
            <w:lang w:val="pt-BR"/>
          </w:rPr>
          <m:t xml:space="preserve"> </m:t>
        </m:r>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lang w:val="pt-BR"/>
                  </w:rPr>
                  <m:t>*</m:t>
                </m:r>
              </m:sup>
            </m:sSup>
          </m:num>
          <m:den>
            <m:r>
              <w:rPr>
                <w:rFonts w:ascii="Cambria Math" w:hAnsi="Cambria Math"/>
                <w:sz w:val="24"/>
                <w:szCs w:val="24"/>
              </w:rPr>
              <m:t>∂m</m:t>
            </m:r>
          </m:den>
        </m:f>
        <m:r>
          <m:rPr>
            <m:sty m:val="p"/>
          </m:rPr>
          <w:rPr>
            <w:rFonts w:ascii="Cambria Math" w:hAnsi="Cambria Math"/>
            <w:sz w:val="24"/>
            <w:szCs w:val="24"/>
            <w:lang w:val="pt-BR"/>
          </w:rPr>
          <m:t>=</m:t>
        </m:r>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lang w:val="pt-BR"/>
                  </w:rPr>
                  <m:t>*</m:t>
                </m:r>
              </m:sup>
            </m:sSup>
          </m:num>
          <m:den>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lang w:val="pt-BR"/>
                  </w:rPr>
                  <m:t>h</m:t>
                </m:r>
              </m:e>
              <m:sup>
                <m:r>
                  <m:rPr>
                    <m:sty m:val="p"/>
                  </m:rPr>
                  <w:rPr>
                    <w:rFonts w:ascii="Cambria Math" w:hAnsi="Cambria Math"/>
                    <w:sz w:val="24"/>
                    <w:szCs w:val="24"/>
                    <w:lang w:val="pt-BR"/>
                  </w:rPr>
                  <m:t>*</m:t>
                </m:r>
              </m:sup>
            </m:sSup>
          </m:den>
        </m:f>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lang w:val="pt-BR"/>
                  </w:rPr>
                  <m:t>h</m:t>
                </m:r>
              </m:e>
              <m:sup>
                <m:r>
                  <m:rPr>
                    <m:sty m:val="p"/>
                  </m:rPr>
                  <w:rPr>
                    <w:rFonts w:ascii="Cambria Math" w:hAnsi="Cambria Math"/>
                    <w:sz w:val="24"/>
                    <w:szCs w:val="24"/>
                    <w:lang w:val="pt-BR"/>
                  </w:rPr>
                  <m:t>*</m:t>
                </m:r>
              </m:sup>
            </m:sSup>
          </m:num>
          <m:den>
            <m:r>
              <w:rPr>
                <w:rFonts w:ascii="Cambria Math" w:hAnsi="Cambria Math"/>
                <w:sz w:val="24"/>
                <w:szCs w:val="24"/>
              </w:rPr>
              <m:t>∂m</m:t>
            </m:r>
          </m:den>
        </m:f>
        <m:r>
          <m:rPr>
            <m:sty m:val="p"/>
          </m:rPr>
          <w:rPr>
            <w:rFonts w:ascii="Cambria Math" w:hAnsi="Cambria Math"/>
            <w:sz w:val="24"/>
            <w:szCs w:val="24"/>
            <w:lang w:val="pt-BR"/>
          </w:rPr>
          <m:t>&gt;0</m:t>
        </m:r>
      </m:oMath>
      <w:r w:rsidR="00EA2D1E" w:rsidRPr="00EA2D1E">
        <w:rPr>
          <w:sz w:val="24"/>
          <w:szCs w:val="24"/>
          <w:lang w:val="pt-BR"/>
        </w:rPr>
        <w:t xml:space="preserve"> </w:t>
      </w:r>
      <w:r w:rsidR="00EA2D1E">
        <w:rPr>
          <w:sz w:val="24"/>
          <w:szCs w:val="24"/>
          <w:lang w:val="pt-BR"/>
        </w:rPr>
        <w:tab/>
        <w:t>[4b]</w:t>
      </w:r>
    </w:p>
    <w:p w14:paraId="5E21D68B" w14:textId="69C50CAF" w:rsidR="00EA2D1E" w:rsidRDefault="00042F9C" w:rsidP="00EA2D1E">
      <w:pPr>
        <w:spacing w:line="480" w:lineRule="auto"/>
        <w:ind w:firstLine="0"/>
        <w:rPr>
          <w:sz w:val="24"/>
          <w:szCs w:val="24"/>
        </w:rPr>
      </w:pPr>
      <w:bookmarkStart w:id="18" w:name="_Hlk32931798"/>
      <w:r>
        <w:rPr>
          <w:sz w:val="24"/>
          <w:szCs w:val="24"/>
        </w:rPr>
        <w:t xml:space="preserve">Second, a rise in the opportunity cost of land use of type </w:t>
      </w:r>
      <m:oMath>
        <m:r>
          <w:rPr>
            <w:rFonts w:ascii="Cambria Math" w:hAnsi="Cambria Math"/>
            <w:sz w:val="24"/>
            <w:szCs w:val="24"/>
          </w:rPr>
          <m:t>k</m:t>
        </m:r>
      </m:oMath>
      <w:r>
        <w:rPr>
          <w:sz w:val="24"/>
          <w:szCs w:val="24"/>
        </w:rPr>
        <w:t xml:space="preserve">, implying more profit foregone from agricultural production, has a suppressing impact on the total amount of land supplied at any price. This, in turn, would push up the equilibrium price of offsets for a given demand for </w:t>
      </w:r>
      <w:r>
        <w:rPr>
          <w:sz w:val="24"/>
          <w:szCs w:val="24"/>
        </w:rPr>
        <w:lastRenderedPageBreak/>
        <w:t>offsets:</w:t>
      </w:r>
      <w:bookmarkEnd w:id="18"/>
      <w:r>
        <w:rPr>
          <w:sz w:val="24"/>
          <w:szCs w:val="24"/>
        </w:rPr>
        <w:br/>
      </w:r>
      <m:oMath>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rPr>
                  <m:t>*</m:t>
                </m:r>
              </m:sup>
            </m:sSup>
          </m:num>
          <m:den>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k</m:t>
                </m:r>
              </m:sub>
            </m:sSub>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rPr>
                  <m:t>*</m:t>
                </m:r>
              </m:sup>
            </m:sSup>
          </m:num>
          <m:den>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m:t>
                </m:r>
              </m:sup>
            </m:sSup>
          </m:den>
        </m:f>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m:t>
                </m:r>
              </m:sup>
            </m:sSup>
          </m:num>
          <m:den>
            <m: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k</m:t>
                </m:r>
              </m:sub>
            </m:sSub>
          </m:den>
        </m:f>
        <m:r>
          <m:rPr>
            <m:sty m:val="p"/>
          </m:rPr>
          <w:rPr>
            <w:rFonts w:ascii="Cambria Math" w:hAnsi="Cambria Math"/>
            <w:sz w:val="24"/>
            <w:szCs w:val="24"/>
          </w:rPr>
          <m:t>&gt;0</m:t>
        </m:r>
      </m:oMath>
      <w:r w:rsidR="00EA2D1E">
        <w:rPr>
          <w:sz w:val="24"/>
          <w:szCs w:val="24"/>
        </w:rPr>
        <w:t xml:space="preserve">                                                                                                                     </w:t>
      </w:r>
      <w:proofErr w:type="gramStart"/>
      <w:r w:rsidR="00EA2D1E">
        <w:rPr>
          <w:sz w:val="24"/>
          <w:szCs w:val="24"/>
        </w:rPr>
        <w:t xml:space="preserve">   [</w:t>
      </w:r>
      <w:proofErr w:type="gramEnd"/>
      <w:r w:rsidR="00EA2D1E">
        <w:rPr>
          <w:sz w:val="24"/>
          <w:szCs w:val="24"/>
        </w:rPr>
        <w:t>4c]</w:t>
      </w:r>
    </w:p>
    <w:p w14:paraId="64A30A44" w14:textId="77777777" w:rsidR="00042F9C" w:rsidRDefault="00042F9C" w:rsidP="00042F9C">
      <w:pPr>
        <w:spacing w:line="480" w:lineRule="auto"/>
        <w:ind w:firstLine="0"/>
        <w:rPr>
          <w:sz w:val="24"/>
          <w:szCs w:val="24"/>
        </w:rPr>
      </w:pPr>
      <w:bookmarkStart w:id="19" w:name="_Hlk32931803"/>
      <w:r>
        <w:rPr>
          <w:sz w:val="24"/>
          <w:szCs w:val="24"/>
        </w:rPr>
        <w:t>Third, higher expected house prices would attract more land being demanded for development. For a given supply of land, this would increase the equilibrium offset price:</w:t>
      </w:r>
    </w:p>
    <w:bookmarkEnd w:id="19"/>
    <w:p w14:paraId="5DCDCE55" w14:textId="382FC48F" w:rsidR="00042F9C" w:rsidRDefault="004F612E" w:rsidP="00EA2D1E">
      <w:pPr>
        <w:spacing w:line="480" w:lineRule="auto"/>
        <w:ind w:firstLine="0"/>
        <w:rPr>
          <w:sz w:val="24"/>
          <w:szCs w:val="24"/>
        </w:rPr>
      </w:pPr>
      <m:oMath>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rPr>
                  <m:t>*</m:t>
                </m:r>
              </m:sup>
            </m:sSup>
          </m:num>
          <m:den>
            <m:r>
              <w:rPr>
                <w:rFonts w:ascii="Cambria Math" w:hAnsi="Cambria Math"/>
                <w:sz w:val="24"/>
                <w:szCs w:val="24"/>
              </w:rPr>
              <m:t>∂r</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rPr>
                  <m:t>*</m:t>
                </m:r>
              </m:sup>
            </m:sSup>
          </m:num>
          <m:den>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m:t>
                </m:r>
              </m:sup>
            </m:sSup>
          </m:den>
        </m:f>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m:t>
                </m:r>
              </m:sup>
            </m:sSup>
          </m:num>
          <m:den>
            <m:r>
              <w:rPr>
                <w:rFonts w:ascii="Cambria Math" w:hAnsi="Cambria Math"/>
                <w:sz w:val="24"/>
                <w:szCs w:val="24"/>
              </w:rPr>
              <m:t>∂r</m:t>
            </m:r>
          </m:den>
        </m:f>
        <m:r>
          <m:rPr>
            <m:sty m:val="p"/>
          </m:rPr>
          <w:rPr>
            <w:rFonts w:ascii="Cambria Math" w:hAnsi="Cambria Math"/>
            <w:sz w:val="24"/>
            <w:szCs w:val="24"/>
          </w:rPr>
          <m:t>&gt;0</m:t>
        </m:r>
      </m:oMath>
      <w:r w:rsidR="00EA2D1E">
        <w:rPr>
          <w:sz w:val="24"/>
          <w:szCs w:val="24"/>
        </w:rPr>
        <w:t xml:space="preserve">                                                                                                                      [4d]</w:t>
      </w:r>
    </w:p>
    <w:p w14:paraId="3B7187D8" w14:textId="1006483F" w:rsidR="0001610F" w:rsidRDefault="00042F9C" w:rsidP="00042F9C">
      <w:pPr>
        <w:spacing w:line="480" w:lineRule="auto"/>
        <w:ind w:firstLine="0"/>
        <w:rPr>
          <w:sz w:val="24"/>
          <w:szCs w:val="24"/>
        </w:rPr>
      </w:pPr>
      <w:bookmarkStart w:id="20" w:name="_Hlk32931809"/>
      <w:r>
        <w:rPr>
          <w:sz w:val="24"/>
          <w:szCs w:val="24"/>
        </w:rPr>
        <w:t xml:space="preserve">Finally, a change in the trading ratio between site </w:t>
      </w:r>
      <m:oMath>
        <m:r>
          <w:rPr>
            <w:rFonts w:ascii="Cambria Math" w:hAnsi="Cambria Math"/>
            <w:sz w:val="24"/>
            <w:szCs w:val="24"/>
          </w:rPr>
          <m:t>i</m:t>
        </m:r>
      </m:oMath>
      <w:r>
        <w:rPr>
          <w:sz w:val="24"/>
          <w:szCs w:val="24"/>
        </w:rPr>
        <w:t xml:space="preserve"> and </w:t>
      </w:r>
      <m:oMath>
        <m:r>
          <w:rPr>
            <w:rFonts w:ascii="Cambria Math" w:hAnsi="Cambria Math"/>
            <w:sz w:val="24"/>
            <w:szCs w:val="24"/>
          </w:rPr>
          <m:t>j</m:t>
        </m:r>
      </m:oMath>
      <w:r>
        <w:rPr>
          <w:sz w:val="24"/>
          <w:szCs w:val="24"/>
        </w:rPr>
        <w:t xml:space="preserve"> can originate from a change in the ecological value of either site. </w:t>
      </w:r>
      <w:bookmarkEnd w:id="20"/>
      <w:r>
        <w:rPr>
          <w:sz w:val="24"/>
          <w:szCs w:val="24"/>
        </w:rPr>
        <w:t xml:space="preserve">More specifically, following the definition of the trading ratio in </w:t>
      </w:r>
      <w:r w:rsidR="00A87474">
        <w:rPr>
          <w:sz w:val="24"/>
          <w:szCs w:val="24"/>
        </w:rPr>
        <w:t>[</w:t>
      </w:r>
      <w:r>
        <w:rPr>
          <w:sz w:val="24"/>
          <w:szCs w:val="24"/>
        </w:rPr>
        <w:t>1</w:t>
      </w:r>
      <w:r w:rsidR="00A87474">
        <w:rPr>
          <w:sz w:val="24"/>
          <w:szCs w:val="24"/>
        </w:rPr>
        <w:t>]</w:t>
      </w:r>
      <w:r>
        <w:rPr>
          <w:sz w:val="24"/>
          <w:szCs w:val="24"/>
        </w:rPr>
        <w:t xml:space="preserve">, an increasing trading ratio can be the result from a higher (lower) ecological value of site </w:t>
      </w:r>
      <m:oMath>
        <m:r>
          <w:rPr>
            <w:rFonts w:ascii="Cambria Math" w:hAnsi="Cambria Math"/>
            <w:sz w:val="24"/>
            <w:szCs w:val="24"/>
          </w:rPr>
          <m:t>i</m:t>
        </m:r>
      </m:oMath>
      <w:r>
        <w:rPr>
          <w:sz w:val="24"/>
          <w:szCs w:val="24"/>
        </w:rPr>
        <w:t xml:space="preserve"> (</w:t>
      </w:r>
      <m:oMath>
        <m:r>
          <w:rPr>
            <w:rFonts w:ascii="Cambria Math" w:hAnsi="Cambria Math"/>
            <w:sz w:val="24"/>
            <w:szCs w:val="24"/>
          </w:rPr>
          <m:t>j</m:t>
        </m:r>
      </m:oMath>
      <w:r>
        <w:rPr>
          <w:sz w:val="24"/>
          <w:szCs w:val="24"/>
        </w:rPr>
        <w:t xml:space="preserve">). If the ecological value of site </w:t>
      </w:r>
      <m:oMath>
        <m:r>
          <w:rPr>
            <w:rFonts w:ascii="Cambria Math" w:hAnsi="Cambria Math"/>
            <w:sz w:val="24"/>
            <w:szCs w:val="24"/>
          </w:rPr>
          <m:t>i</m:t>
        </m:r>
      </m:oMath>
      <w:r>
        <w:rPr>
          <w:sz w:val="24"/>
          <w:szCs w:val="24"/>
        </w:rPr>
        <w:t xml:space="preserve"> increases, this reduces the number of offset credits a developer needs to buy, since each credit now delivers more biodiversity. The same effect applies if the ecological value of site </w:t>
      </w:r>
      <m:oMath>
        <m:r>
          <w:rPr>
            <w:rFonts w:ascii="Cambria Math" w:hAnsi="Cambria Math"/>
            <w:sz w:val="24"/>
            <w:szCs w:val="24"/>
          </w:rPr>
          <m:t>j</m:t>
        </m:r>
      </m:oMath>
      <w:r>
        <w:rPr>
          <w:sz w:val="24"/>
          <w:szCs w:val="24"/>
        </w:rPr>
        <w:t xml:space="preserve"> decreases. In this case too the developer needs to buy less credits to offset each hectare of land on which development occurs, since the land converted to development is ecologically less valuable. This reduction in offset credits demanded implies that the equilibrium offset price decreases with an increasing trading ratio:</w:t>
      </w:r>
      <w:r w:rsidR="0001610F">
        <w:rPr>
          <w:sz w:val="24"/>
          <w:szCs w:val="24"/>
          <w:vertAlign w:val="superscript"/>
        </w:rPr>
        <w:endnoteReference w:id="3"/>
      </w:r>
    </w:p>
    <w:p w14:paraId="0D7531B4" w14:textId="72B347F6" w:rsidR="00042F9C" w:rsidRDefault="004F612E" w:rsidP="00EA2D1E">
      <w:pPr>
        <w:spacing w:line="480" w:lineRule="auto"/>
        <w:ind w:firstLine="0"/>
        <w:rPr>
          <w:sz w:val="24"/>
          <w:szCs w:val="24"/>
        </w:rPr>
      </w:pPr>
      <m:oMath>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rPr>
                  <m:t>*</m:t>
                </m:r>
              </m:sup>
            </m:sSup>
          </m:num>
          <m:den>
            <m:r>
              <w:rPr>
                <w:rFonts w:ascii="Cambria Math" w:hAnsi="Cambria Math"/>
                <w:sz w:val="24"/>
                <w:szCs w:val="24"/>
              </w:rPr>
              <m:t>∂e</m:t>
            </m:r>
          </m:den>
        </m:f>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p</m:t>
                </m:r>
              </m:e>
              <m:sup>
                <m:r>
                  <m:rPr>
                    <m:sty m:val="p"/>
                  </m:rPr>
                  <w:rPr>
                    <w:rFonts w:ascii="Cambria Math" w:hAnsi="Cambria Math"/>
                    <w:sz w:val="24"/>
                    <w:szCs w:val="24"/>
                  </w:rPr>
                  <m:t>*</m:t>
                </m:r>
              </m:sup>
            </m:sSup>
          </m:num>
          <m:den>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m:t>
                </m:r>
              </m:sup>
            </m:sSup>
          </m:den>
        </m:f>
        <m:f>
          <m:fPr>
            <m:ctrlPr>
              <w:rPr>
                <w:rFonts w:ascii="Cambria Math" w:hAnsi="Cambria Math"/>
                <w:sz w:val="24"/>
                <w:szCs w:val="24"/>
              </w:rPr>
            </m:ctrlPr>
          </m:fPr>
          <m:num>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h</m:t>
                </m:r>
              </m:e>
              <m:sup>
                <m:r>
                  <m:rPr>
                    <m:sty m:val="p"/>
                  </m:rPr>
                  <w:rPr>
                    <w:rFonts w:ascii="Cambria Math" w:hAnsi="Cambria Math"/>
                    <w:sz w:val="24"/>
                    <w:szCs w:val="24"/>
                  </w:rPr>
                  <m:t>*</m:t>
                </m:r>
              </m:sup>
            </m:sSup>
          </m:num>
          <m:den>
            <m:r>
              <w:rPr>
                <w:rFonts w:ascii="Cambria Math" w:hAnsi="Cambria Math"/>
                <w:sz w:val="24"/>
                <w:szCs w:val="24"/>
              </w:rPr>
              <m:t>∂e</m:t>
            </m:r>
          </m:den>
        </m:f>
        <m:r>
          <m:rPr>
            <m:sty m:val="p"/>
          </m:rPr>
          <w:rPr>
            <w:rFonts w:ascii="Cambria Math" w:hAnsi="Cambria Math"/>
            <w:sz w:val="24"/>
            <w:szCs w:val="24"/>
          </w:rPr>
          <m:t>&lt;0</m:t>
        </m:r>
      </m:oMath>
      <w:r w:rsidR="00EA2D1E">
        <w:rPr>
          <w:sz w:val="24"/>
          <w:szCs w:val="24"/>
        </w:rPr>
        <w:t xml:space="preserve">                                                                                                                      [4e]</w:t>
      </w:r>
    </w:p>
    <w:p w14:paraId="7CD57020" w14:textId="32C514BD" w:rsidR="0022002F" w:rsidRPr="003D75FB" w:rsidRDefault="0022002F" w:rsidP="003D75FB">
      <w:pPr>
        <w:pStyle w:val="Heading1"/>
        <w:spacing w:line="480" w:lineRule="auto"/>
      </w:pPr>
      <w:r w:rsidRPr="003D75FB">
        <w:t xml:space="preserve">An Integrated Ecological – Economic Model of a Biodiversity Offset Market </w:t>
      </w:r>
    </w:p>
    <w:p w14:paraId="4DB96629" w14:textId="0AC88A86" w:rsidR="0022002F" w:rsidRPr="003D75FB" w:rsidRDefault="0022002F" w:rsidP="00EA2D1E">
      <w:pPr>
        <w:pStyle w:val="Heading1"/>
        <w:numPr>
          <w:ilvl w:val="0"/>
          <w:numId w:val="0"/>
        </w:numPr>
        <w:ind w:left="432" w:hanging="432"/>
      </w:pPr>
      <w:r w:rsidRPr="003D75FB">
        <w:t xml:space="preserve">Model Overview </w:t>
      </w:r>
    </w:p>
    <w:p w14:paraId="1D9E0337" w14:textId="13012E5F" w:rsidR="0022002F" w:rsidRDefault="0022002F">
      <w:pPr>
        <w:spacing w:line="480" w:lineRule="auto"/>
        <w:ind w:firstLine="0"/>
        <w:rPr>
          <w:sz w:val="24"/>
          <w:szCs w:val="24"/>
        </w:rPr>
      </w:pPr>
      <w:r w:rsidRPr="003D75FB">
        <w:rPr>
          <w:sz w:val="24"/>
          <w:szCs w:val="24"/>
        </w:rPr>
        <w:t xml:space="preserve">In the previous section, we developed a </w:t>
      </w:r>
      <w:r w:rsidR="007071B5">
        <w:rPr>
          <w:sz w:val="24"/>
          <w:szCs w:val="24"/>
        </w:rPr>
        <w:t>conceptual</w:t>
      </w:r>
      <w:r w:rsidR="007071B5" w:rsidRPr="003D75FB">
        <w:rPr>
          <w:sz w:val="24"/>
          <w:szCs w:val="24"/>
        </w:rPr>
        <w:t xml:space="preserve"> </w:t>
      </w:r>
      <w:r w:rsidRPr="003D75FB">
        <w:rPr>
          <w:sz w:val="24"/>
          <w:szCs w:val="24"/>
        </w:rPr>
        <w:t xml:space="preserve">model for a biodiversity offset market. We now adapt this model and apply it to our case study, using integrated ecological-economic modelling. </w:t>
      </w:r>
      <w:r w:rsidR="007071B5">
        <w:rPr>
          <w:sz w:val="24"/>
          <w:szCs w:val="24"/>
        </w:rPr>
        <w:t>This empirical</w:t>
      </w:r>
      <w:r w:rsidRPr="003D75FB">
        <w:rPr>
          <w:sz w:val="24"/>
          <w:szCs w:val="24"/>
        </w:rPr>
        <w:t xml:space="preserve"> model seeks to maximise the joint agricultural and development profits of landowners across a </w:t>
      </w:r>
      <w:r w:rsidR="00C0339C">
        <w:rPr>
          <w:sz w:val="24"/>
          <w:szCs w:val="24"/>
        </w:rPr>
        <w:t>defined</w:t>
      </w:r>
      <w:r w:rsidRPr="003D75FB">
        <w:rPr>
          <w:sz w:val="24"/>
          <w:szCs w:val="24"/>
        </w:rPr>
        <w:t xml:space="preserve"> region, subject to a regulatory limit of no net loss of </w:t>
      </w:r>
      <w:r w:rsidR="00C0339C">
        <w:rPr>
          <w:sz w:val="24"/>
          <w:szCs w:val="24"/>
        </w:rPr>
        <w:t>biodiversity</w:t>
      </w:r>
      <w:r w:rsidRPr="003D75FB">
        <w:rPr>
          <w:sz w:val="24"/>
          <w:szCs w:val="24"/>
        </w:rPr>
        <w:t xml:space="preserve">. </w:t>
      </w:r>
    </w:p>
    <w:p w14:paraId="14832C64" w14:textId="35F71973" w:rsidR="0022002F" w:rsidRPr="003D75FB" w:rsidRDefault="0022002F" w:rsidP="003D75FB">
      <w:pPr>
        <w:spacing w:line="480" w:lineRule="auto"/>
        <w:ind w:firstLine="0"/>
        <w:rPr>
          <w:sz w:val="24"/>
          <w:szCs w:val="24"/>
        </w:rPr>
      </w:pPr>
      <w:r w:rsidRPr="003D75FB">
        <w:rPr>
          <w:sz w:val="24"/>
          <w:szCs w:val="24"/>
        </w:rPr>
        <w:lastRenderedPageBreak/>
        <w:t>Each landowner manages a single 1 by 1 km land parcel and has three options: develop land for housing, provide biodiversity offsets, or maintain the current land use. We assume that landowners maximise profits from land use for each parcel. This profit maximization is subject to a number of constraints: land that is already developed for housing can only remain in a developed state; agricultural land can either remain as agricultural land</w:t>
      </w:r>
      <w:r>
        <w:rPr>
          <w:sz w:val="24"/>
          <w:szCs w:val="24"/>
        </w:rPr>
        <w:t>,</w:t>
      </w:r>
      <w:r w:rsidRPr="003D75FB">
        <w:rPr>
          <w:sz w:val="24"/>
          <w:szCs w:val="24"/>
        </w:rPr>
        <w:t xml:space="preserve"> or the farmer can undertake actions which benefit the ecological target and thus generate biodiversity offset credits. If a landowner chooses to develop, he must hold the relevant number of offset credits to ensure no net loss of the ecological target in the land parcel. </w:t>
      </w:r>
    </w:p>
    <w:p w14:paraId="4AF5CEA1" w14:textId="5059D274" w:rsidR="0022002F" w:rsidRDefault="0022002F">
      <w:pPr>
        <w:spacing w:line="480" w:lineRule="auto"/>
        <w:ind w:firstLine="0"/>
        <w:rPr>
          <w:sz w:val="24"/>
          <w:szCs w:val="24"/>
        </w:rPr>
      </w:pPr>
      <w:r w:rsidRPr="003D75FB">
        <w:rPr>
          <w:sz w:val="24"/>
          <w:szCs w:val="24"/>
        </w:rPr>
        <w:t xml:space="preserve">Our empirical approach consists of three stages. Firstly, an ecological model predicts the current level of our ecological target variable across the case study region, based on current land use. This provides us with a no net loss baseline for the ecological target. Secondly, the ecological model is used to estimate </w:t>
      </w:r>
      <w:r w:rsidRPr="003D75FB">
        <w:rPr>
          <w:i/>
          <w:iCs/>
          <w:sz w:val="24"/>
          <w:szCs w:val="24"/>
        </w:rPr>
        <w:t>potential</w:t>
      </w:r>
      <w:r w:rsidRPr="003D75FB">
        <w:rPr>
          <w:sz w:val="24"/>
          <w:szCs w:val="24"/>
        </w:rPr>
        <w:t xml:space="preserve"> changes in the ecological target as a result of landowners undertaking actions which benefit the ecological target, thus generating the potential number of biodiversity offset credits a land parcel could supply. We then determine the profitability of each land parcel under each land-use options, i.e., development, offset provision or current land use. By integrating this profitability with the offset requirements, supply and demand for offset credits for each land parcel is determined. Finally, we model optimal, sequential </w:t>
      </w:r>
      <w:r w:rsidR="00A16138" w:rsidRPr="003D75FB">
        <w:rPr>
          <w:sz w:val="24"/>
          <w:szCs w:val="24"/>
        </w:rPr>
        <w:t>trades based</w:t>
      </w:r>
      <w:r w:rsidRPr="003D75FB">
        <w:rPr>
          <w:sz w:val="24"/>
          <w:szCs w:val="24"/>
        </w:rPr>
        <w:t xml:space="preserve"> on derived spatially derived demand and supply curves and the no net loss policy goal. </w:t>
      </w:r>
      <w:r w:rsidR="0058436F" w:rsidRPr="0058436F">
        <w:rPr>
          <w:sz w:val="24"/>
          <w:szCs w:val="24"/>
        </w:rPr>
        <w:t>We assume that a mechanism exists within the offsets market which (</w:t>
      </w:r>
      <w:proofErr w:type="spellStart"/>
      <w:r w:rsidR="0058436F" w:rsidRPr="0058436F">
        <w:rPr>
          <w:sz w:val="24"/>
          <w:szCs w:val="24"/>
        </w:rPr>
        <w:t>i</w:t>
      </w:r>
      <w:proofErr w:type="spellEnd"/>
      <w:r w:rsidR="0058436F" w:rsidRPr="0058436F">
        <w:rPr>
          <w:sz w:val="24"/>
          <w:szCs w:val="24"/>
        </w:rPr>
        <w:t>) collects supply offers from all potential suppliers (farmers), in terms of their minimum willingness to accept compensation for the offer of a given offset credit</w:t>
      </w:r>
      <w:r w:rsidR="0058436F">
        <w:rPr>
          <w:sz w:val="24"/>
          <w:szCs w:val="24"/>
        </w:rPr>
        <w:t>;</w:t>
      </w:r>
      <w:r w:rsidR="0058436F" w:rsidRPr="0058436F">
        <w:rPr>
          <w:sz w:val="24"/>
          <w:szCs w:val="24"/>
        </w:rPr>
        <w:t xml:space="preserve"> (ii) collects demand offers from all potential buyers, in terms of their maximum willingness to pay for each offset credit</w:t>
      </w:r>
      <w:r w:rsidR="0058436F">
        <w:rPr>
          <w:sz w:val="24"/>
          <w:szCs w:val="24"/>
        </w:rPr>
        <w:t>;</w:t>
      </w:r>
      <w:r w:rsidR="0058436F" w:rsidRPr="0058436F">
        <w:rPr>
          <w:sz w:val="24"/>
          <w:szCs w:val="24"/>
        </w:rPr>
        <w:t xml:space="preserve"> (iii) orders these supply and demand offers from highest to lowest (demand) and lowest to highest (supply)</w:t>
      </w:r>
      <w:r w:rsidR="0058436F">
        <w:rPr>
          <w:sz w:val="24"/>
          <w:szCs w:val="24"/>
        </w:rPr>
        <w:t>; then</w:t>
      </w:r>
      <w:r w:rsidR="0058436F" w:rsidRPr="0058436F">
        <w:rPr>
          <w:sz w:val="24"/>
          <w:szCs w:val="24"/>
        </w:rPr>
        <w:t xml:space="preserve"> (iv) pairs potential buyers and sellers sequentially in order of (highest </w:t>
      </w:r>
      <w:r w:rsidR="0058436F" w:rsidRPr="0058436F">
        <w:rPr>
          <w:sz w:val="24"/>
          <w:szCs w:val="24"/>
        </w:rPr>
        <w:lastRenderedPageBreak/>
        <w:t>WTP</w:t>
      </w:r>
      <w:r w:rsidR="002D0428">
        <w:rPr>
          <w:sz w:val="24"/>
          <w:szCs w:val="24"/>
        </w:rPr>
        <w:t xml:space="preserve"> </w:t>
      </w:r>
      <w:r w:rsidR="0058436F" w:rsidRPr="0058436F">
        <w:rPr>
          <w:sz w:val="24"/>
          <w:szCs w:val="24"/>
        </w:rPr>
        <w:t>/</w:t>
      </w:r>
      <w:r w:rsidR="002D0428">
        <w:rPr>
          <w:sz w:val="24"/>
          <w:szCs w:val="24"/>
        </w:rPr>
        <w:t xml:space="preserve"> </w:t>
      </w:r>
      <w:r w:rsidR="0058436F" w:rsidRPr="0058436F">
        <w:rPr>
          <w:sz w:val="24"/>
          <w:szCs w:val="24"/>
        </w:rPr>
        <w:t>lowest WTA) to (lowest WTP</w:t>
      </w:r>
      <w:r w:rsidR="002D0428">
        <w:rPr>
          <w:sz w:val="24"/>
          <w:szCs w:val="24"/>
        </w:rPr>
        <w:t xml:space="preserve"> </w:t>
      </w:r>
      <w:r w:rsidR="0058436F" w:rsidRPr="0058436F">
        <w:rPr>
          <w:sz w:val="24"/>
          <w:szCs w:val="24"/>
        </w:rPr>
        <w:t>/</w:t>
      </w:r>
      <w:r w:rsidR="002D0428">
        <w:rPr>
          <w:sz w:val="24"/>
          <w:szCs w:val="24"/>
        </w:rPr>
        <w:t xml:space="preserve"> </w:t>
      </w:r>
      <w:r w:rsidR="0058436F" w:rsidRPr="0058436F">
        <w:rPr>
          <w:sz w:val="24"/>
          <w:szCs w:val="24"/>
        </w:rPr>
        <w:t xml:space="preserve">highest WTA) until no more gains from trade can be realised. This can be called a </w:t>
      </w:r>
      <w:proofErr w:type="spellStart"/>
      <w:r w:rsidR="0058436F" w:rsidRPr="0058436F">
        <w:rPr>
          <w:sz w:val="24"/>
          <w:szCs w:val="24"/>
        </w:rPr>
        <w:t>Walrasian</w:t>
      </w:r>
      <w:proofErr w:type="spellEnd"/>
      <w:r w:rsidR="0058436F" w:rsidRPr="0058436F">
        <w:rPr>
          <w:sz w:val="24"/>
          <w:szCs w:val="24"/>
        </w:rPr>
        <w:t xml:space="preserve"> market-clearing mechanism through a hypothetical auctioneer</w:t>
      </w:r>
      <w:r w:rsidR="0001610F">
        <w:rPr>
          <w:rStyle w:val="EndnoteReference"/>
          <w:sz w:val="24"/>
          <w:szCs w:val="24"/>
        </w:rPr>
        <w:endnoteReference w:id="4"/>
      </w:r>
      <w:r w:rsidR="0001610F" w:rsidRPr="0058436F">
        <w:rPr>
          <w:sz w:val="24"/>
          <w:szCs w:val="24"/>
        </w:rPr>
        <w:t>.</w:t>
      </w:r>
      <w:r w:rsidRPr="003D75FB">
        <w:rPr>
          <w:sz w:val="24"/>
          <w:szCs w:val="24"/>
        </w:rPr>
        <w:t xml:space="preserve"> A schematic of the modelling process is provided in Figure </w:t>
      </w:r>
      <w:r>
        <w:rPr>
          <w:sz w:val="24"/>
          <w:szCs w:val="24"/>
        </w:rPr>
        <w:t>1.</w:t>
      </w:r>
      <w:r w:rsidRPr="003D75FB">
        <w:rPr>
          <w:sz w:val="24"/>
          <w:szCs w:val="24"/>
        </w:rPr>
        <w:t xml:space="preserve"> </w:t>
      </w:r>
    </w:p>
    <w:p w14:paraId="7679BAE5" w14:textId="6FBBF102" w:rsidR="0022002F" w:rsidRPr="00EA2D1E" w:rsidRDefault="0001610F" w:rsidP="0001610F">
      <w:pPr>
        <w:spacing w:line="480" w:lineRule="auto"/>
        <w:ind w:firstLine="0"/>
        <w:jc w:val="center"/>
        <w:rPr>
          <w:b/>
          <w:bCs/>
          <w:sz w:val="28"/>
          <w:szCs w:val="28"/>
          <w:lang w:val="gd-GB"/>
        </w:rPr>
      </w:pPr>
      <w:r w:rsidRPr="00EA2D1E">
        <w:rPr>
          <w:b/>
          <w:bCs/>
          <w:sz w:val="24"/>
          <w:szCs w:val="24"/>
          <w:lang w:val="gd-GB"/>
        </w:rPr>
        <w:t>[Insert Figure 1 here]</w:t>
      </w:r>
    </w:p>
    <w:p w14:paraId="22DD770C" w14:textId="21E218C5" w:rsidR="0022002F" w:rsidRPr="001B568E" w:rsidRDefault="0022002F" w:rsidP="001B568E">
      <w:pPr>
        <w:pStyle w:val="Heading2"/>
      </w:pPr>
      <w:bookmarkStart w:id="21" w:name="_Hlk45879405"/>
      <w:bookmarkStart w:id="22" w:name="_Hlk46215868"/>
      <w:r w:rsidRPr="001B568E">
        <w:t>UK Case Study</w:t>
      </w:r>
    </w:p>
    <w:p w14:paraId="0C4EE2D5" w14:textId="6741F191" w:rsidR="0022002F" w:rsidRDefault="0022002F">
      <w:pPr>
        <w:spacing w:line="480" w:lineRule="auto"/>
        <w:ind w:firstLine="0"/>
        <w:rPr>
          <w:sz w:val="24"/>
          <w:szCs w:val="24"/>
        </w:rPr>
      </w:pPr>
      <w:bookmarkStart w:id="23" w:name="_Hlk48889646"/>
      <w:bookmarkStart w:id="24" w:name="_Hlk46212851"/>
      <w:bookmarkEnd w:id="21"/>
      <w:r w:rsidRPr="003D75FB">
        <w:rPr>
          <w:sz w:val="24"/>
          <w:szCs w:val="24"/>
        </w:rPr>
        <w:t xml:space="preserve">We apply our model of biodiversity offsetting to a UK case study region known as the Tees Valley, Pennine </w:t>
      </w:r>
      <w:proofErr w:type="gramStart"/>
      <w:r w:rsidRPr="003D75FB">
        <w:rPr>
          <w:sz w:val="24"/>
          <w:szCs w:val="24"/>
        </w:rPr>
        <w:t>Uplands</w:t>
      </w:r>
      <w:proofErr w:type="gramEnd"/>
      <w:r w:rsidRPr="003D75FB">
        <w:rPr>
          <w:sz w:val="24"/>
          <w:szCs w:val="24"/>
        </w:rPr>
        <w:t xml:space="preserve"> and North York Moors (Figure </w:t>
      </w:r>
      <w:r>
        <w:rPr>
          <w:sz w:val="24"/>
          <w:szCs w:val="24"/>
        </w:rPr>
        <w:t>2</w:t>
      </w:r>
      <w:r w:rsidRPr="003D75FB">
        <w:rPr>
          <w:sz w:val="24"/>
          <w:szCs w:val="24"/>
        </w:rPr>
        <w:t xml:space="preserve">) The case study region </w:t>
      </w:r>
      <w:r w:rsidRPr="003D75FB" w:rsidDel="005A702C">
        <w:rPr>
          <w:sz w:val="24"/>
          <w:szCs w:val="24"/>
        </w:rPr>
        <w:t>covers an area of approximately 5400 km</w:t>
      </w:r>
      <w:r w:rsidRPr="003D75FB" w:rsidDel="005A702C">
        <w:rPr>
          <w:sz w:val="24"/>
          <w:szCs w:val="24"/>
          <w:vertAlign w:val="superscript"/>
        </w:rPr>
        <w:t>2</w:t>
      </w:r>
      <w:r w:rsidRPr="003D75FB" w:rsidDel="005A702C">
        <w:rPr>
          <w:sz w:val="24"/>
          <w:szCs w:val="24"/>
        </w:rPr>
        <w:t xml:space="preserve"> and encompasses a range of habitats and land use types, from upland moors in the west of the </w:t>
      </w:r>
      <w:r w:rsidRPr="003D75FB">
        <w:rPr>
          <w:sz w:val="24"/>
          <w:szCs w:val="24"/>
        </w:rPr>
        <w:t xml:space="preserve">region, </w:t>
      </w:r>
      <w:r w:rsidRPr="003D75FB" w:rsidDel="005A702C">
        <w:rPr>
          <w:sz w:val="24"/>
          <w:szCs w:val="24"/>
        </w:rPr>
        <w:t xml:space="preserve">low lying agricultural land throughout the central region and increasing urbanization in the east </w:t>
      </w:r>
      <w:r w:rsidRPr="003D75FB">
        <w:rPr>
          <w:sz w:val="24"/>
          <w:szCs w:val="24"/>
        </w:rPr>
        <w:t xml:space="preserve">at the coastal margin. </w:t>
      </w:r>
    </w:p>
    <w:p w14:paraId="6E8EB2AE" w14:textId="31277D9C" w:rsidR="0022002F" w:rsidRDefault="0022002F" w:rsidP="00DD25FE">
      <w:pPr>
        <w:spacing w:line="480" w:lineRule="auto"/>
        <w:ind w:firstLine="0"/>
        <w:rPr>
          <w:sz w:val="24"/>
          <w:szCs w:val="24"/>
        </w:rPr>
      </w:pPr>
      <w:r>
        <w:rPr>
          <w:sz w:val="24"/>
          <w:szCs w:val="24"/>
        </w:rPr>
        <w:t xml:space="preserve">The case study region includes three Special Protection Areas (SPAs) designated </w:t>
      </w:r>
      <w:r w:rsidRPr="003D75FB">
        <w:rPr>
          <w:sz w:val="24"/>
          <w:szCs w:val="24"/>
        </w:rPr>
        <w:t xml:space="preserve">under the EU Birds Directive and three Special Areas for Conservation (SACs) designated under the EU Habitats Directive. </w:t>
      </w:r>
      <w:r>
        <w:rPr>
          <w:sz w:val="24"/>
          <w:szCs w:val="24"/>
        </w:rPr>
        <w:t xml:space="preserve">The upland habitats of the North Pennine Moors SPA and SAC and North Yorkshire SPA contain extensive tracts of semi-natural moorland habitat including upland heath (heather and blanket bogs) and calcareous grasslands. The case study region falls within the Northern Upland Chain Local Nature Partnership that contains the highest density of breeding curlew in Europe and has thus become a priority for stabilising the breeding population (Northern Upland Chain Local Nature Partnership, 2020). </w:t>
      </w:r>
    </w:p>
    <w:p w14:paraId="5253C9FF" w14:textId="79356B1F" w:rsidR="0022002F" w:rsidRDefault="0022002F" w:rsidP="00E66423">
      <w:pPr>
        <w:spacing w:line="480" w:lineRule="auto"/>
        <w:ind w:firstLine="0"/>
        <w:rPr>
          <w:sz w:val="24"/>
          <w:szCs w:val="24"/>
        </w:rPr>
      </w:pPr>
      <w:r>
        <w:rPr>
          <w:sz w:val="24"/>
          <w:szCs w:val="24"/>
        </w:rPr>
        <w:t xml:space="preserve">The coastal habitats of the Teesmouth and Cleveland Coast SPA are </w:t>
      </w:r>
      <w:r w:rsidR="0058436F">
        <w:rPr>
          <w:sz w:val="24"/>
          <w:szCs w:val="24"/>
        </w:rPr>
        <w:t xml:space="preserve">so </w:t>
      </w:r>
      <w:r>
        <w:rPr>
          <w:sz w:val="24"/>
          <w:szCs w:val="24"/>
        </w:rPr>
        <w:t xml:space="preserve">classified for the assemblage of over 20,000 wintering warders, including curlews, lapwings and oystercatchers </w:t>
      </w:r>
      <w:r w:rsidRPr="003D75FB">
        <w:rPr>
          <w:sz w:val="24"/>
          <w:szCs w:val="24"/>
        </w:rPr>
        <w:fldChar w:fldCharType="begin" w:fldLock="1"/>
      </w:r>
      <w:r w:rsidRPr="003D75FB">
        <w:rPr>
          <w:sz w:val="24"/>
          <w:szCs w:val="24"/>
        </w:rPr>
        <w:instrText>ADDIN CSL_CITATION {"citationItems":[{"id":"ITEM-1","itemData":{"URL":"https://jncc.gov.uk/our-work/special-protection-areas-overview/","accessed":{"date-parts":[["2020","2","20"]]},"author":[{"dropping-particle":"","family":"JNCC","given":"Joint nature Conservation Committee)","non-dropping-particle":"","parse-names":false,"suffix":""}],"container-title":"Special Protection Areas – overview","id":"ITEM-1","issued":{"date-parts":[["2020"]]},"title":"Special Protection Areas – overview | JNCC - Adviser to Government on Nature Conservation","type":"webpage"},"uris":["http://www.mendeley.com/documents/?uuid=5b513896-9490-3b29-9262-b01dcb02f8e4"]}],"mendeley":{"formattedCitation":"(JNCC 2020)","plainTextFormattedCitation":"(JNCC 2020)","previouslyFormattedCitation":"(JNCC 2020)"},"properties":{"noteIndex":0},"schema":"https://github.com/citation-style-language/schema/raw/master/csl-citation.json"}</w:instrText>
      </w:r>
      <w:r w:rsidRPr="003D75FB">
        <w:rPr>
          <w:sz w:val="24"/>
          <w:szCs w:val="24"/>
        </w:rPr>
        <w:fldChar w:fldCharType="separate"/>
      </w:r>
      <w:r w:rsidRPr="003D75FB">
        <w:rPr>
          <w:noProof/>
          <w:sz w:val="24"/>
          <w:szCs w:val="24"/>
        </w:rPr>
        <w:t>(JNCC</w:t>
      </w:r>
      <w:r w:rsidR="00EA2D1E">
        <w:rPr>
          <w:noProof/>
          <w:sz w:val="24"/>
          <w:szCs w:val="24"/>
        </w:rPr>
        <w:t>,</w:t>
      </w:r>
      <w:r w:rsidRPr="003D75FB">
        <w:rPr>
          <w:noProof/>
          <w:sz w:val="24"/>
          <w:szCs w:val="24"/>
        </w:rPr>
        <w:t xml:space="preserve"> 2020)</w:t>
      </w:r>
      <w:r w:rsidRPr="003D75FB">
        <w:rPr>
          <w:sz w:val="24"/>
          <w:szCs w:val="24"/>
        </w:rPr>
        <w:fldChar w:fldCharType="end"/>
      </w:r>
      <w:r w:rsidRPr="003D75FB">
        <w:rPr>
          <w:sz w:val="24"/>
          <w:szCs w:val="24"/>
        </w:rPr>
        <w:t>.</w:t>
      </w:r>
      <w:r>
        <w:rPr>
          <w:sz w:val="24"/>
          <w:szCs w:val="24"/>
        </w:rPr>
        <w:t xml:space="preserve"> </w:t>
      </w:r>
      <w:r w:rsidRPr="003D75FB">
        <w:rPr>
          <w:sz w:val="24"/>
          <w:szCs w:val="24"/>
        </w:rPr>
        <w:t xml:space="preserve">The area has been highly modified by human activities, with over 90% of intertidal habitats lost to land claim </w:t>
      </w:r>
      <w:r w:rsidRPr="003D75FB" w:rsidDel="005A702C">
        <w:rPr>
          <w:sz w:val="24"/>
          <w:szCs w:val="24"/>
        </w:rPr>
        <w:fldChar w:fldCharType="begin" w:fldLock="1"/>
      </w:r>
      <w:r w:rsidRPr="003D75FB" w:rsidDel="005A702C">
        <w:rPr>
          <w:sz w:val="24"/>
          <w:szCs w:val="24"/>
        </w:rPr>
        <w:instrText>ADDIN CSL_CITATION {"citationItems":[{"id":"ITEM-1","itemData":{"author":[{"dropping-particle":"","family":"Smith","given":"Ken","non-dropping-particle":"","parse-names":false,"suffix":""}],"id":"ITEM-1","issued":{"date-parts":[["2011"]]},"title":"THE STATE OF THE NATURAL ENVIRONMENT OF THE TEES ESTUARY A REVIEW OF THE BIRD CHAPTER","type":"report"},"uris":["http://www.mendeley.com/documents/?uuid=7579e955-75d6-3f13-aee8-e4be113aa24a"]}],"mendeley":{"formattedCitation":"(Smith 2011)","plainTextFormattedCitation":"(Smith 2011)","previouslyFormattedCitation":"(Smith 2011)"},"properties":{"noteIndex":0},"schema":"https://github.com/citation-style-language/schema/raw/master/csl-citation.json"}</w:instrText>
      </w:r>
      <w:r w:rsidRPr="003D75FB" w:rsidDel="005A702C">
        <w:rPr>
          <w:sz w:val="24"/>
          <w:szCs w:val="24"/>
        </w:rPr>
        <w:fldChar w:fldCharType="separate"/>
      </w:r>
      <w:r w:rsidRPr="003D75FB" w:rsidDel="005A702C">
        <w:rPr>
          <w:noProof/>
          <w:sz w:val="24"/>
          <w:szCs w:val="24"/>
        </w:rPr>
        <w:t>(Smith</w:t>
      </w:r>
      <w:r w:rsidR="00EA2D1E">
        <w:rPr>
          <w:noProof/>
          <w:sz w:val="24"/>
          <w:szCs w:val="24"/>
        </w:rPr>
        <w:t>,,</w:t>
      </w:r>
      <w:r w:rsidRPr="003D75FB" w:rsidDel="005A702C">
        <w:rPr>
          <w:noProof/>
          <w:sz w:val="24"/>
          <w:szCs w:val="24"/>
        </w:rPr>
        <w:t xml:space="preserve"> 2011)</w:t>
      </w:r>
      <w:r w:rsidRPr="003D75FB" w:rsidDel="005A702C">
        <w:rPr>
          <w:sz w:val="24"/>
          <w:szCs w:val="24"/>
        </w:rPr>
        <w:fldChar w:fldCharType="end"/>
      </w:r>
      <w:r w:rsidRPr="003D75FB" w:rsidDel="005A702C">
        <w:rPr>
          <w:sz w:val="24"/>
          <w:szCs w:val="24"/>
        </w:rPr>
        <w:t>.</w:t>
      </w:r>
      <w:r w:rsidRPr="003D75FB">
        <w:rPr>
          <w:sz w:val="24"/>
          <w:szCs w:val="24"/>
        </w:rPr>
        <w:t xml:space="preserve"> </w:t>
      </w:r>
      <w:r>
        <w:rPr>
          <w:sz w:val="24"/>
          <w:szCs w:val="24"/>
        </w:rPr>
        <w:t xml:space="preserve">Local development plans have highlighted the need to maximise the river and port as key economic assets </w:t>
      </w:r>
      <w:r w:rsidRPr="003D75FB" w:rsidDel="005A702C">
        <w:rPr>
          <w:sz w:val="24"/>
          <w:szCs w:val="24"/>
        </w:rPr>
        <w:fldChar w:fldCharType="begin" w:fldLock="1"/>
      </w:r>
      <w:r w:rsidRPr="003D75FB" w:rsidDel="005A702C">
        <w:rPr>
          <w:sz w:val="24"/>
          <w:szCs w:val="24"/>
        </w:rPr>
        <w:instrText>ADDIN CSL_CITATION {"citationItems":[{"id":"ITEM-1","itemData":{"author":[{"dropping-particle":"","family":"Council","given":"Stockton-on-Tees Borough","non-dropping-particle":"","parse-names":false,"suffix":""}],"id":"ITEM-1","issued":{"date-parts":[["2016"]]},"title":"Economic Growth Plan","type":"report"},"uris":["http://www.mendeley.com/documents/?uuid=f82a5d8c-7668-345f-9865-cc14fd1b77ea"]}],"mendeley":{"formattedCitation":"(Council 2016)","manualFormatting":"(Stockton-On-Tees Borough Council 2016)","plainTextFormattedCitation":"(Council 2016)","previouslyFormattedCitation":"(Council 2016)"},"properties":{"noteIndex":0},"schema":"https://github.com/citation-style-language/schema/raw/master/csl-citation.json"}</w:instrText>
      </w:r>
      <w:r w:rsidRPr="003D75FB" w:rsidDel="005A702C">
        <w:rPr>
          <w:sz w:val="24"/>
          <w:szCs w:val="24"/>
        </w:rPr>
        <w:fldChar w:fldCharType="separate"/>
      </w:r>
      <w:r w:rsidRPr="003D75FB" w:rsidDel="005A702C">
        <w:rPr>
          <w:noProof/>
          <w:sz w:val="24"/>
          <w:szCs w:val="24"/>
        </w:rPr>
        <w:t xml:space="preserve">(Stockton-On-Tees Borough </w:t>
      </w:r>
      <w:r w:rsidRPr="003D75FB" w:rsidDel="005A702C">
        <w:rPr>
          <w:noProof/>
          <w:sz w:val="24"/>
          <w:szCs w:val="24"/>
        </w:rPr>
        <w:lastRenderedPageBreak/>
        <w:t>Council</w:t>
      </w:r>
      <w:r w:rsidR="00EA2D1E">
        <w:rPr>
          <w:noProof/>
          <w:sz w:val="24"/>
          <w:szCs w:val="24"/>
        </w:rPr>
        <w:t>,</w:t>
      </w:r>
      <w:r w:rsidRPr="003D75FB" w:rsidDel="005A702C">
        <w:rPr>
          <w:noProof/>
          <w:sz w:val="24"/>
          <w:szCs w:val="24"/>
        </w:rPr>
        <w:t xml:space="preserve"> 2016)</w:t>
      </w:r>
      <w:r w:rsidRPr="003D75FB" w:rsidDel="005A702C">
        <w:rPr>
          <w:sz w:val="24"/>
          <w:szCs w:val="24"/>
        </w:rPr>
        <w:fldChar w:fldCharType="end"/>
      </w:r>
      <w:r>
        <w:rPr>
          <w:sz w:val="24"/>
          <w:szCs w:val="24"/>
        </w:rPr>
        <w:t xml:space="preserve">. Further expansion of the port, and the chemical and process industries which is supports are expected to place </w:t>
      </w:r>
      <w:r w:rsidRPr="003D75FB" w:rsidDel="005A702C">
        <w:rPr>
          <w:sz w:val="24"/>
          <w:szCs w:val="24"/>
        </w:rPr>
        <w:t xml:space="preserve">further pressures on these coastal habitats </w:t>
      </w:r>
      <w:r w:rsidRPr="003D75FB" w:rsidDel="005A702C">
        <w:rPr>
          <w:sz w:val="24"/>
          <w:szCs w:val="24"/>
        </w:rPr>
        <w:fldChar w:fldCharType="begin" w:fldLock="1"/>
      </w:r>
      <w:r w:rsidRPr="003D75FB" w:rsidDel="005A702C">
        <w:rPr>
          <w:sz w:val="24"/>
          <w:szCs w:val="24"/>
        </w:rPr>
        <w:instrText>ADDIN CSL_CITATION {"citationItems":[{"id":"ITEM-1","itemData":{"abstract":"Coastal wetlands are among the most productive ecosystems in the world.  One such example is the Teesmouth and Cleveland European Marine Site (EMS) which is recognised under Article 4.1 and 4.2 of the Birds Directive (79/409/EEC) for supporting waterbird populations of European importance. \n\nUntil recently the major negative impact on waterbirds was industry which saw the loss of over 90% of the intertidal mudflats and sandbanks since 1850. As land reclamation has ceased and industry has started to behave responsibly the dominant negative impact on waterbirds are now recreational activities.\n\nThe research undertaken for this thesis was embedded within the Ecosystem Approach framework. This approach aims to maintain, and increase the benefits humans gain from ecosystems by recognising the social, cultural and economic benefits ecosystems have to offer, as well as the biodiversity benefits. \n\nMapping the ecosystem service provision throughout the EMS showed that recreation has the highest level of provision; however sites along the Tees Estuary encompassed a wider range of services due to the greater variety of habitats. \n\nThe social dimensions of the EMS were examined through on-site visitor surveys, whilst the ecological impacts of recreation were explored through a waterbird disturbance survey. Jointly these surveys allowed the identification of those which factors contribute to a negative site condition assessment, visitors understanding of the conservation importance of the EMS and which management measures visitors prefer. \n\nInterviewing the relevant authorities highlighted the difficulties in managing an EMS for recreation, conservation and economic development. The plethora of policies from Europe, through to local government would make it very difficult for the management group to wholly adopt the Ecosystem Approach. Instead it is recommended that a programme for inclusion and action for the local users is developed by the management group focussing on voluntary management measures.","author":[{"dropping-particle":"","family":"Simpson","given":"Katherine","non-dropping-particle":"","parse-names":false,"suffix":""}],"id":"ITEM-1","issued":{"date-parts":[["2011"]]},"publisher":"University of York","title":"Implementing an Ecosystem Approach:\nThe case of the Teesmouth and Cleveland Coast European Marine Site","type":"article-journal"},"uris":["http://www.mendeley.com/documents/?uuid=1107aafc-fca5-3104-b298-6878150b86bd"]}],"mendeley":{"formattedCitation":"(Simpson 2011)","plainTextFormattedCitation":"(Simpson 2011)","previouslyFormattedCitation":"(Simpson 2011)"},"properties":{"noteIndex":0},"schema":"https://github.com/citation-style-language/schema/raw/master/csl-citation.json"}</w:instrText>
      </w:r>
      <w:r w:rsidRPr="003D75FB" w:rsidDel="005A702C">
        <w:rPr>
          <w:sz w:val="24"/>
          <w:szCs w:val="24"/>
        </w:rPr>
        <w:fldChar w:fldCharType="separate"/>
      </w:r>
      <w:r w:rsidRPr="003D75FB" w:rsidDel="005A702C">
        <w:rPr>
          <w:noProof/>
          <w:sz w:val="24"/>
          <w:szCs w:val="24"/>
        </w:rPr>
        <w:t>(Simpson</w:t>
      </w:r>
      <w:r w:rsidR="00EA2D1E">
        <w:rPr>
          <w:noProof/>
          <w:sz w:val="24"/>
          <w:szCs w:val="24"/>
        </w:rPr>
        <w:t>,</w:t>
      </w:r>
      <w:r w:rsidRPr="003D75FB" w:rsidDel="005A702C">
        <w:rPr>
          <w:noProof/>
          <w:sz w:val="24"/>
          <w:szCs w:val="24"/>
        </w:rPr>
        <w:t xml:space="preserve"> 2011)</w:t>
      </w:r>
      <w:r w:rsidRPr="003D75FB" w:rsidDel="005A702C">
        <w:rPr>
          <w:sz w:val="24"/>
          <w:szCs w:val="24"/>
        </w:rPr>
        <w:fldChar w:fldCharType="end"/>
      </w:r>
      <w:r w:rsidRPr="003D75FB" w:rsidDel="005A702C">
        <w:rPr>
          <w:sz w:val="24"/>
          <w:szCs w:val="24"/>
        </w:rPr>
        <w:t xml:space="preserve">. Within the </w:t>
      </w:r>
      <w:r>
        <w:rPr>
          <w:sz w:val="24"/>
          <w:szCs w:val="24"/>
        </w:rPr>
        <w:t xml:space="preserve">wider </w:t>
      </w:r>
      <w:r w:rsidRPr="003D75FB" w:rsidDel="005A702C">
        <w:rPr>
          <w:sz w:val="24"/>
          <w:szCs w:val="24"/>
        </w:rPr>
        <w:t xml:space="preserve">Tees Valley, an increase in 27,000 households is projected by 2039 requiring an increase in the affordable housing stock of 1,832 to 2,106 dwellings per annum </w:t>
      </w:r>
      <w:r w:rsidRPr="003D75FB" w:rsidDel="005A702C">
        <w:rPr>
          <w:sz w:val="24"/>
          <w:szCs w:val="24"/>
        </w:rPr>
        <w:fldChar w:fldCharType="begin" w:fldLock="1"/>
      </w:r>
      <w:r w:rsidRPr="003D75FB" w:rsidDel="005A702C">
        <w:rPr>
          <w:sz w:val="24"/>
          <w:szCs w:val="24"/>
        </w:rPr>
        <w:instrText>ADDIN CSL_CITATION {"citationItems":[{"id":"ITEM-1","itemData":{"author":[{"dropping-particle":"","family":"Ferrari","given":"Edward","non-dropping-particle":"","parse-names":false,"suffix":""},{"dropping-particle":"","family":"Dalgleish","given":"Karl","non-dropping-particle":"","parse-names":false,"suffix":""}],"id":"ITEM-1","issued":{"date-parts":[["2019","1","31"]]},"publisher":"Northern Housing Consortium","title":"Tees Valley Local Housing Markets","type":"article-journal"},"uris":["http://www.mendeley.com/documents/?uuid=ac2d367c-b76f-3663-ba65-4794c33f1d36"]}],"mendeley":{"formattedCitation":"(Ferrari and Dalgleish 2019)","plainTextFormattedCitation":"(Ferrari and Dalgleish 2019)","previouslyFormattedCitation":"(Ferrari and Dalgleish 2019)"},"properties":{"noteIndex":0},"schema":"https://github.com/citation-style-language/schema/raw/master/csl-citation.json"}</w:instrText>
      </w:r>
      <w:r w:rsidRPr="003D75FB" w:rsidDel="005A702C">
        <w:rPr>
          <w:sz w:val="24"/>
          <w:szCs w:val="24"/>
        </w:rPr>
        <w:fldChar w:fldCharType="separate"/>
      </w:r>
      <w:r w:rsidRPr="003D75FB" w:rsidDel="005A702C">
        <w:rPr>
          <w:noProof/>
          <w:sz w:val="24"/>
          <w:szCs w:val="24"/>
        </w:rPr>
        <w:t>(Ferrari and Dalgleish</w:t>
      </w:r>
      <w:r w:rsidR="00EA2D1E">
        <w:rPr>
          <w:noProof/>
          <w:sz w:val="24"/>
          <w:szCs w:val="24"/>
        </w:rPr>
        <w:t>,</w:t>
      </w:r>
      <w:r w:rsidRPr="003D75FB" w:rsidDel="005A702C">
        <w:rPr>
          <w:noProof/>
          <w:sz w:val="24"/>
          <w:szCs w:val="24"/>
        </w:rPr>
        <w:t xml:space="preserve"> 2019)</w:t>
      </w:r>
      <w:r w:rsidRPr="003D75FB" w:rsidDel="005A702C">
        <w:rPr>
          <w:sz w:val="24"/>
          <w:szCs w:val="24"/>
        </w:rPr>
        <w:fldChar w:fldCharType="end"/>
      </w:r>
      <w:r w:rsidRPr="003D75FB" w:rsidDel="005A702C">
        <w:rPr>
          <w:sz w:val="24"/>
          <w:szCs w:val="24"/>
        </w:rPr>
        <w:t>.</w:t>
      </w:r>
    </w:p>
    <w:p w14:paraId="6F12941F" w14:textId="008AE8AC" w:rsidR="0022002F" w:rsidRDefault="0022002F">
      <w:pPr>
        <w:spacing w:line="480" w:lineRule="auto"/>
        <w:ind w:firstLine="0"/>
        <w:rPr>
          <w:sz w:val="24"/>
          <w:szCs w:val="24"/>
        </w:rPr>
      </w:pPr>
      <w:bookmarkStart w:id="25" w:name="_Hlk48889442"/>
      <w:r>
        <w:rPr>
          <w:sz w:val="24"/>
          <w:szCs w:val="24"/>
        </w:rPr>
        <w:t>At the national scale, the UK Planning Regulations are currently being reviewed as part of the 25 Year Environment Plan (HM Government</w:t>
      </w:r>
      <w:r w:rsidR="00EA2D1E">
        <w:rPr>
          <w:sz w:val="24"/>
          <w:szCs w:val="24"/>
        </w:rPr>
        <w:t>,</w:t>
      </w:r>
      <w:r>
        <w:rPr>
          <w:sz w:val="24"/>
          <w:szCs w:val="24"/>
        </w:rPr>
        <w:t xml:space="preserve"> 2018). </w:t>
      </w:r>
      <w:r w:rsidRPr="00A9658C">
        <w:rPr>
          <w:sz w:val="24"/>
          <w:szCs w:val="24"/>
        </w:rPr>
        <w:t xml:space="preserve">The UK Government has </w:t>
      </w:r>
      <w:r>
        <w:rPr>
          <w:sz w:val="24"/>
          <w:szCs w:val="24"/>
        </w:rPr>
        <w:t>committed</w:t>
      </w:r>
      <w:r w:rsidRPr="00A9658C">
        <w:rPr>
          <w:sz w:val="24"/>
          <w:szCs w:val="24"/>
        </w:rPr>
        <w:t xml:space="preserve"> to build</w:t>
      </w:r>
      <w:r w:rsidR="00E2250C">
        <w:rPr>
          <w:sz w:val="24"/>
          <w:szCs w:val="24"/>
        </w:rPr>
        <w:t>ing</w:t>
      </w:r>
      <w:r w:rsidRPr="00A9658C">
        <w:rPr>
          <w:sz w:val="24"/>
          <w:szCs w:val="24"/>
        </w:rPr>
        <w:t xml:space="preserve"> 300,000 new homes per year up to 2025 whilst safeguarding biodiversity. This includes embedding a </w:t>
      </w:r>
      <w:r w:rsidR="0058436F">
        <w:rPr>
          <w:sz w:val="24"/>
          <w:szCs w:val="24"/>
        </w:rPr>
        <w:t>“Biodiversity N</w:t>
      </w:r>
      <w:r w:rsidRPr="00A9658C">
        <w:rPr>
          <w:sz w:val="24"/>
          <w:szCs w:val="24"/>
        </w:rPr>
        <w:t xml:space="preserve">et </w:t>
      </w:r>
      <w:r w:rsidR="0058436F">
        <w:rPr>
          <w:sz w:val="24"/>
          <w:szCs w:val="24"/>
        </w:rPr>
        <w:t>G</w:t>
      </w:r>
      <w:r w:rsidRPr="00A9658C">
        <w:rPr>
          <w:sz w:val="24"/>
          <w:szCs w:val="24"/>
        </w:rPr>
        <w:t>ain</w:t>
      </w:r>
      <w:r w:rsidR="0058436F">
        <w:rPr>
          <w:sz w:val="24"/>
          <w:szCs w:val="24"/>
        </w:rPr>
        <w:t>”</w:t>
      </w:r>
      <w:r w:rsidRPr="00A9658C">
        <w:rPr>
          <w:sz w:val="24"/>
          <w:szCs w:val="24"/>
        </w:rPr>
        <w:t xml:space="preserve"> principle for development and creating or restoring 500,000 hectares of habitat. Specifically, it identifies that this net gain could be delivered by “habitat banks, land-owners or brokers as part of a flexible market”</w:t>
      </w:r>
      <w:r w:rsidRPr="00DB3A81">
        <w:rPr>
          <w:sz w:val="24"/>
          <w:szCs w:val="24"/>
        </w:rPr>
        <w:t xml:space="preserve"> (</w:t>
      </w:r>
      <w:r w:rsidRPr="00A9658C">
        <w:rPr>
          <w:sz w:val="24"/>
          <w:szCs w:val="24"/>
        </w:rPr>
        <w:t>HM Government</w:t>
      </w:r>
      <w:r w:rsidR="00EA2D1E">
        <w:rPr>
          <w:sz w:val="24"/>
          <w:szCs w:val="24"/>
        </w:rPr>
        <w:t>,</w:t>
      </w:r>
      <w:r w:rsidRPr="00A9658C">
        <w:rPr>
          <w:sz w:val="24"/>
          <w:szCs w:val="24"/>
        </w:rPr>
        <w:t xml:space="preserve"> 2018).</w:t>
      </w:r>
      <w:r w:rsidR="0058436F">
        <w:rPr>
          <w:sz w:val="24"/>
          <w:szCs w:val="24"/>
        </w:rPr>
        <w:t xml:space="preserve"> T</w:t>
      </w:r>
      <w:r>
        <w:rPr>
          <w:sz w:val="24"/>
          <w:szCs w:val="24"/>
        </w:rPr>
        <w:t>h</w:t>
      </w:r>
      <w:r w:rsidR="0058436F">
        <w:rPr>
          <w:sz w:val="24"/>
          <w:szCs w:val="24"/>
        </w:rPr>
        <w:t>is</w:t>
      </w:r>
      <w:r>
        <w:rPr>
          <w:sz w:val="24"/>
          <w:szCs w:val="24"/>
        </w:rPr>
        <w:t xml:space="preserve"> decision of the UK Government to pursue offset markets, and the competing pressures for development </w:t>
      </w:r>
      <w:r w:rsidRPr="003D75FB">
        <w:rPr>
          <w:sz w:val="24"/>
          <w:szCs w:val="24"/>
        </w:rPr>
        <w:t>and conservation of biodiversity</w:t>
      </w:r>
      <w:r w:rsidR="0058436F">
        <w:rPr>
          <w:sz w:val="24"/>
          <w:szCs w:val="24"/>
        </w:rPr>
        <w:t xml:space="preserve"> in the Tees</w:t>
      </w:r>
      <w:r w:rsidR="000A646E">
        <w:rPr>
          <w:sz w:val="24"/>
          <w:szCs w:val="24"/>
        </w:rPr>
        <w:t xml:space="preserve"> region</w:t>
      </w:r>
      <w:r w:rsidR="0058436F">
        <w:rPr>
          <w:sz w:val="24"/>
          <w:szCs w:val="24"/>
        </w:rPr>
        <w:t>,</w:t>
      </w:r>
      <w:r w:rsidRPr="003D75FB">
        <w:rPr>
          <w:sz w:val="24"/>
          <w:szCs w:val="24"/>
        </w:rPr>
        <w:t xml:space="preserve"> make this an ideal study region in which to test our general model of biodiversity offsets. </w:t>
      </w:r>
    </w:p>
    <w:bookmarkEnd w:id="23"/>
    <w:bookmarkEnd w:id="25"/>
    <w:p w14:paraId="3257E33A" w14:textId="7537830C" w:rsidR="0022002F" w:rsidRDefault="0001610F" w:rsidP="0001610F">
      <w:pPr>
        <w:spacing w:line="480" w:lineRule="auto"/>
        <w:ind w:firstLine="0"/>
        <w:jc w:val="center"/>
      </w:pPr>
      <w:r w:rsidRPr="0001610F">
        <w:rPr>
          <w:b/>
          <w:bCs/>
          <w:sz w:val="24"/>
          <w:szCs w:val="24"/>
          <w:lang w:val="gd-GB"/>
        </w:rPr>
        <w:t>[Insert Figure 2 here]</w:t>
      </w:r>
      <w:bookmarkEnd w:id="22"/>
      <w:bookmarkEnd w:id="24"/>
      <w:r w:rsidR="0022002F" w:rsidRPr="003D75FB">
        <w:rPr>
          <w:sz w:val="24"/>
          <w:szCs w:val="24"/>
        </w:rPr>
        <w:t xml:space="preserve"> </w:t>
      </w:r>
    </w:p>
    <w:p w14:paraId="704166C6" w14:textId="5A6B75EF" w:rsidR="0022002F" w:rsidRPr="001B568E" w:rsidRDefault="0022002F" w:rsidP="001B568E">
      <w:pPr>
        <w:pStyle w:val="Heading2"/>
      </w:pPr>
      <w:r w:rsidRPr="001B568E">
        <w:t>Market Design Parameters</w:t>
      </w:r>
    </w:p>
    <w:p w14:paraId="679836D3" w14:textId="40BE49AF" w:rsidR="0022002F" w:rsidRPr="00EA2D1E" w:rsidRDefault="0022002F" w:rsidP="00EA2D1E">
      <w:pPr>
        <w:pStyle w:val="Heading4"/>
        <w:numPr>
          <w:ilvl w:val="0"/>
          <w:numId w:val="0"/>
        </w:numPr>
        <w:ind w:left="720" w:hanging="720"/>
        <w:rPr>
          <w:i/>
          <w:iCs/>
        </w:rPr>
      </w:pPr>
      <w:r w:rsidRPr="00EA2D1E">
        <w:rPr>
          <w:i/>
          <w:iCs/>
        </w:rPr>
        <w:t>Policy target and ecological metric</w:t>
      </w:r>
    </w:p>
    <w:p w14:paraId="07896103" w14:textId="374DFF7E" w:rsidR="0022002F" w:rsidRDefault="0022002F">
      <w:pPr>
        <w:spacing w:line="480" w:lineRule="auto"/>
        <w:ind w:firstLine="0"/>
        <w:rPr>
          <w:sz w:val="24"/>
          <w:szCs w:val="24"/>
        </w:rPr>
      </w:pPr>
      <w:r w:rsidRPr="003D75FB">
        <w:rPr>
          <w:sz w:val="24"/>
          <w:szCs w:val="24"/>
        </w:rPr>
        <w:t xml:space="preserve">As </w:t>
      </w:r>
      <w:r>
        <w:rPr>
          <w:sz w:val="24"/>
          <w:szCs w:val="24"/>
        </w:rPr>
        <w:t xml:space="preserve">previously </w:t>
      </w:r>
      <w:r w:rsidRPr="003D75FB">
        <w:rPr>
          <w:sz w:val="24"/>
          <w:szCs w:val="24"/>
        </w:rPr>
        <w:t>highlighted, the first stage of developing a biodiversity offset market should be the identification of the policy target to determine the ecological metric which denominates an offset credit. Based on the international importance of the case study region for supporting breeding and overwintering bird populations, the policy target for our modelling approach is</w:t>
      </w:r>
      <w:r>
        <w:rPr>
          <w:sz w:val="24"/>
          <w:szCs w:val="24"/>
        </w:rPr>
        <w:t xml:space="preserve"> no net loss </w:t>
      </w:r>
      <w:r w:rsidRPr="003D75FB">
        <w:rPr>
          <w:sz w:val="24"/>
          <w:szCs w:val="24"/>
        </w:rPr>
        <w:t>of each of three wading bird species: the Eurasian oystercatcher (</w:t>
      </w:r>
      <w:r w:rsidRPr="003D75FB">
        <w:rPr>
          <w:i/>
          <w:iCs/>
          <w:sz w:val="24"/>
          <w:szCs w:val="24"/>
        </w:rPr>
        <w:t>Haematopus ostralegus</w:t>
      </w:r>
      <w:r w:rsidRPr="003D75FB">
        <w:rPr>
          <w:sz w:val="24"/>
          <w:szCs w:val="24"/>
        </w:rPr>
        <w:t>), Eurasian curlew (</w:t>
      </w:r>
      <w:r w:rsidRPr="003D75FB">
        <w:rPr>
          <w:i/>
          <w:iCs/>
          <w:sz w:val="24"/>
          <w:szCs w:val="24"/>
        </w:rPr>
        <w:t>Numenius arquata</w:t>
      </w:r>
      <w:r w:rsidRPr="003D75FB">
        <w:rPr>
          <w:sz w:val="24"/>
          <w:szCs w:val="24"/>
        </w:rPr>
        <w:t>) and the northern lapwing (</w:t>
      </w:r>
      <w:r w:rsidRPr="003D75FB">
        <w:rPr>
          <w:i/>
          <w:iCs/>
          <w:sz w:val="24"/>
          <w:szCs w:val="24"/>
        </w:rPr>
        <w:t>Vanellus vanellus</w:t>
      </w:r>
      <w:r w:rsidRPr="003D75FB">
        <w:rPr>
          <w:sz w:val="24"/>
          <w:szCs w:val="24"/>
        </w:rPr>
        <w:t xml:space="preserve">). </w:t>
      </w:r>
      <w:r w:rsidRPr="003D75FB">
        <w:rPr>
          <w:sz w:val="24"/>
          <w:szCs w:val="24"/>
        </w:rPr>
        <w:lastRenderedPageBreak/>
        <w:t xml:space="preserve">These species were chosen based on national </w:t>
      </w:r>
      <w:r>
        <w:rPr>
          <w:sz w:val="24"/>
          <w:szCs w:val="24"/>
        </w:rPr>
        <w:t xml:space="preserve">and regional </w:t>
      </w:r>
      <w:r w:rsidRPr="003D75FB">
        <w:rPr>
          <w:sz w:val="24"/>
          <w:szCs w:val="24"/>
        </w:rPr>
        <w:t xml:space="preserve">priorities for </w:t>
      </w:r>
      <w:proofErr w:type="spellStart"/>
      <w:r w:rsidRPr="003D75FB">
        <w:rPr>
          <w:sz w:val="24"/>
          <w:szCs w:val="24"/>
        </w:rPr>
        <w:t>wader</w:t>
      </w:r>
      <w:proofErr w:type="spellEnd"/>
      <w:r w:rsidRPr="003D75FB">
        <w:rPr>
          <w:sz w:val="24"/>
          <w:szCs w:val="24"/>
        </w:rPr>
        <w:t xml:space="preserve"> conservation: all three species are recorded as ‘Near Threatened’ on the international IUCN Red List4 of Threatened Species (Bird Life International</w:t>
      </w:r>
      <w:r w:rsidR="00EA2D1E">
        <w:rPr>
          <w:sz w:val="24"/>
          <w:szCs w:val="24"/>
        </w:rPr>
        <w:t>,</w:t>
      </w:r>
      <w:r w:rsidRPr="003D75FB">
        <w:rPr>
          <w:sz w:val="24"/>
          <w:szCs w:val="24"/>
        </w:rPr>
        <w:t xml:space="preserve"> 2019</w:t>
      </w:r>
      <w:r w:rsidR="00EA2D1E" w:rsidRPr="003D75FB">
        <w:rPr>
          <w:sz w:val="24"/>
          <w:szCs w:val="24"/>
        </w:rPr>
        <w:t>)</w:t>
      </w:r>
      <w:r w:rsidR="00EA2D1E">
        <w:rPr>
          <w:sz w:val="24"/>
          <w:szCs w:val="24"/>
        </w:rPr>
        <w:t>.</w:t>
      </w:r>
      <w:r w:rsidR="00EA2D1E" w:rsidRPr="003D75FB">
        <w:rPr>
          <w:sz w:val="24"/>
          <w:szCs w:val="24"/>
        </w:rPr>
        <w:t xml:space="preserve"> Of</w:t>
      </w:r>
      <w:r w:rsidRPr="003D75FB">
        <w:rPr>
          <w:sz w:val="24"/>
          <w:szCs w:val="24"/>
        </w:rPr>
        <w:t xml:space="preserve"> particular concern is the decline in curlew populations, with UK populations declining at the steepest rate recorded throughout the curlew’s range in Europe. Population declines are linked to a loss and degradation of breeding habitat as a result of changing agricultural practices, such as the conversion of traditional meadows to intensive grassland monocultures </w:t>
      </w:r>
      <w:r w:rsidRPr="003D75FB">
        <w:rPr>
          <w:sz w:val="24"/>
          <w:szCs w:val="24"/>
        </w:rPr>
        <w:fldChar w:fldCharType="begin" w:fldLock="1"/>
      </w:r>
      <w:r w:rsidRPr="003D75FB">
        <w:rPr>
          <w:sz w:val="24"/>
          <w:szCs w:val="24"/>
        </w:rPr>
        <w:instrText>ADDIN CSL_CITATION {"citationItems":[{"id":"ITEM-1","itemData":{"DOI":"10.1080/00063657.2017.1359233","ISSN":"19446705","abstract":"Capsule: Across Britain, breeding Eurasian Curlew Numenius arquata are less numerous and have shown greater population declines in areas with more arable farming, woodland cover and higher generalist predator abundance. Aims: We present the first national-scale analysis of the potential drivers of Curlew population change in Britain, which is needed to guide conservation action for this globally near-threatened, declining species. Methods: Breeding Bird Survey data and environmental predictors were used to model variation in Curlew abundance in 1995–99 and 2007–11, and population change between these periods. Results: Arable farming and woodland cover were negatively associated with Curlew abundance and population declines. Curlew abundance was positively associated with extent of protected area coverage and gamebird numbers. Abundance and population change were positively associated with cooler temperatures and higher summer rainfall, but negatively associated with numbers of generalist predators. Conclusions: We found support for the negative effects of intensive agriculture, forestry, increases in generalist predator populations and climate warming on Curlew abundance and population change. Effective site protection and measures to reduce generalist predator abundance may be important conservation measures, together with improving breeding habitat quality in the wider countryside.","author":[{"dropping-particle":"","family":"Franks","given":"Samantha E.","non-dropping-particle":"","parse-names":false,"suffix":""},{"dropping-particle":"","family":"Douglas","given":"David J.T.","non-dropping-particle":"","parse-names":false,"suffix":""},{"dropping-particle":"","family":"Gillings","given":"Simon","non-dropping-particle":"","parse-names":false,"suffix":""},{"dropping-particle":"","family":"Pearce-Higgins","given":"James W.","non-dropping-particle":"","parse-names":false,"suffix":""}],"container-title":"Bird Study","id":"ITEM-1","issue":"3","issued":{"date-parts":[["2017","7","3"]]},"page":"393-409","publisher":"Taylor and Francis Ltd.","title":"Environmental correlates of breeding abundance and population change of Eurasian Curlew Numenius arquata in Britain","type":"article-journal","volume":"64"},"uris":["http://www.mendeley.com/documents/?uuid=5dc086ea-e65b-3f7b-be19-78c2f066b002"]}],"mendeley":{"formattedCitation":"(Franks et al. 2017)","plainTextFormattedCitation":"(Franks et al. 2017)","previouslyFormattedCitation":"(Franks et al. 2017)"},"properties":{"noteIndex":0},"schema":"https://github.com/citation-style-language/schema/raw/master/csl-citation.json"}</w:instrText>
      </w:r>
      <w:r w:rsidRPr="003D75FB">
        <w:rPr>
          <w:sz w:val="24"/>
          <w:szCs w:val="24"/>
        </w:rPr>
        <w:fldChar w:fldCharType="separate"/>
      </w:r>
      <w:r w:rsidRPr="003D75FB">
        <w:rPr>
          <w:noProof/>
          <w:sz w:val="24"/>
          <w:szCs w:val="24"/>
        </w:rPr>
        <w:t>(Franks et al</w:t>
      </w:r>
      <w:r w:rsidR="00EA2D1E">
        <w:rPr>
          <w:noProof/>
          <w:sz w:val="24"/>
          <w:szCs w:val="24"/>
        </w:rPr>
        <w:t>,</w:t>
      </w:r>
      <w:r w:rsidRPr="003D75FB">
        <w:rPr>
          <w:noProof/>
          <w:sz w:val="24"/>
          <w:szCs w:val="24"/>
        </w:rPr>
        <w:t xml:space="preserve"> 2017)</w:t>
      </w:r>
      <w:r w:rsidRPr="003D75FB">
        <w:rPr>
          <w:sz w:val="24"/>
          <w:szCs w:val="24"/>
        </w:rPr>
        <w:fldChar w:fldCharType="end"/>
      </w:r>
      <w:r w:rsidRPr="003D75FB">
        <w:rPr>
          <w:sz w:val="24"/>
          <w:szCs w:val="24"/>
        </w:rPr>
        <w:t>.</w:t>
      </w:r>
    </w:p>
    <w:p w14:paraId="00F350C4" w14:textId="26FCA5B9" w:rsidR="0022002F" w:rsidRPr="003D75FB" w:rsidRDefault="0022002F">
      <w:pPr>
        <w:spacing w:line="480" w:lineRule="auto"/>
        <w:ind w:firstLine="0"/>
        <w:rPr>
          <w:sz w:val="24"/>
          <w:szCs w:val="24"/>
        </w:rPr>
      </w:pPr>
      <w:r w:rsidRPr="003D75FB">
        <w:rPr>
          <w:sz w:val="24"/>
          <w:szCs w:val="24"/>
        </w:rPr>
        <w:t>One model of biodiversity offsetting will be constructed for each species separately, that is each model focusses on no net loss of a single target species. This follows the recommendations of Needham et al</w:t>
      </w:r>
      <w:r w:rsidR="002D65F5">
        <w:rPr>
          <w:sz w:val="24"/>
          <w:szCs w:val="24"/>
        </w:rPr>
        <w:t>,</w:t>
      </w:r>
      <w:r w:rsidRPr="003D75FB">
        <w:rPr>
          <w:sz w:val="24"/>
          <w:szCs w:val="24"/>
        </w:rPr>
        <w:t xml:space="preserve"> (2019) which require that the biodiversity offset market to be based on a simple, measurable ecological metric which can be denominated </w:t>
      </w:r>
      <w:r w:rsidR="00E27619">
        <w:rPr>
          <w:sz w:val="24"/>
          <w:szCs w:val="24"/>
        </w:rPr>
        <w:t>in</w:t>
      </w:r>
      <w:r w:rsidRPr="003D75FB">
        <w:rPr>
          <w:sz w:val="24"/>
          <w:szCs w:val="24"/>
        </w:rPr>
        <w:t xml:space="preserve"> standardised units. This approach allows us to ensure no net loss of the target species, but to also consider what we call the “unintended consequences of trading”: what are the ecological impacts on the two species not considered under the no net loss policy target? </w:t>
      </w:r>
    </w:p>
    <w:p w14:paraId="5002E997" w14:textId="578AA550" w:rsidR="0022002F" w:rsidRDefault="0022002F" w:rsidP="00B006A5">
      <w:pPr>
        <w:spacing w:line="480" w:lineRule="auto"/>
        <w:ind w:firstLine="0"/>
        <w:rPr>
          <w:sz w:val="24"/>
          <w:szCs w:val="24"/>
        </w:rPr>
      </w:pPr>
      <w:r w:rsidRPr="003D75FB">
        <w:rPr>
          <w:sz w:val="24"/>
          <w:szCs w:val="24"/>
        </w:rPr>
        <w:t xml:space="preserve">In addition to our policy target, the regulator also sets a “preferred land management practice” for generating offset credits. The land management practice is one which is </w:t>
      </w:r>
      <w:r w:rsidRPr="003D75FB">
        <w:rPr>
          <w:i/>
          <w:iCs/>
          <w:sz w:val="24"/>
          <w:szCs w:val="24"/>
        </w:rPr>
        <w:t>expected</w:t>
      </w:r>
      <w:r w:rsidRPr="003D75FB">
        <w:rPr>
          <w:sz w:val="24"/>
          <w:szCs w:val="24"/>
        </w:rPr>
        <w:t xml:space="preserve"> to benefit the target species. By replacing the current land use with this new, ecologically preferred land management practice, the expected abundance of the target species will increase, hence generating biodiversity offset credits. For our model, we adopt a preferred land management practice of “improved grassland” without livestock. </w:t>
      </w:r>
      <w:bookmarkStart w:id="26" w:name="_Hlk45879448"/>
      <w:r w:rsidRPr="003D75FB">
        <w:rPr>
          <w:sz w:val="24"/>
          <w:szCs w:val="24"/>
        </w:rPr>
        <w:t xml:space="preserve">This change in land management practice will only take place on agricultural land patches currently farmed for crops or livestock, as such </w:t>
      </w:r>
      <w:r w:rsidR="005C605B">
        <w:rPr>
          <w:sz w:val="24"/>
          <w:szCs w:val="24"/>
        </w:rPr>
        <w:t>we make the assumption</w:t>
      </w:r>
      <w:r w:rsidR="006412EA">
        <w:rPr>
          <w:sz w:val="24"/>
          <w:szCs w:val="24"/>
        </w:rPr>
        <w:t>, based on modelling species abundances across the region (see Supplementary Information)</w:t>
      </w:r>
      <w:r w:rsidR="005C605B">
        <w:rPr>
          <w:sz w:val="24"/>
          <w:szCs w:val="24"/>
        </w:rPr>
        <w:t xml:space="preserve"> that </w:t>
      </w:r>
      <w:r w:rsidRPr="003D75FB">
        <w:rPr>
          <w:sz w:val="24"/>
          <w:szCs w:val="24"/>
        </w:rPr>
        <w:t>improved grassland is more beneficial to the three target species than the agricultural practices of crop and/or livestock production.</w:t>
      </w:r>
      <w:r>
        <w:rPr>
          <w:sz w:val="24"/>
          <w:szCs w:val="24"/>
        </w:rPr>
        <w:t xml:space="preserve"> </w:t>
      </w:r>
      <w:bookmarkStart w:id="27" w:name="_Hlk46306659"/>
    </w:p>
    <w:p w14:paraId="7CF4C6D9" w14:textId="317BF59B" w:rsidR="000A646E" w:rsidRDefault="000A646E" w:rsidP="00B006A5">
      <w:pPr>
        <w:spacing w:line="480" w:lineRule="auto"/>
        <w:ind w:firstLine="0"/>
        <w:rPr>
          <w:sz w:val="24"/>
          <w:szCs w:val="24"/>
        </w:rPr>
      </w:pPr>
      <w:r w:rsidRPr="000A646E">
        <w:rPr>
          <w:sz w:val="24"/>
          <w:szCs w:val="24"/>
        </w:rPr>
        <w:lastRenderedPageBreak/>
        <w:t>It is expected that different land management practices will have different costs associated with them. Restoration costs associated with grassland conversion from agricultural land currently used for cropping are minimal, typically involving soil cultivation and seeding only. However, under a different preferred land management practice, such as wetland restoration, the restoration costs would be expected to be significantly greater</w:t>
      </w:r>
      <w:r>
        <w:rPr>
          <w:sz w:val="24"/>
          <w:szCs w:val="24"/>
        </w:rPr>
        <w:t>.</w:t>
      </w:r>
    </w:p>
    <w:p w14:paraId="0AF5404B" w14:textId="11CD6F01" w:rsidR="0022002F" w:rsidRPr="00EA2D1E" w:rsidRDefault="0022002F" w:rsidP="00EA2D1E">
      <w:pPr>
        <w:pStyle w:val="Heading4"/>
        <w:numPr>
          <w:ilvl w:val="0"/>
          <w:numId w:val="0"/>
        </w:numPr>
        <w:ind w:left="720" w:hanging="720"/>
        <w:rPr>
          <w:i/>
          <w:iCs/>
        </w:rPr>
      </w:pPr>
      <w:bookmarkStart w:id="28" w:name="_Hlk46404855"/>
      <w:bookmarkStart w:id="29" w:name="_Hlk45884819"/>
      <w:bookmarkEnd w:id="26"/>
      <w:bookmarkEnd w:id="27"/>
      <w:r w:rsidRPr="00EA2D1E">
        <w:rPr>
          <w:i/>
          <w:iCs/>
        </w:rPr>
        <w:t>Market scale</w:t>
      </w:r>
    </w:p>
    <w:p w14:paraId="66EE063B" w14:textId="189D1AE4" w:rsidR="00C976A6" w:rsidRPr="00C976A6" w:rsidRDefault="00C976A6" w:rsidP="00C976A6">
      <w:pPr>
        <w:spacing w:line="480" w:lineRule="auto"/>
        <w:ind w:firstLine="0"/>
        <w:rPr>
          <w:sz w:val="24"/>
          <w:szCs w:val="24"/>
        </w:rPr>
      </w:pPr>
      <w:r w:rsidRPr="00C976A6">
        <w:rPr>
          <w:sz w:val="24"/>
          <w:szCs w:val="24"/>
        </w:rPr>
        <w:t>We compare the ecological and economic efficiency of an offset market at different spatial scales for the oystercatcher policy target. The first analysis allows trading across the whole of the case study region i.e. there are no restrictions on which parcels can trade. The second analysis places geographic restrictions on which parcels can trade. The case study region is divided into three geographically smaller service areas (known as planning areas) and trades are restricted so that trades can only take place within, but not between, each of these areas.</w:t>
      </w:r>
    </w:p>
    <w:bookmarkEnd w:id="28"/>
    <w:bookmarkEnd w:id="29"/>
    <w:p w14:paraId="650446A7" w14:textId="3E489135" w:rsidR="0022002F" w:rsidRPr="001B568E" w:rsidRDefault="0022002F" w:rsidP="001B568E">
      <w:pPr>
        <w:pStyle w:val="Heading2"/>
      </w:pPr>
      <w:r w:rsidRPr="001B568E">
        <w:t>The Empirical Modelling Framework for the Offset Market</w:t>
      </w:r>
    </w:p>
    <w:p w14:paraId="275C7D32" w14:textId="25A991C1" w:rsidR="0022002F" w:rsidRDefault="0022002F" w:rsidP="003E2ABF">
      <w:pPr>
        <w:spacing w:line="480" w:lineRule="auto"/>
        <w:ind w:firstLine="0"/>
        <w:rPr>
          <w:sz w:val="24"/>
          <w:szCs w:val="24"/>
        </w:rPr>
      </w:pPr>
      <w:bookmarkStart w:id="30" w:name="_Hlk45871035"/>
      <w:bookmarkStart w:id="31" w:name="_Hlk45886192"/>
      <w:r w:rsidRPr="003D75FB">
        <w:rPr>
          <w:sz w:val="24"/>
          <w:szCs w:val="24"/>
        </w:rPr>
        <w:t xml:space="preserve">As a baseline, we take the current land use structure in the case study area of size </w:t>
      </w:r>
      <m:oMath>
        <m:r>
          <w:rPr>
            <w:rFonts w:ascii="Cambria Math" w:hAnsi="Cambria Math"/>
            <w:sz w:val="24"/>
            <w:szCs w:val="24"/>
          </w:rPr>
          <m:t>L</m:t>
        </m:r>
      </m:oMath>
      <w:bookmarkStart w:id="32" w:name="_Hlk45886087"/>
      <w:r w:rsidRPr="003D75FB">
        <w:rPr>
          <w:sz w:val="24"/>
          <w:szCs w:val="24"/>
        </w:rPr>
        <w:t xml:space="preserve">. This is divided into </w:t>
      </w:r>
      <w:proofErr w:type="gramStart"/>
      <w:r w:rsidRPr="003D75FB">
        <w:rPr>
          <w:sz w:val="24"/>
          <w:szCs w:val="24"/>
        </w:rPr>
        <w:t>a number of</w:t>
      </w:r>
      <w:proofErr w:type="gramEnd"/>
      <w:r w:rsidRPr="003D75FB">
        <w:rPr>
          <w:sz w:val="24"/>
          <w:szCs w:val="24"/>
        </w:rPr>
        <w:t xml:space="preserve"> </w:t>
      </w:r>
      <m:oMath>
        <m:r>
          <w:rPr>
            <w:rFonts w:ascii="Cambria Math" w:hAnsi="Cambria Math"/>
            <w:sz w:val="24"/>
            <w:szCs w:val="24"/>
          </w:rPr>
          <m:t>n</m:t>
        </m:r>
      </m:oMath>
      <w:r w:rsidRPr="003D75FB">
        <w:rPr>
          <w:sz w:val="24"/>
          <w:szCs w:val="24"/>
        </w:rPr>
        <w:t xml:space="preserve"> </w:t>
      </w:r>
      <w:r w:rsidRPr="00094816">
        <w:rPr>
          <w:sz w:val="24"/>
          <w:szCs w:val="24"/>
        </w:rPr>
        <w:t>land parcels equalling a size of 1</w:t>
      </w:r>
      <w:r w:rsidR="00C976A6">
        <w:rPr>
          <w:sz w:val="24"/>
          <w:szCs w:val="24"/>
        </w:rPr>
        <w:t xml:space="preserve"> </w:t>
      </w:r>
      <w:r w:rsidRPr="00094816">
        <w:rPr>
          <w:sz w:val="24"/>
          <w:szCs w:val="24"/>
        </w:rPr>
        <w:t>x1 km</w:t>
      </w:r>
      <w:r>
        <w:rPr>
          <w:sz w:val="24"/>
          <w:szCs w:val="24"/>
        </w:rPr>
        <w:t xml:space="preserve">. There is a single agent (farmer) controlling each land parcel. </w:t>
      </w:r>
      <w:bookmarkStart w:id="33" w:name="_Hlk45871211"/>
      <w:bookmarkEnd w:id="30"/>
      <w:bookmarkEnd w:id="32"/>
      <w:r w:rsidRPr="00094816">
        <w:rPr>
          <w:sz w:val="24"/>
          <w:szCs w:val="24"/>
        </w:rPr>
        <w:t>Each</w:t>
      </w:r>
      <w:r w:rsidRPr="003D75FB">
        <w:rPr>
          <w:sz w:val="24"/>
          <w:szCs w:val="24"/>
        </w:rPr>
        <w:t xml:space="preserve"> land parcel </w:t>
      </w:r>
      <m:oMath>
        <m:r>
          <w:rPr>
            <w:rFonts w:ascii="Cambria Math" w:hAnsi="Cambria Math"/>
            <w:sz w:val="24"/>
            <w:szCs w:val="24"/>
          </w:rPr>
          <m:t>i=1,…,n</m:t>
        </m:r>
      </m:oMath>
      <w:r w:rsidRPr="003D75FB" w:rsidDel="00543C61">
        <w:rPr>
          <w:sz w:val="24"/>
          <w:szCs w:val="24"/>
        </w:rPr>
        <w:t xml:space="preserve"> </w:t>
      </w:r>
      <w:r w:rsidRPr="003D75FB">
        <w:rPr>
          <w:sz w:val="24"/>
          <w:szCs w:val="24"/>
        </w:rPr>
        <w:t>can comprise of any combination of 30 distinguished land</w:t>
      </w:r>
      <w:r w:rsidR="00823776">
        <w:rPr>
          <w:sz w:val="24"/>
          <w:szCs w:val="24"/>
        </w:rPr>
        <w:t xml:space="preserve"> </w:t>
      </w:r>
      <w:r w:rsidRPr="003D75FB">
        <w:rPr>
          <w:sz w:val="24"/>
          <w:szCs w:val="24"/>
        </w:rPr>
        <w:t>use types and crop classifications,</w:t>
      </w:r>
      <w:r w:rsidR="002D0428">
        <w:rPr>
          <w:sz w:val="24"/>
          <w:szCs w:val="24"/>
        </w:rPr>
        <w:t xml:space="preserve"> i.e.,</w:t>
      </w:r>
      <w:r w:rsidR="004D4788">
        <w:rPr>
          <w:sz w:val="24"/>
          <w:szCs w:val="24"/>
        </w:rPr>
        <w:t xml:space="preserve"> </w:t>
      </w:r>
      <m:oMath>
        <m:r>
          <w:rPr>
            <w:rFonts w:ascii="Cambria Math" w:hAnsi="Cambria Math"/>
            <w:sz w:val="24"/>
            <w:szCs w:val="24"/>
          </w:rPr>
          <m:t>k=1,…,30</m:t>
        </m:r>
      </m:oMath>
      <w:r>
        <w:rPr>
          <w:sz w:val="24"/>
          <w:szCs w:val="24"/>
        </w:rPr>
        <w:t xml:space="preserve"> </w:t>
      </w:r>
      <w:r w:rsidRPr="003D75FB">
        <w:rPr>
          <w:sz w:val="24"/>
          <w:szCs w:val="24"/>
        </w:rPr>
        <w:t>(Rowland et al</w:t>
      </w:r>
      <w:r w:rsidR="00EA2D1E">
        <w:rPr>
          <w:sz w:val="24"/>
          <w:szCs w:val="24"/>
        </w:rPr>
        <w:t>,</w:t>
      </w:r>
      <w:r w:rsidRPr="003D75FB">
        <w:rPr>
          <w:sz w:val="24"/>
          <w:szCs w:val="24"/>
        </w:rPr>
        <w:t xml:space="preserve"> 2015). </w:t>
      </w:r>
    </w:p>
    <w:bookmarkEnd w:id="31"/>
    <w:bookmarkEnd w:id="33"/>
    <w:p w14:paraId="5C970986" w14:textId="170010F1" w:rsidR="00042F9C" w:rsidRDefault="0022002F" w:rsidP="0001610F">
      <w:pPr>
        <w:spacing w:line="480" w:lineRule="auto"/>
        <w:ind w:firstLine="0"/>
        <w:rPr>
          <w:sz w:val="24"/>
          <w:szCs w:val="24"/>
        </w:rPr>
      </w:pPr>
      <w:r w:rsidRPr="003D75FB">
        <w:rPr>
          <w:sz w:val="24"/>
          <w:szCs w:val="24"/>
        </w:rPr>
        <w:t xml:space="preserve">A policy target is chosen based on no net loss in </w:t>
      </w:r>
      <w:r w:rsidR="00E2250C">
        <w:rPr>
          <w:sz w:val="24"/>
          <w:szCs w:val="24"/>
        </w:rPr>
        <w:t xml:space="preserve">the </w:t>
      </w:r>
      <w:r w:rsidRPr="003D75FB">
        <w:rPr>
          <w:sz w:val="24"/>
          <w:szCs w:val="24"/>
        </w:rPr>
        <w:t xml:space="preserve">abundance of a single wading bird species </w:t>
      </w:r>
      <w:r w:rsidR="00F61156">
        <w:rPr>
          <w:sz w:val="24"/>
          <w:szCs w:val="24"/>
        </w:rPr>
        <w:t xml:space="preserve">which thus forms the </w:t>
      </w:r>
      <w:r w:rsidRPr="003D75FB">
        <w:rPr>
          <w:sz w:val="24"/>
          <w:szCs w:val="24"/>
        </w:rPr>
        <w:t>ecological metric</w:t>
      </w:r>
      <w:r w:rsidR="00F61156">
        <w:rPr>
          <w:sz w:val="24"/>
          <w:szCs w:val="24"/>
        </w:rPr>
        <w:t xml:space="preserve">. </w:t>
      </w:r>
      <w:r w:rsidRPr="003D75FB">
        <w:rPr>
          <w:sz w:val="24"/>
          <w:szCs w:val="24"/>
        </w:rPr>
        <w:t xml:space="preserve">Each </w:t>
      </w:r>
      <w:r w:rsidRPr="00276B0E">
        <w:rPr>
          <w:iCs/>
          <w:sz w:val="24"/>
          <w:szCs w:val="24"/>
        </w:rPr>
        <w:t>land parcel</w:t>
      </w:r>
      <w:r w:rsidRPr="003D75FB">
        <w:rPr>
          <w:sz w:val="24"/>
          <w:szCs w:val="24"/>
        </w:rPr>
        <w:t xml:space="preserve"> has an associated ecological index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oMath>
      <w:r w:rsidRPr="003D75FB">
        <w:rPr>
          <w:sz w:val="24"/>
          <w:szCs w:val="24"/>
        </w:rPr>
        <w:t xml:space="preserve">, </w:t>
      </w:r>
      <w:r w:rsidRPr="002516DF">
        <w:rPr>
          <w:sz w:val="24"/>
          <w:szCs w:val="24"/>
        </w:rPr>
        <w:t xml:space="preserve">which is the baseline </w:t>
      </w:r>
      <w:r w:rsidR="00F61156">
        <w:rPr>
          <w:sz w:val="24"/>
          <w:szCs w:val="24"/>
        </w:rPr>
        <w:t xml:space="preserve">(current) </w:t>
      </w:r>
      <w:r w:rsidRPr="002516DF">
        <w:rPr>
          <w:sz w:val="24"/>
          <w:szCs w:val="24"/>
        </w:rPr>
        <w:t>abundance</w:t>
      </w:r>
      <w:r w:rsidRPr="003D75FB">
        <w:rPr>
          <w:sz w:val="24"/>
          <w:szCs w:val="24"/>
        </w:rPr>
        <w:t xml:space="preserve"> of the single species found within the corresponding land parcel. Across the whole case study area, total species abundance is then simply the aggregate </w:t>
      </w:r>
      <m:oMath>
        <m:r>
          <w:rPr>
            <w:rFonts w:ascii="Cambria Math" w:hAnsi="Cambria Math"/>
            <w:sz w:val="24"/>
            <w:szCs w:val="24"/>
          </w:rPr>
          <m:t>E</m:t>
        </m:r>
        <m:r>
          <m:rPr>
            <m:sty m:val="p"/>
          </m:rPr>
          <w:rPr>
            <w:rFonts w:ascii="Cambria Math" w:hAnsi="Cambria Math"/>
            <w:sz w:val="24"/>
            <w:szCs w:val="24"/>
          </w:rPr>
          <m:t xml:space="preserve">= </m:t>
        </m:r>
        <m:nary>
          <m:naryPr>
            <m:chr m:val="∑"/>
            <m:limLoc m:val="undOvr"/>
            <m:ctrlPr>
              <w:rPr>
                <w:rFonts w:ascii="Cambria Math" w:hAnsi="Cambria Math"/>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sz w:val="24"/>
                    <w:szCs w:val="24"/>
                  </w:rPr>
                </m:ctrlPr>
              </m:sSubPr>
              <m:e>
                <m:r>
                  <w:rPr>
                    <w:rFonts w:ascii="Cambria Math" w:hAnsi="Cambria Math"/>
                    <w:sz w:val="24"/>
                    <w:szCs w:val="24"/>
                  </w:rPr>
                  <m:t>e</m:t>
                </m:r>
              </m:e>
              <m:sub>
                <m:r>
                  <w:rPr>
                    <w:rFonts w:ascii="Cambria Math" w:hAnsi="Cambria Math"/>
                    <w:sz w:val="24"/>
                    <w:szCs w:val="24"/>
                  </w:rPr>
                  <m:t>i</m:t>
                </m:r>
              </m:sub>
            </m:sSub>
          </m:e>
        </m:nary>
      </m:oMath>
      <w:r w:rsidRPr="003D75FB">
        <w:rPr>
          <w:sz w:val="24"/>
          <w:szCs w:val="24"/>
        </w:rPr>
        <w:t>, which represents the no net loss conservation objective.</w:t>
      </w:r>
    </w:p>
    <w:p w14:paraId="562E3252" w14:textId="5B3DE1CE" w:rsidR="00042F9C" w:rsidRDefault="00042F9C" w:rsidP="00042F9C">
      <w:pPr>
        <w:spacing w:line="480" w:lineRule="auto"/>
        <w:ind w:firstLine="0"/>
        <w:rPr>
          <w:sz w:val="24"/>
          <w:szCs w:val="24"/>
        </w:rPr>
      </w:pPr>
      <w:r>
        <w:rPr>
          <w:sz w:val="24"/>
          <w:szCs w:val="24"/>
        </w:rPr>
        <w:lastRenderedPageBreak/>
        <w:t xml:space="preserve">The regulator sets the preferred land management practice that benefits the target </w:t>
      </w:r>
      <w:proofErr w:type="gramStart"/>
      <w:r>
        <w:rPr>
          <w:sz w:val="24"/>
          <w:szCs w:val="24"/>
        </w:rPr>
        <w:t>species</w:t>
      </w:r>
      <w:proofErr w:type="gramEnd"/>
      <w:r>
        <w:rPr>
          <w:sz w:val="24"/>
          <w:szCs w:val="24"/>
        </w:rPr>
        <w:t xml:space="preserve"> and this allows us to identify the land parcels that offer biodiversity offsets. Offsets are generated based on a farmer switching the entire land parcel to the new land management practice. This provides us with a measure of single species abundance for each land parcel before and after the change in land management practice. This subsequently allows us to calculate the gains and losses for the species within the land parcel. Recall that we assume that the default crop and livestock distribution on agricultural land is currently the most profitable to a farmer, and that switching to an alternative land management practice will (potentially) result in a loss of profit. Consequently, for a farmer to choose to supply offsets, the offset price must at a minimum compensate for this loss in profit. We can then calculate the farmer’s minimum willingness to accept for a change in land management practice, which gives us the minimum unit price farmer </w:t>
      </w:r>
      <m:oMath>
        <m:r>
          <w:rPr>
            <w:rFonts w:ascii="Cambria Math" w:hAnsi="Cambria Math"/>
            <w:sz w:val="24"/>
            <w:szCs w:val="24"/>
          </w:rPr>
          <m:t>i=1,…,n</m:t>
        </m:r>
      </m:oMath>
      <w:r>
        <w:rPr>
          <w:sz w:val="24"/>
          <w:szCs w:val="24"/>
        </w:rPr>
        <w:t xml:space="preserve"> would be willing to supply one offset:</w:t>
      </w:r>
    </w:p>
    <w:p w14:paraId="137C625D" w14:textId="1D67CC96" w:rsidR="00EF32D9" w:rsidRDefault="004F612E" w:rsidP="00EA2D1E">
      <w:pPr>
        <w:spacing w:line="480" w:lineRule="auto"/>
        <w:ind w:firstLine="0"/>
        <w:rPr>
          <w:sz w:val="24"/>
          <w:szCs w:val="24"/>
        </w:rPr>
      </w:pPr>
      <m:oMath>
        <m:sSub>
          <m:sSubPr>
            <m:ctrlPr>
              <w:rPr>
                <w:rFonts w:ascii="Cambria Math" w:hAnsi="Cambria Math"/>
                <w:sz w:val="24"/>
                <w:szCs w:val="24"/>
              </w:rPr>
            </m:ctrlPr>
          </m:sSubPr>
          <m:e>
            <m:r>
              <w:rPr>
                <w:rFonts w:ascii="Cambria Math" w:hAnsi="Cambria Math"/>
                <w:sz w:val="24"/>
                <w:szCs w:val="24"/>
              </w:rPr>
              <m:t>WTA</m:t>
            </m:r>
          </m:e>
          <m:sub>
            <m:r>
              <w:rPr>
                <w:rFonts w:ascii="Cambria Math" w:hAnsi="Cambria Math"/>
                <w:sz w:val="24"/>
                <w:szCs w:val="24"/>
              </w:rPr>
              <m:t>i</m:t>
            </m:r>
          </m:sub>
        </m:sSub>
        <m:r>
          <m:rPr>
            <m:sty m:val="p"/>
          </m:rPr>
          <w:rPr>
            <w:rFonts w:ascii="Cambria Math" w:hAnsi="Cambria Math"/>
            <w:sz w:val="24"/>
            <w:szCs w:val="24"/>
          </w:rPr>
          <m:t xml:space="preserve">= </m:t>
        </m:r>
        <m:sSubSup>
          <m:sSubSupPr>
            <m:ctrlPr>
              <w:rPr>
                <w:rFonts w:ascii="Cambria Math" w:hAnsi="Cambria Math"/>
                <w:sz w:val="24"/>
                <w:szCs w:val="24"/>
              </w:rPr>
            </m:ctrlPr>
          </m:sSubSupPr>
          <m:e>
            <m:r>
              <w:rPr>
                <w:rFonts w:ascii="Cambria Math" w:hAnsi="Cambria Math"/>
                <w:sz w:val="24"/>
                <w:szCs w:val="24"/>
              </w:rPr>
              <m:t>p</m:t>
            </m:r>
          </m:e>
          <m:sub>
            <m:r>
              <w:rPr>
                <w:rFonts w:ascii="Cambria Math" w:hAnsi="Cambria Math"/>
                <w:sz w:val="24"/>
                <w:szCs w:val="24"/>
              </w:rPr>
              <m:t>i</m:t>
            </m:r>
          </m:sub>
          <m:sup>
            <m:r>
              <w:rPr>
                <w:rFonts w:ascii="Cambria Math" w:hAnsi="Cambria Math"/>
                <w:sz w:val="24"/>
                <w:szCs w:val="24"/>
              </w:rPr>
              <m:t>min</m:t>
            </m:r>
          </m:sup>
        </m:sSubSup>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p</m:t>
            </m:r>
          </m:num>
          <m:den>
            <m:r>
              <w:rPr>
                <w:rFonts w:ascii="Cambria Math" w:hAnsi="Cambria Math"/>
                <w:sz w:val="24"/>
                <w:szCs w:val="24"/>
              </w:rPr>
              <m:t>∆b</m:t>
            </m:r>
          </m:den>
        </m:f>
      </m:oMath>
      <w:r w:rsidR="00EA2D1E">
        <w:rPr>
          <w:sz w:val="24"/>
          <w:szCs w:val="24"/>
        </w:rPr>
        <w:t xml:space="preserve">                                                                                                                  [5]</w:t>
      </w:r>
    </w:p>
    <w:p w14:paraId="4296806D" w14:textId="7E2F5A8C" w:rsidR="00042F9C" w:rsidRDefault="00042F9C" w:rsidP="00042F9C">
      <w:pPr>
        <w:spacing w:line="480" w:lineRule="auto"/>
        <w:ind w:firstLine="0"/>
        <w:rPr>
          <w:sz w:val="24"/>
          <w:szCs w:val="24"/>
        </w:rPr>
      </w:pPr>
      <w:bookmarkStart w:id="34" w:name="_Hlk48806854"/>
      <w:r>
        <w:rPr>
          <w:sz w:val="24"/>
          <w:szCs w:val="24"/>
        </w:rPr>
        <w:t xml:space="preserve">Here </w:t>
      </w:r>
      <m:oMath>
        <m:r>
          <w:rPr>
            <w:rFonts w:ascii="Cambria Math" w:hAnsi="Cambria Math"/>
            <w:sz w:val="24"/>
            <w:szCs w:val="24"/>
          </w:rPr>
          <m:t>∆b=</m:t>
        </m:r>
        <m:sSubSup>
          <m:sSubSupPr>
            <m:ctrlPr>
              <w:rPr>
                <w:rFonts w:ascii="Cambria Math" w:hAnsi="Cambria Math"/>
                <w:sz w:val="24"/>
                <w:szCs w:val="24"/>
              </w:rPr>
            </m:ctrlPr>
          </m:sSubSupPr>
          <m:e>
            <m:r>
              <w:rPr>
                <w:rFonts w:ascii="Cambria Math" w:hAnsi="Cambria Math"/>
                <w:sz w:val="24"/>
                <w:szCs w:val="24"/>
              </w:rPr>
              <m:t>b</m:t>
            </m:r>
          </m:e>
          <m:sub>
            <m:r>
              <w:rPr>
                <w:rFonts w:ascii="Cambria Math" w:hAnsi="Cambria Math"/>
                <w:sz w:val="24"/>
                <w:szCs w:val="24"/>
              </w:rPr>
              <m:t>i</m:t>
            </m:r>
          </m:sub>
          <m:sup>
            <m:r>
              <w:rPr>
                <w:rFonts w:ascii="Cambria Math" w:hAnsi="Cambria Math"/>
                <w:sz w:val="24"/>
                <w:szCs w:val="24"/>
              </w:rPr>
              <m:t>1</m:t>
            </m:r>
          </m:sup>
        </m:sSubSup>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b</m:t>
            </m:r>
          </m:e>
          <m:sub>
            <m:r>
              <w:rPr>
                <w:rFonts w:ascii="Cambria Math" w:hAnsi="Cambria Math"/>
                <w:sz w:val="24"/>
                <w:szCs w:val="24"/>
              </w:rPr>
              <m:t>i</m:t>
            </m:r>
          </m:sub>
          <m:sup>
            <m:r>
              <w:rPr>
                <w:rFonts w:ascii="Cambria Math" w:hAnsi="Cambria Math"/>
                <w:sz w:val="24"/>
                <w:szCs w:val="24"/>
              </w:rPr>
              <m:t>0</m:t>
            </m:r>
          </m:sup>
        </m:sSubSup>
      </m:oMath>
      <w:r>
        <w:rPr>
          <w:sz w:val="24"/>
          <w:szCs w:val="24"/>
        </w:rPr>
        <w:t xml:space="preserve"> denotes the increase in the target species (</w:t>
      </w:r>
      <m:oMath>
        <m:r>
          <w:rPr>
            <w:rFonts w:ascii="Cambria Math" w:hAnsi="Cambria Math"/>
            <w:sz w:val="24"/>
            <w:szCs w:val="24"/>
          </w:rPr>
          <m:t>b</m:t>
        </m:r>
      </m:oMath>
      <w:r>
        <w:rPr>
          <w:sz w:val="24"/>
          <w:szCs w:val="24"/>
        </w:rPr>
        <w:t xml:space="preserve">) abundance gained from offsetting the parcel (again, a binary decision to shift all cropland to improved grassland). Therefore, with </w:t>
      </w:r>
      <m:oMath>
        <m:r>
          <w:rPr>
            <w:rFonts w:ascii="Cambria Math" w:hAnsi="Cambria Math"/>
            <w:sz w:val="24"/>
            <w:szCs w:val="24"/>
          </w:rPr>
          <m:t>p</m:t>
        </m:r>
      </m:oMath>
      <w:r>
        <w:rPr>
          <w:sz w:val="24"/>
          <w:szCs w:val="24"/>
        </w:rPr>
        <w:t xml:space="preserve"> being the market offset price, </w:t>
      </w:r>
      <m:oMath>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i</m:t>
            </m:r>
          </m:sub>
          <m:sup>
            <m:r>
              <w:rPr>
                <w:rFonts w:ascii="Cambria Math" w:hAnsi="Cambria Math"/>
                <w:sz w:val="24"/>
                <w:szCs w:val="24"/>
              </w:rPr>
              <m:t>min</m:t>
            </m:r>
          </m:sup>
        </m:sSubSup>
      </m:oMath>
      <w:r>
        <w:rPr>
          <w:sz w:val="24"/>
          <w:szCs w:val="24"/>
        </w:rPr>
        <w:t xml:space="preserve"> reflects the unit price of a single wading bird species gained from the offset. </w:t>
      </w:r>
      <w:bookmarkEnd w:id="34"/>
      <w:r>
        <w:rPr>
          <w:sz w:val="24"/>
          <w:szCs w:val="24"/>
        </w:rPr>
        <w:t>This allows us to generate a series of supply prices for a single offset for each land parcel</w:t>
      </w:r>
      <w:r w:rsidRPr="006E2E27">
        <w:rPr>
          <w:sz w:val="24"/>
          <w:szCs w:val="24"/>
        </w:rPr>
        <w:t>. To do so, given the</w:t>
      </w:r>
      <w:r w:rsidR="004D4788" w:rsidRPr="006E2E27">
        <w:rPr>
          <w:sz w:val="24"/>
          <w:szCs w:val="24"/>
        </w:rPr>
        <w:t xml:space="preserve"> </w:t>
      </w:r>
      <w:r w:rsidRPr="006E2E27">
        <w:rPr>
          <w:sz w:val="24"/>
          <w:szCs w:val="24"/>
        </w:rPr>
        <w:t>distinguished land</w:t>
      </w:r>
      <w:r w:rsidR="004D4788" w:rsidRPr="006E2E27">
        <w:rPr>
          <w:sz w:val="24"/>
          <w:szCs w:val="24"/>
        </w:rPr>
        <w:t xml:space="preserve"> </w:t>
      </w:r>
      <w:r w:rsidRPr="006E2E27">
        <w:rPr>
          <w:sz w:val="24"/>
          <w:szCs w:val="24"/>
        </w:rPr>
        <w:t>use</w:t>
      </w:r>
      <w:r w:rsidR="004D4788" w:rsidRPr="006E2E27">
        <w:rPr>
          <w:sz w:val="24"/>
          <w:szCs w:val="24"/>
        </w:rPr>
        <w:t xml:space="preserve"> and </w:t>
      </w:r>
      <w:r w:rsidRPr="006E2E27">
        <w:rPr>
          <w:sz w:val="24"/>
          <w:szCs w:val="24"/>
        </w:rPr>
        <w:t>crop classifications, we first calculate the farmers’ profit by using</w:t>
      </w:r>
      <w:r>
        <w:rPr>
          <w:sz w:val="24"/>
          <w:szCs w:val="24"/>
        </w:rPr>
        <w:t xml:space="preserve"> crop and livestock gross margins (revenues minus variable costs) data within each land parcel </w:t>
      </w:r>
      <m:oMath>
        <m:r>
          <w:rPr>
            <w:rFonts w:ascii="Cambria Math" w:hAnsi="Cambria Math"/>
            <w:sz w:val="24"/>
            <w:szCs w:val="24"/>
          </w:rPr>
          <m:t>i=1,…,n</m:t>
        </m:r>
      </m:oMath>
      <w:r>
        <w:rPr>
          <w:sz w:val="24"/>
          <w:szCs w:val="24"/>
        </w:rPr>
        <w:t>:</w:t>
      </w:r>
    </w:p>
    <w:bookmarkStart w:id="35" w:name="_Hlk48890558"/>
    <w:p w14:paraId="22C9B236" w14:textId="6F8EB416" w:rsidR="00042F9C" w:rsidRDefault="004F612E" w:rsidP="00EA2D1E">
      <w:pPr>
        <w:spacing w:line="480" w:lineRule="auto"/>
        <w:ind w:firstLine="0"/>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Π</m:t>
            </m:r>
          </m:e>
          <m:sub>
            <m:r>
              <w:rPr>
                <w:rFonts w:ascii="Cambria Math" w:hAnsi="Cambria Math"/>
                <w:sz w:val="24"/>
                <w:szCs w:val="24"/>
              </w:rPr>
              <m:t>i</m:t>
            </m:r>
          </m:sub>
          <m:sup>
            <m:r>
              <w:rPr>
                <w:rFonts w:ascii="Cambria Math" w:hAnsi="Cambria Math"/>
                <w:sz w:val="24"/>
                <w:szCs w:val="24"/>
              </w:rPr>
              <m:t>t</m:t>
            </m:r>
          </m:sup>
        </m:sSubSup>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K</m:t>
            </m:r>
          </m:sup>
          <m:e>
            <m:sSubSup>
              <m:sSubSupPr>
                <m:ctrlPr>
                  <w:rPr>
                    <w:rFonts w:ascii="Cambria Math" w:hAnsi="Cambria Math"/>
                    <w:sz w:val="24"/>
                    <w:szCs w:val="24"/>
                  </w:rPr>
                </m:ctrlPr>
              </m:sSubSupPr>
              <m:e>
                <m:r>
                  <w:rPr>
                    <w:rFonts w:ascii="Cambria Math" w:hAnsi="Cambria Math"/>
                    <w:sz w:val="24"/>
                    <w:szCs w:val="24"/>
                  </w:rPr>
                  <m:t>H</m:t>
                </m:r>
              </m:e>
              <m:sub>
                <m:r>
                  <w:rPr>
                    <w:rFonts w:ascii="Cambria Math" w:hAnsi="Cambria Math"/>
                    <w:sz w:val="24"/>
                    <w:szCs w:val="24"/>
                  </w:rPr>
                  <m:t>k</m:t>
                </m:r>
              </m:sub>
              <m:sup>
                <m:r>
                  <w:rPr>
                    <w:rFonts w:ascii="Cambria Math" w:hAnsi="Cambria Math"/>
                    <w:sz w:val="24"/>
                    <w:szCs w:val="24"/>
                  </w:rPr>
                  <m:t>t</m:t>
                </m:r>
              </m:sup>
            </m:sSubSup>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k</m:t>
                </m:r>
              </m:sub>
              <m:sup>
                <m:r>
                  <w:rPr>
                    <w:rFonts w:ascii="Cambria Math" w:hAnsi="Cambria Math"/>
                    <w:sz w:val="24"/>
                    <w:szCs w:val="24"/>
                  </w:rPr>
                  <m:t>t</m:t>
                </m:r>
              </m:sup>
            </m:sSubSup>
          </m:e>
        </m:nary>
      </m:oMath>
      <w:r w:rsidR="00EA2D1E">
        <w:rPr>
          <w:sz w:val="24"/>
          <w:szCs w:val="24"/>
        </w:rPr>
        <w:t xml:space="preserve">                                                                                                                        [6]</w:t>
      </w:r>
    </w:p>
    <w:p w14:paraId="294BFCE3" w14:textId="7E5AD82B" w:rsidR="00C976A6" w:rsidRDefault="00C976A6" w:rsidP="00C976A6">
      <w:pPr>
        <w:spacing w:line="480" w:lineRule="auto"/>
        <w:ind w:firstLine="0"/>
        <w:rPr>
          <w:sz w:val="24"/>
          <w:szCs w:val="24"/>
        </w:rPr>
      </w:pPr>
      <w:bookmarkStart w:id="36" w:name="_Hlk46393916"/>
      <w:r>
        <w:rPr>
          <w:sz w:val="24"/>
          <w:szCs w:val="24"/>
        </w:rPr>
        <w:t>W</w:t>
      </w:r>
      <w:r w:rsidR="00042F9C">
        <w:rPr>
          <w:sz w:val="24"/>
          <w:szCs w:val="24"/>
        </w:rPr>
        <w:t>here</w:t>
      </w:r>
      <w:r>
        <w:rPr>
          <w:sz w:val="24"/>
          <w:szCs w:val="24"/>
        </w:rPr>
        <w:t xml:space="preserve"> </w:t>
      </w:r>
      <m:oMath>
        <m:r>
          <w:rPr>
            <w:rFonts w:ascii="Cambria Math" w:hAnsi="Cambria Math"/>
            <w:sz w:val="24"/>
            <w:szCs w:val="24"/>
          </w:rPr>
          <m:t>H</m:t>
        </m:r>
      </m:oMath>
      <w:r>
        <w:rPr>
          <w:sz w:val="24"/>
          <w:szCs w:val="24"/>
        </w:rPr>
        <w:t xml:space="preserve"> is the total land area within the parcel on which a specific agricultural output occurs, </w:t>
      </w:r>
      <w:r w:rsidR="00042F9C">
        <w:rPr>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k</m:t>
            </m:r>
          </m:sub>
          <m:sup>
            <m:r>
              <w:rPr>
                <w:rFonts w:ascii="Cambria Math" w:hAnsi="Cambria Math"/>
                <w:sz w:val="24"/>
                <w:szCs w:val="24"/>
              </w:rPr>
              <m:t>t</m:t>
            </m:r>
          </m:sup>
        </m:sSubSup>
      </m:oMath>
      <w:r w:rsidR="00042F9C">
        <w:rPr>
          <w:sz w:val="24"/>
          <w:szCs w:val="24"/>
        </w:rPr>
        <w:t xml:space="preserve"> is the gross margin for </w:t>
      </w:r>
      <w:r w:rsidR="004D4788">
        <w:rPr>
          <w:sz w:val="24"/>
          <w:szCs w:val="24"/>
        </w:rPr>
        <w:t>land use</w:t>
      </w:r>
      <w:r w:rsidR="00042F9C">
        <w:rPr>
          <w:sz w:val="24"/>
          <w:szCs w:val="24"/>
        </w:rPr>
        <w:t xml:space="preserve"> type </w:t>
      </w:r>
      <m:oMath>
        <m:r>
          <w:rPr>
            <w:rFonts w:ascii="Cambria Math" w:hAnsi="Cambria Math"/>
            <w:sz w:val="24"/>
            <w:szCs w:val="24"/>
          </w:rPr>
          <m:t>k=1,…,30</m:t>
        </m:r>
      </m:oMath>
      <w:r w:rsidR="00042F9C">
        <w:rPr>
          <w:sz w:val="24"/>
          <w:szCs w:val="24"/>
        </w:rPr>
        <w:t xml:space="preserve"> in period </w:t>
      </w:r>
      <m:oMath>
        <m:r>
          <w:rPr>
            <w:rFonts w:ascii="Cambria Math" w:hAnsi="Cambria Math"/>
            <w:sz w:val="24"/>
            <w:szCs w:val="24"/>
          </w:rPr>
          <m:t>t={0,1}</m:t>
        </m:r>
      </m:oMath>
      <w:r w:rsidR="00042F9C">
        <w:rPr>
          <w:sz w:val="24"/>
          <w:szCs w:val="24"/>
        </w:rPr>
        <w:t xml:space="preserve">, with </w:t>
      </w:r>
      <m:oMath>
        <m:r>
          <w:rPr>
            <w:rFonts w:ascii="Cambria Math" w:hAnsi="Cambria Math"/>
            <w:sz w:val="24"/>
            <w:szCs w:val="24"/>
          </w:rPr>
          <m:t>t=0</m:t>
        </m:r>
      </m:oMath>
      <w:r w:rsidR="00042F9C">
        <w:rPr>
          <w:sz w:val="24"/>
          <w:szCs w:val="24"/>
        </w:rPr>
        <w:t xml:space="preserve"> and </w:t>
      </w:r>
      <m:oMath>
        <m:r>
          <w:rPr>
            <w:rFonts w:ascii="Cambria Math" w:hAnsi="Cambria Math"/>
            <w:sz w:val="24"/>
            <w:szCs w:val="24"/>
          </w:rPr>
          <m:t>t=</m:t>
        </m:r>
        <m:r>
          <w:rPr>
            <w:rFonts w:ascii="Cambria Math" w:hAnsi="Cambria Math"/>
            <w:sz w:val="24"/>
            <w:szCs w:val="24"/>
          </w:rPr>
          <w:lastRenderedPageBreak/>
          <m:t>1</m:t>
        </m:r>
      </m:oMath>
      <w:r w:rsidR="00042F9C">
        <w:rPr>
          <w:sz w:val="24"/>
          <w:szCs w:val="24"/>
        </w:rPr>
        <w:t xml:space="preserve"> referring to the corresponding values </w:t>
      </w:r>
      <w:r w:rsidR="00042F9C">
        <w:rPr>
          <w:i/>
          <w:sz w:val="24"/>
          <w:szCs w:val="24"/>
        </w:rPr>
        <w:t>before</w:t>
      </w:r>
      <w:r w:rsidR="00042F9C">
        <w:rPr>
          <w:sz w:val="24"/>
          <w:szCs w:val="24"/>
        </w:rPr>
        <w:t xml:space="preserve"> and </w:t>
      </w:r>
      <w:r w:rsidR="00042F9C">
        <w:rPr>
          <w:i/>
          <w:sz w:val="24"/>
          <w:szCs w:val="24"/>
        </w:rPr>
        <w:t>after</w:t>
      </w:r>
      <w:r w:rsidR="00042F9C">
        <w:rPr>
          <w:sz w:val="24"/>
          <w:szCs w:val="24"/>
        </w:rPr>
        <w:t xml:space="preserve"> changing the agricultural land management practice, respectively.  </w:t>
      </w:r>
    </w:p>
    <w:bookmarkEnd w:id="35"/>
    <w:p w14:paraId="2EC68893" w14:textId="3B1B81B6" w:rsidR="00042F9C" w:rsidRDefault="00042F9C" w:rsidP="00042F9C">
      <w:pPr>
        <w:spacing w:line="480" w:lineRule="auto"/>
        <w:ind w:firstLine="0"/>
        <w:rPr>
          <w:sz w:val="24"/>
          <w:szCs w:val="24"/>
        </w:rPr>
      </w:pPr>
      <w:r>
        <w:rPr>
          <w:sz w:val="24"/>
          <w:szCs w:val="24"/>
        </w:rPr>
        <w:t>For a farmer to enter the market as an offset supplier he needs to be compensated for the difference in values between his land under crop and livestock production and the value under offset production</w:t>
      </w:r>
      <w:r w:rsidR="0001610F">
        <w:rPr>
          <w:vertAlign w:val="superscript"/>
        </w:rPr>
        <w:endnoteReference w:id="5"/>
      </w:r>
      <w:r w:rsidR="0001610F">
        <w:rPr>
          <w:sz w:val="24"/>
          <w:szCs w:val="24"/>
        </w:rPr>
        <w:t>:</w:t>
      </w:r>
      <w:r>
        <w:rPr>
          <w:sz w:val="24"/>
          <w:szCs w:val="24"/>
        </w:rPr>
        <w:t xml:space="preserve">  </w:t>
      </w:r>
    </w:p>
    <w:bookmarkEnd w:id="36"/>
    <w:p w14:paraId="117249C5" w14:textId="239C0539" w:rsidR="00042F9C" w:rsidRDefault="00010F39" w:rsidP="00EA2D1E">
      <w:pPr>
        <w:spacing w:line="480" w:lineRule="auto"/>
        <w:ind w:firstLine="0"/>
        <w:rPr>
          <w:sz w:val="24"/>
          <w:szCs w:val="24"/>
        </w:rPr>
      </w:pPr>
      <m:oMath>
        <m:r>
          <w:rPr>
            <w:rFonts w:ascii="Cambria Math" w:hAnsi="Cambria Math"/>
            <w:sz w:val="24"/>
            <w:szCs w:val="24"/>
          </w:rPr>
          <m:t>p</m:t>
        </m:r>
        <m:r>
          <m:rPr>
            <m:sty m:val="p"/>
          </m:rPr>
          <w:rPr>
            <w:rFonts w:ascii="Cambria Math" w:hAnsi="Cambria Math"/>
            <w:sz w:val="24"/>
            <w:szCs w:val="24"/>
          </w:rPr>
          <m:t>=</m:t>
        </m:r>
        <m:d>
          <m:dPr>
            <m:begChr m:val="|"/>
            <m:endChr m:val="|"/>
            <m:ctrlPr>
              <w:rPr>
                <w:rFonts w:ascii="Cambria Math" w:hAnsi="Cambria Math"/>
                <w:sz w:val="24"/>
                <w:szCs w:val="24"/>
              </w:rPr>
            </m:ctrlPr>
          </m:dPr>
          <m:e>
            <m:r>
              <m:rPr>
                <m:sty m:val="p"/>
              </m:rPr>
              <w:rPr>
                <w:rFonts w:ascii="Cambria Math" w:hAnsi="Cambria Math"/>
                <w:sz w:val="24"/>
                <w:szCs w:val="24"/>
              </w:rPr>
              <m:t>Δ</m:t>
            </m:r>
            <m:sSub>
              <m:sSubPr>
                <m:ctrlPr>
                  <w:rPr>
                    <w:rFonts w:ascii="Cambria Math" w:hAnsi="Cambria Math"/>
                    <w:sz w:val="24"/>
                    <w:szCs w:val="24"/>
                  </w:rPr>
                </m:ctrlPr>
              </m:sSubPr>
              <m:e>
                <m:r>
                  <m:rPr>
                    <m:sty m:val="p"/>
                  </m:rPr>
                  <w:rPr>
                    <w:rFonts w:ascii="Cambria Math" w:hAnsi="Cambria Math"/>
                    <w:sz w:val="24"/>
                    <w:szCs w:val="24"/>
                  </w:rPr>
                  <m:t>Π</m:t>
                </m:r>
              </m:e>
              <m:sub>
                <m:r>
                  <w:rPr>
                    <w:rFonts w:ascii="Cambria Math" w:hAnsi="Cambria Math"/>
                    <w:sz w:val="24"/>
                    <w:szCs w:val="24"/>
                  </w:rPr>
                  <m:t>i</m:t>
                </m:r>
              </m:sub>
            </m:sSub>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Π</m:t>
            </m:r>
          </m:e>
          <m:sub>
            <m:r>
              <w:rPr>
                <w:rFonts w:ascii="Cambria Math" w:hAnsi="Cambria Math"/>
                <w:sz w:val="24"/>
                <w:szCs w:val="24"/>
              </w:rPr>
              <m:t>i</m:t>
            </m:r>
          </m:sub>
          <m:sup>
            <m:r>
              <m:rPr>
                <m:sty m:val="p"/>
              </m:rPr>
              <w:rPr>
                <w:rFonts w:ascii="Cambria Math" w:hAnsi="Cambria Math"/>
                <w:sz w:val="24"/>
                <w:szCs w:val="24"/>
              </w:rPr>
              <m:t>1</m:t>
            </m:r>
          </m:sup>
        </m:sSubSup>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Π</m:t>
            </m:r>
          </m:e>
          <m:sub>
            <m:r>
              <w:rPr>
                <w:rFonts w:ascii="Cambria Math" w:hAnsi="Cambria Math"/>
                <w:sz w:val="24"/>
                <w:szCs w:val="24"/>
              </w:rPr>
              <m:t>i</m:t>
            </m:r>
          </m:sub>
          <m:sup>
            <m:r>
              <m:rPr>
                <m:sty m:val="p"/>
              </m:rPr>
              <w:rPr>
                <w:rFonts w:ascii="Cambria Math" w:hAnsi="Cambria Math"/>
                <w:sz w:val="24"/>
                <w:szCs w:val="24"/>
              </w:rPr>
              <m:t>0</m:t>
            </m:r>
          </m:sup>
        </m:sSubSup>
        <m:r>
          <m:rPr>
            <m:sty m:val="p"/>
          </m:rPr>
          <w:rPr>
            <w:rFonts w:ascii="Cambria Math" w:hAnsi="Cambria Math"/>
            <w:sz w:val="24"/>
            <w:szCs w:val="24"/>
          </w:rPr>
          <m:t xml:space="preserve"> </m:t>
        </m:r>
      </m:oMath>
      <w:r w:rsidR="00EA2D1E">
        <w:rPr>
          <w:sz w:val="24"/>
          <w:szCs w:val="24"/>
        </w:rPr>
        <w:t xml:space="preserve">                                                                                                               [7]</w:t>
      </w:r>
    </w:p>
    <w:p w14:paraId="6884C04A" w14:textId="2567E8F3" w:rsidR="00042F9C" w:rsidRDefault="00042F9C" w:rsidP="00042F9C">
      <w:pPr>
        <w:spacing w:line="480" w:lineRule="auto"/>
        <w:ind w:firstLine="0"/>
        <w:rPr>
          <w:sz w:val="24"/>
          <w:szCs w:val="24"/>
        </w:rPr>
      </w:pPr>
      <w:r>
        <w:rPr>
          <w:sz w:val="24"/>
          <w:szCs w:val="24"/>
        </w:rPr>
        <w:t xml:space="preserve">Knowing the opportunity cost that follows from </w:t>
      </w:r>
      <w:r w:rsidR="00022E0F">
        <w:rPr>
          <w:sz w:val="24"/>
          <w:szCs w:val="24"/>
        </w:rPr>
        <w:t>[</w:t>
      </w:r>
      <w:r w:rsidR="00FD0065">
        <w:rPr>
          <w:sz w:val="24"/>
          <w:szCs w:val="24"/>
        </w:rPr>
        <w:t>7</w:t>
      </w:r>
      <w:r w:rsidR="00022E0F">
        <w:rPr>
          <w:sz w:val="24"/>
          <w:szCs w:val="24"/>
        </w:rPr>
        <w:t>]</w:t>
      </w:r>
      <w:r w:rsidR="00830A1C">
        <w:rPr>
          <w:sz w:val="24"/>
          <w:szCs w:val="24"/>
        </w:rPr>
        <w:t xml:space="preserve"> and</w:t>
      </w:r>
      <w:r>
        <w:rPr>
          <w:sz w:val="24"/>
          <w:szCs w:val="24"/>
        </w:rPr>
        <w:t xml:space="preserve"> taking the predicted increase in the abundance of the target species </w:t>
      </w:r>
      <m:oMath>
        <m:r>
          <w:rPr>
            <w:rFonts w:ascii="Cambria Math" w:hAnsi="Cambria Math"/>
            <w:sz w:val="24"/>
            <w:szCs w:val="24"/>
          </w:rPr>
          <m:t>∆b</m:t>
        </m:r>
      </m:oMath>
      <w:r>
        <w:rPr>
          <w:sz w:val="24"/>
          <w:szCs w:val="24"/>
        </w:rPr>
        <w:t xml:space="preserve"> from the ecological model, land parcels can now be ranked based on which deliver the “best” value biodiversity offsets. Substituting these values into </w:t>
      </w:r>
      <w:r w:rsidR="00022E0F">
        <w:rPr>
          <w:sz w:val="24"/>
          <w:szCs w:val="24"/>
        </w:rPr>
        <w:t>[</w:t>
      </w:r>
      <w:r w:rsidR="00FD0065">
        <w:rPr>
          <w:sz w:val="24"/>
          <w:szCs w:val="24"/>
        </w:rPr>
        <w:t>5</w:t>
      </w:r>
      <w:r w:rsidR="00022E0F">
        <w:rPr>
          <w:sz w:val="24"/>
          <w:szCs w:val="24"/>
        </w:rPr>
        <w:t>]</w:t>
      </w:r>
      <w:r>
        <w:rPr>
          <w:sz w:val="24"/>
          <w:szCs w:val="24"/>
        </w:rPr>
        <w:t xml:space="preserve"> gives a straightforward basis on which to rank of parcels, where the inverse of </w:t>
      </w:r>
      <w:r w:rsidR="00022E0F">
        <w:rPr>
          <w:sz w:val="24"/>
          <w:szCs w:val="24"/>
        </w:rPr>
        <w:t>[</w:t>
      </w:r>
      <w:r w:rsidR="00FD0065">
        <w:rPr>
          <w:sz w:val="24"/>
          <w:szCs w:val="24"/>
        </w:rPr>
        <w:t>5</w:t>
      </w:r>
      <w:r w:rsidR="00022E0F">
        <w:rPr>
          <w:sz w:val="24"/>
          <w:szCs w:val="24"/>
        </w:rPr>
        <w:t>]</w:t>
      </w:r>
      <w:r>
        <w:rPr>
          <w:sz w:val="24"/>
          <w:szCs w:val="24"/>
        </w:rPr>
        <w:t xml:space="preserve"> is essentially a benefit/cost ratio of gains in the target species.</w:t>
      </w:r>
    </w:p>
    <w:p w14:paraId="47D1B9CA" w14:textId="77777777" w:rsidR="00042F9C" w:rsidRDefault="00042F9C" w:rsidP="00042F9C">
      <w:pPr>
        <w:spacing w:line="480" w:lineRule="auto"/>
        <w:ind w:firstLine="0"/>
        <w:rPr>
          <w:sz w:val="24"/>
          <w:szCs w:val="24"/>
        </w:rPr>
      </w:pPr>
      <w:bookmarkStart w:id="37" w:name="_Hlk48807497"/>
      <w:r>
        <w:rPr>
          <w:sz w:val="24"/>
          <w:szCs w:val="24"/>
        </w:rPr>
        <w:t xml:space="preserve">On the demand side of the market, developers’ demand for offset credits will be determined by the expected value of land for housing development, </w:t>
      </w:r>
      <m:oMath>
        <m:r>
          <w:rPr>
            <w:rFonts w:ascii="Cambria Math" w:hAnsi="Cambria Math"/>
            <w:sz w:val="24"/>
            <w:szCs w:val="24"/>
          </w:rPr>
          <m:t>r</m:t>
        </m:r>
      </m:oMath>
      <w:r>
        <w:rPr>
          <w:sz w:val="24"/>
          <w:szCs w:val="24"/>
        </w:rPr>
        <w:t xml:space="preserve">, </w:t>
      </w:r>
      <w:proofErr w:type="gramStart"/>
      <w:r>
        <w:rPr>
          <w:sz w:val="24"/>
          <w:szCs w:val="24"/>
        </w:rPr>
        <w:t>taking into account</w:t>
      </w:r>
      <w:proofErr w:type="gramEnd"/>
      <w:r>
        <w:rPr>
          <w:sz w:val="24"/>
          <w:szCs w:val="24"/>
        </w:rPr>
        <w:t xml:space="preserve"> the need to purchase credits to offset any losses in the target species:</w:t>
      </w:r>
    </w:p>
    <w:p w14:paraId="53D14B3B" w14:textId="064D46C7" w:rsidR="00042F9C" w:rsidRDefault="004F612E" w:rsidP="00FD0065">
      <w:pPr>
        <w:spacing w:line="480" w:lineRule="auto"/>
        <w:ind w:firstLine="0"/>
        <w:rPr>
          <w:sz w:val="24"/>
          <w:szCs w:val="24"/>
        </w:rPr>
      </w:pPr>
      <m:oMath>
        <m:sSubSup>
          <m:sSubSupPr>
            <m:ctrlPr>
              <w:rPr>
                <w:rFonts w:ascii="Cambria Math" w:hAnsi="Cambria Math"/>
                <w:sz w:val="24"/>
                <w:szCs w:val="24"/>
              </w:rPr>
            </m:ctrlPr>
          </m:sSubSupPr>
          <m:e>
            <m:r>
              <w:rPr>
                <w:rFonts w:ascii="Cambria Math" w:hAnsi="Cambria Math"/>
                <w:sz w:val="24"/>
                <w:szCs w:val="24"/>
              </w:rPr>
              <m:t>p</m:t>
            </m:r>
          </m:e>
          <m:sub>
            <m:r>
              <w:rPr>
                <w:rFonts w:ascii="Cambria Math" w:hAnsi="Cambria Math"/>
                <w:sz w:val="24"/>
                <w:szCs w:val="24"/>
              </w:rPr>
              <m:t>j</m:t>
            </m:r>
          </m:sub>
          <m:sup>
            <m:r>
              <w:rPr>
                <w:rFonts w:ascii="Cambria Math" w:hAnsi="Cambria Math"/>
                <w:sz w:val="24"/>
                <w:szCs w:val="24"/>
              </w:rPr>
              <m:t>max</m:t>
            </m:r>
          </m:sup>
        </m:sSubSup>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r</m:t>
            </m:r>
          </m:num>
          <m:den>
            <m:r>
              <w:rPr>
                <w:rFonts w:ascii="Cambria Math" w:hAnsi="Cambria Math"/>
                <w:sz w:val="24"/>
                <w:szCs w:val="24"/>
              </w:rPr>
              <m:t>eh</m:t>
            </m:r>
          </m:den>
        </m:f>
      </m:oMath>
      <w:r w:rsidR="00FD0065">
        <w:rPr>
          <w:sz w:val="24"/>
          <w:szCs w:val="24"/>
        </w:rPr>
        <w:t xml:space="preserve"> </w:t>
      </w:r>
      <w:proofErr w:type="gramStart"/>
      <w:r w:rsidR="00FD0065">
        <w:rPr>
          <w:sz w:val="24"/>
          <w:szCs w:val="24"/>
        </w:rPr>
        <w:t xml:space="preserve">,   </w:t>
      </w:r>
      <w:proofErr w:type="gramEnd"/>
      <w:r w:rsidR="00FD0065">
        <w:rPr>
          <w:sz w:val="24"/>
          <w:szCs w:val="24"/>
        </w:rPr>
        <w:t xml:space="preserve">                                                                                                                              [8]</w:t>
      </w:r>
    </w:p>
    <w:p w14:paraId="1F3FEFE6" w14:textId="77777777" w:rsidR="00042F9C" w:rsidRDefault="00042F9C" w:rsidP="00042F9C">
      <w:pPr>
        <w:spacing w:line="480" w:lineRule="auto"/>
        <w:ind w:firstLine="0"/>
        <w:rPr>
          <w:sz w:val="24"/>
          <w:szCs w:val="24"/>
        </w:rPr>
      </w:pPr>
      <w:r>
        <w:rPr>
          <w:sz w:val="24"/>
          <w:szCs w:val="24"/>
        </w:rPr>
        <w:t xml:space="preserve">with </w:t>
      </w:r>
      <m:oMath>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j</m:t>
            </m:r>
          </m:sub>
          <m:sup>
            <m:r>
              <w:rPr>
                <w:rFonts w:ascii="Cambria Math" w:hAnsi="Cambria Math"/>
                <w:sz w:val="24"/>
                <w:szCs w:val="24"/>
              </w:rPr>
              <m:t>max</m:t>
            </m:r>
          </m:sup>
        </m:sSubSup>
      </m:oMath>
      <w:r>
        <w:rPr>
          <w:sz w:val="24"/>
          <w:szCs w:val="24"/>
        </w:rPr>
        <w:t xml:space="preserve"> referring to the maximum willingness to pay for an offset by developer </w:t>
      </w:r>
      <m:oMath>
        <m:r>
          <w:rPr>
            <w:rFonts w:ascii="Cambria Math" w:hAnsi="Cambria Math"/>
            <w:sz w:val="24"/>
            <w:szCs w:val="24"/>
          </w:rPr>
          <m:t>j=1,…,m</m:t>
        </m:r>
      </m:oMath>
      <w:r>
        <w:rPr>
          <w:sz w:val="24"/>
          <w:szCs w:val="24"/>
        </w:rPr>
        <w:t>.</w:t>
      </w:r>
    </w:p>
    <w:p w14:paraId="72E31FBF" w14:textId="77777777" w:rsidR="00042F9C" w:rsidRDefault="00042F9C" w:rsidP="00042F9C">
      <w:pPr>
        <w:spacing w:line="480" w:lineRule="auto"/>
        <w:ind w:firstLine="0"/>
        <w:rPr>
          <w:sz w:val="24"/>
          <w:szCs w:val="24"/>
        </w:rPr>
      </w:pPr>
      <w:bookmarkStart w:id="38" w:name="_Hlk46395097"/>
      <w:bookmarkEnd w:id="37"/>
      <w:r>
        <w:rPr>
          <w:sz w:val="24"/>
          <w:szCs w:val="24"/>
        </w:rPr>
        <w:t xml:space="preserve">We assume that all 1 km land parcels can be developed within our model regardless of whether a parcel already contains some level of development or not. However, there will be hectares within the land parcel which cannot be developed on, either as the land already contains development (classified as suburban and urban in the habitat maps) or as it would be realistically very difficult to develop housing on certain habitat types. These are coastal habitats </w:t>
      </w:r>
      <w:r>
        <w:rPr>
          <w:sz w:val="24"/>
          <w:szCs w:val="24"/>
        </w:rPr>
        <w:lastRenderedPageBreak/>
        <w:t>(saltmarsh, littoral rock and sediment, supralittoral rock and sediment), inland rock and woodland (coniferous and broadleaf). Therefore, hectares within the 1 km land parcel that are not developable are removed from further calculations.</w:t>
      </w:r>
    </w:p>
    <w:p w14:paraId="5F70357E" w14:textId="77777777" w:rsidR="00FD0065" w:rsidRDefault="00042F9C" w:rsidP="00FD0065">
      <w:pPr>
        <w:spacing w:line="480" w:lineRule="auto"/>
        <w:ind w:firstLine="0"/>
        <w:rPr>
          <w:sz w:val="24"/>
          <w:szCs w:val="24"/>
        </w:rPr>
      </w:pPr>
      <w:r>
        <w:rPr>
          <w:sz w:val="24"/>
          <w:szCs w:val="24"/>
        </w:rPr>
        <w:t>For each land parcel</w:t>
      </w:r>
      <w:r w:rsidR="00E2250C">
        <w:rPr>
          <w:sz w:val="24"/>
          <w:szCs w:val="24"/>
        </w:rPr>
        <w:t>,</w:t>
      </w:r>
      <w:r>
        <w:rPr>
          <w:sz w:val="24"/>
          <w:szCs w:val="24"/>
        </w:rPr>
        <w:t xml:space="preserve"> we have information on the average house price sold and the proportion of the parcel currently converted to housing. For consistency with the agricultural gross margin data, we transform the house price sold data into a rental value of the land for the developers. To derive this land rental </w:t>
      </w:r>
      <w:proofErr w:type="gramStart"/>
      <w:r>
        <w:rPr>
          <w:sz w:val="24"/>
          <w:szCs w:val="24"/>
        </w:rPr>
        <w:t>value</w:t>
      </w:r>
      <w:proofErr w:type="gramEnd"/>
      <w:r>
        <w:rPr>
          <w:sz w:val="24"/>
          <w:szCs w:val="24"/>
        </w:rPr>
        <w:t xml:space="preserve"> we first determine the remaining hectares of land within a parcel which can be converted to housing development. </w:t>
      </w:r>
      <w:bookmarkStart w:id="39" w:name="_Hlk48807648"/>
      <w:r w:rsidR="000C1A68">
        <w:rPr>
          <w:sz w:val="24"/>
          <w:szCs w:val="24"/>
        </w:rPr>
        <w:t xml:space="preserve">We take 100 ha as the standard parcel size and adjust for </w:t>
      </w:r>
      <w:r>
        <w:rPr>
          <w:sz w:val="24"/>
          <w:szCs w:val="24"/>
        </w:rPr>
        <w:t>the total amount of land devoted to urban (</w:t>
      </w:r>
      <m:oMath>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urb</m:t>
            </m:r>
          </m:sup>
        </m:sSup>
      </m:oMath>
      <w:r>
        <w:rPr>
          <w:sz w:val="24"/>
          <w:szCs w:val="24"/>
        </w:rPr>
        <w:t>) and suburban (</w:t>
      </w:r>
      <m:oMath>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sub</m:t>
            </m:r>
          </m:sup>
        </m:sSup>
      </m:oMath>
      <w:r>
        <w:rPr>
          <w:sz w:val="24"/>
          <w:szCs w:val="24"/>
        </w:rPr>
        <w:t>) land use, the remaining land available for development is:</w:t>
      </w:r>
    </w:p>
    <w:p w14:paraId="27580BF5" w14:textId="4F07A378" w:rsidR="00042F9C" w:rsidRPr="00FD0065" w:rsidRDefault="004F612E" w:rsidP="00FD0065">
      <w:pPr>
        <w:spacing w:line="480" w:lineRule="auto"/>
        <w:ind w:firstLine="0"/>
        <w:rPr>
          <w:sz w:val="24"/>
          <w:szCs w:val="24"/>
        </w:rPr>
      </w:pPr>
      <m:oMath>
        <m:sSup>
          <m:sSupPr>
            <m:ctrlPr>
              <w:rPr>
                <w:rFonts w:ascii="Cambria Math" w:hAnsi="Cambria Math"/>
                <w:sz w:val="24"/>
                <w:szCs w:val="24"/>
              </w:rPr>
            </m:ctrlPr>
          </m:sSupPr>
          <m:e>
            <m:r>
              <w:rPr>
                <w:rFonts w:ascii="Cambria Math" w:hAnsi="Cambria Math"/>
                <w:sz w:val="24"/>
                <w:szCs w:val="24"/>
              </w:rPr>
              <m:t>h</m:t>
            </m:r>
          </m:e>
          <m:sup>
            <m:r>
              <w:rPr>
                <w:rFonts w:ascii="Cambria Math" w:hAnsi="Cambria Math"/>
                <w:sz w:val="24"/>
                <w:szCs w:val="24"/>
              </w:rPr>
              <m:t>dev</m:t>
            </m:r>
          </m:sup>
        </m:sSup>
        <m:r>
          <m:rPr>
            <m:sty m:val="p"/>
          </m:rPr>
          <w:rPr>
            <w:rFonts w:ascii="Cambria Math" w:hAnsi="Cambria Math"/>
            <w:sz w:val="24"/>
            <w:szCs w:val="24"/>
          </w:rPr>
          <m:t>=100-</m:t>
        </m:r>
        <m:sSup>
          <m:sSupPr>
            <m:ctrlPr>
              <w:rPr>
                <w:rFonts w:ascii="Cambria Math" w:hAnsi="Cambria Math"/>
                <w:sz w:val="24"/>
                <w:szCs w:val="24"/>
              </w:rPr>
            </m:ctrlPr>
          </m:sSupPr>
          <m:e>
            <m:r>
              <w:rPr>
                <w:rFonts w:ascii="Cambria Math" w:hAnsi="Cambria Math"/>
                <w:sz w:val="24"/>
                <w:szCs w:val="24"/>
              </w:rPr>
              <m:t>h</m:t>
            </m:r>
          </m:e>
          <m:sup>
            <m:r>
              <w:rPr>
                <w:rFonts w:ascii="Cambria Math" w:hAnsi="Cambria Math"/>
                <w:sz w:val="24"/>
                <w:szCs w:val="24"/>
              </w:rPr>
              <m:t>urb</m:t>
            </m:r>
          </m:sup>
        </m:sSup>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h</m:t>
            </m:r>
          </m:e>
          <m:sup>
            <m:r>
              <w:rPr>
                <w:rFonts w:ascii="Cambria Math" w:hAnsi="Cambria Math"/>
                <w:sz w:val="24"/>
                <w:szCs w:val="24"/>
              </w:rPr>
              <m:t>sub</m:t>
            </m:r>
          </m:sup>
        </m:sSup>
      </m:oMath>
      <w:r w:rsidR="00FD0065">
        <w:rPr>
          <w:sz w:val="24"/>
          <w:szCs w:val="24"/>
        </w:rPr>
        <w:t xml:space="preserve">                                                                                                       [9]</w:t>
      </w:r>
    </w:p>
    <w:bookmarkEnd w:id="38"/>
    <w:bookmarkEnd w:id="39"/>
    <w:p w14:paraId="77CF6D00" w14:textId="093D4DE0" w:rsidR="00042F9C" w:rsidRDefault="00042F9C" w:rsidP="00042F9C">
      <w:pPr>
        <w:spacing w:line="480" w:lineRule="auto"/>
        <w:ind w:firstLine="0"/>
        <w:rPr>
          <w:sz w:val="24"/>
          <w:szCs w:val="24"/>
        </w:rPr>
      </w:pPr>
      <w:r>
        <w:rPr>
          <w:sz w:val="24"/>
          <w:szCs w:val="24"/>
        </w:rPr>
        <w:t xml:space="preserve">Dividing the average house price sold on a land parcel by 100 gives us the average house price sold per hectare, </w:t>
      </w:r>
      <m:oMath>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r</m:t>
                </m:r>
              </m:e>
            </m:acc>
          </m:e>
          <m:sup>
            <m:r>
              <w:rPr>
                <w:rFonts w:ascii="Cambria Math" w:hAnsi="Cambria Math"/>
                <w:sz w:val="24"/>
                <w:szCs w:val="24"/>
              </w:rPr>
              <m:t>ha</m:t>
            </m:r>
          </m:sup>
        </m:sSup>
      </m:oMath>
      <w:r>
        <w:rPr>
          <w:sz w:val="24"/>
          <w:szCs w:val="24"/>
        </w:rPr>
        <w:t xml:space="preserve">. Using this value and </w:t>
      </w:r>
      <w:r w:rsidR="00022E0F">
        <w:rPr>
          <w:sz w:val="24"/>
          <w:szCs w:val="24"/>
        </w:rPr>
        <w:t>[</w:t>
      </w:r>
      <w:r w:rsidR="00FD0065">
        <w:rPr>
          <w:sz w:val="24"/>
          <w:szCs w:val="24"/>
        </w:rPr>
        <w:t>9</w:t>
      </w:r>
      <w:r w:rsidR="00022E0F">
        <w:rPr>
          <w:sz w:val="24"/>
          <w:szCs w:val="24"/>
        </w:rPr>
        <w:t>]</w:t>
      </w:r>
      <w:r>
        <w:rPr>
          <w:sz w:val="24"/>
          <w:szCs w:val="24"/>
        </w:rPr>
        <w:t xml:space="preserve"> allows us to determine expected house price for the yet undeveloped hectares within a parcel, i.e., the </w:t>
      </w:r>
      <w:r>
        <w:rPr>
          <w:i/>
          <w:sz w:val="24"/>
          <w:szCs w:val="24"/>
        </w:rPr>
        <w:t>expected</w:t>
      </w:r>
      <w:r>
        <w:rPr>
          <w:sz w:val="24"/>
          <w:szCs w:val="24"/>
        </w:rPr>
        <w:t xml:space="preserve"> value of land sold for </w:t>
      </w:r>
      <w:r>
        <w:rPr>
          <w:i/>
          <w:sz w:val="24"/>
          <w:szCs w:val="24"/>
        </w:rPr>
        <w:t>potential</w:t>
      </w:r>
      <w:r>
        <w:rPr>
          <w:sz w:val="24"/>
          <w:szCs w:val="24"/>
        </w:rPr>
        <w:t xml:space="preserve"> housing development:</w:t>
      </w:r>
    </w:p>
    <w:p w14:paraId="6B957F46" w14:textId="6598F615" w:rsidR="00042F9C" w:rsidRDefault="00010F39" w:rsidP="00042F9C">
      <w:pPr>
        <w:spacing w:line="480" w:lineRule="auto"/>
        <w:ind w:firstLine="0"/>
        <w:rPr>
          <w:sz w:val="24"/>
          <w:szCs w:val="24"/>
        </w:rPr>
      </w:pPr>
      <m:oMath>
        <m:r>
          <m:rPr>
            <m:scr m:val="double-struck"/>
            <m:sty m:val="p"/>
          </m:rPr>
          <w:rPr>
            <w:rFonts w:ascii="Cambria Math" w:hAnsi="Cambria Math"/>
            <w:sz w:val="24"/>
            <w:szCs w:val="24"/>
          </w:rPr>
          <m:t>E</m:t>
        </m:r>
        <m:d>
          <m:dPr>
            <m:begChr m:val="["/>
            <m:endChr m:val="]"/>
            <m:ctrlPr>
              <w:rPr>
                <w:rFonts w:ascii="Cambria Math" w:hAnsi="Cambria Math"/>
                <w:sz w:val="24"/>
                <w:szCs w:val="24"/>
              </w:rPr>
            </m:ctrlPr>
          </m:dPr>
          <m:e>
            <m:r>
              <w:rPr>
                <w:rFonts w:ascii="Cambria Math" w:hAnsi="Cambria Math"/>
                <w:sz w:val="24"/>
                <w:szCs w:val="24"/>
              </w:rPr>
              <m:t>r</m:t>
            </m:r>
          </m:e>
        </m:d>
        <m:r>
          <m:rPr>
            <m:sty m:val="p"/>
          </m:rPr>
          <w:rPr>
            <w:rFonts w:ascii="Cambria Math" w:hAnsi="Cambria Math"/>
            <w:sz w:val="24"/>
            <w:szCs w:val="24"/>
          </w:rPr>
          <m:t>=</m:t>
        </m:r>
        <m:r>
          <w:rPr>
            <w:rFonts w:ascii="Cambria Math" w:hAnsi="Cambria Math"/>
            <w:sz w:val="24"/>
            <w:szCs w:val="24"/>
          </w:rPr>
          <m:t>α</m:t>
        </m:r>
        <m:sSup>
          <m:sSupPr>
            <m:ctrlPr>
              <w:rPr>
                <w:rFonts w:ascii="Cambria Math" w:hAnsi="Cambria Math"/>
                <w:sz w:val="24"/>
                <w:szCs w:val="24"/>
              </w:rPr>
            </m:ctrlPr>
          </m:sSupPr>
          <m:e>
            <m:sSup>
              <m:sSupPr>
                <m:ctrlPr>
                  <w:rPr>
                    <w:rFonts w:ascii="Cambria Math" w:hAnsi="Cambria Math"/>
                    <w:sz w:val="24"/>
                    <w:szCs w:val="24"/>
                  </w:rPr>
                </m:ctrlPr>
              </m:sSupPr>
              <m:e>
                <m:acc>
                  <m:accPr>
                    <m:chr m:val="̅"/>
                    <m:ctrlPr>
                      <w:rPr>
                        <w:rFonts w:ascii="Cambria Math" w:hAnsi="Cambria Math"/>
                        <w:sz w:val="24"/>
                        <w:szCs w:val="24"/>
                      </w:rPr>
                    </m:ctrlPr>
                  </m:accPr>
                  <m:e>
                    <m:r>
                      <w:rPr>
                        <w:rFonts w:ascii="Cambria Math" w:hAnsi="Cambria Math"/>
                        <w:sz w:val="24"/>
                        <w:szCs w:val="24"/>
                      </w:rPr>
                      <m:t>r</m:t>
                    </m:r>
                  </m:e>
                </m:acc>
              </m:e>
              <m:sup>
                <m:r>
                  <w:rPr>
                    <w:rFonts w:ascii="Cambria Math" w:hAnsi="Cambria Math"/>
                    <w:sz w:val="24"/>
                    <w:szCs w:val="24"/>
                  </w:rPr>
                  <m:t>ha</m:t>
                </m:r>
              </m:sup>
            </m:sSup>
            <m:r>
              <w:rPr>
                <w:rFonts w:ascii="Cambria Math" w:hAnsi="Cambria Math"/>
                <w:sz w:val="24"/>
                <w:szCs w:val="24"/>
              </w:rPr>
              <m:t>h</m:t>
            </m:r>
          </m:e>
          <m:sup>
            <m:r>
              <w:rPr>
                <w:rFonts w:ascii="Cambria Math" w:hAnsi="Cambria Math"/>
                <w:sz w:val="24"/>
                <w:szCs w:val="24"/>
              </w:rPr>
              <m:t>dev</m:t>
            </m:r>
          </m:sup>
        </m:sSup>
      </m:oMath>
      <w:proofErr w:type="gramStart"/>
      <w:r w:rsidR="00042F9C">
        <w:rPr>
          <w:sz w:val="24"/>
          <w:szCs w:val="24"/>
        </w:rPr>
        <w:t>,</w:t>
      </w:r>
      <w:r w:rsidR="00FD0065">
        <w:rPr>
          <w:sz w:val="24"/>
          <w:szCs w:val="24"/>
        </w:rPr>
        <w:t xml:space="preserve">   </w:t>
      </w:r>
      <w:proofErr w:type="gramEnd"/>
      <w:r w:rsidR="00FD0065">
        <w:rPr>
          <w:sz w:val="24"/>
          <w:szCs w:val="24"/>
        </w:rPr>
        <w:t xml:space="preserve">                                                                                                                  [10]</w:t>
      </w:r>
    </w:p>
    <w:p w14:paraId="61409E62" w14:textId="77777777" w:rsidR="00042F9C" w:rsidRDefault="00042F9C" w:rsidP="00042F9C">
      <w:pPr>
        <w:spacing w:line="480" w:lineRule="auto"/>
        <w:ind w:firstLine="0"/>
        <w:rPr>
          <w:sz w:val="24"/>
          <w:szCs w:val="24"/>
        </w:rPr>
      </w:pPr>
      <w:r>
        <w:rPr>
          <w:sz w:val="24"/>
          <w:szCs w:val="24"/>
        </w:rPr>
        <w:t xml:space="preserve">where </w:t>
      </w:r>
      <m:oMath>
        <m:r>
          <w:rPr>
            <w:rFonts w:ascii="Cambria Math" w:hAnsi="Cambria Math"/>
            <w:sz w:val="24"/>
            <w:szCs w:val="24"/>
          </w:rPr>
          <m:t>α∈[0,1]</m:t>
        </m:r>
      </m:oMath>
      <w:r>
        <w:rPr>
          <w:sz w:val="24"/>
          <w:szCs w:val="24"/>
        </w:rPr>
        <w:t xml:space="preserve"> is the fraction of a house price that accounts for the value of </w:t>
      </w:r>
      <w:proofErr w:type="gramStart"/>
      <w:r>
        <w:rPr>
          <w:sz w:val="24"/>
          <w:szCs w:val="24"/>
        </w:rPr>
        <w:t>land.</w:t>
      </w:r>
      <w:proofErr w:type="gramEnd"/>
      <w:r>
        <w:rPr>
          <w:sz w:val="24"/>
          <w:szCs w:val="24"/>
        </w:rPr>
        <w:t xml:space="preserve"> </w:t>
      </w:r>
    </w:p>
    <w:p w14:paraId="0708FC7B" w14:textId="452F91A9" w:rsidR="00042F9C" w:rsidRDefault="00042F9C" w:rsidP="00042F9C">
      <w:pPr>
        <w:spacing w:line="480" w:lineRule="auto"/>
        <w:ind w:firstLine="0"/>
        <w:rPr>
          <w:sz w:val="24"/>
          <w:szCs w:val="24"/>
        </w:rPr>
      </w:pPr>
      <w:r>
        <w:rPr>
          <w:sz w:val="24"/>
          <w:szCs w:val="24"/>
        </w:rPr>
        <w:t xml:space="preserve">As a final step, we derive the expected </w:t>
      </w:r>
      <w:r>
        <w:rPr>
          <w:i/>
          <w:sz w:val="24"/>
          <w:szCs w:val="24"/>
        </w:rPr>
        <w:t>net</w:t>
      </w:r>
      <w:r>
        <w:rPr>
          <w:sz w:val="24"/>
          <w:szCs w:val="24"/>
        </w:rPr>
        <w:t xml:space="preserve"> development value of land for housing, </w:t>
      </w:r>
      <m:oMath>
        <m:r>
          <w:rPr>
            <w:rFonts w:ascii="Cambria Math" w:hAnsi="Cambria Math"/>
            <w:sz w:val="24"/>
            <w:szCs w:val="24"/>
          </w:rPr>
          <m:t>V,</m:t>
        </m:r>
      </m:oMath>
      <w:r>
        <w:rPr>
          <w:sz w:val="24"/>
          <w:szCs w:val="24"/>
        </w:rPr>
        <w:t xml:space="preserve"> by adjusting the land rental value obtained in </w:t>
      </w:r>
      <w:r w:rsidR="00FD0065">
        <w:rPr>
          <w:sz w:val="24"/>
          <w:szCs w:val="24"/>
        </w:rPr>
        <w:t>[10]</w:t>
      </w:r>
      <w:r>
        <w:rPr>
          <w:sz w:val="24"/>
          <w:szCs w:val="24"/>
        </w:rPr>
        <w:t xml:space="preserve"> for the gross margin from the agricultural production within the land parcel:</w:t>
      </w:r>
    </w:p>
    <w:p w14:paraId="1A6C0F9D" w14:textId="57002B1F" w:rsidR="002D0428" w:rsidRPr="00FD0065" w:rsidRDefault="00010F39" w:rsidP="00FD0065">
      <w:pPr>
        <w:spacing w:line="480" w:lineRule="auto"/>
        <w:ind w:firstLine="0"/>
        <w:rPr>
          <w:sz w:val="24"/>
          <w:szCs w:val="24"/>
        </w:rPr>
      </w:pPr>
      <m:oMath>
        <m:r>
          <m:rPr>
            <m:scr m:val="double-struck"/>
            <m:sty m:val="p"/>
          </m:rPr>
          <w:rPr>
            <w:rFonts w:ascii="Cambria Math" w:hAnsi="Cambria Math"/>
            <w:sz w:val="24"/>
            <w:szCs w:val="24"/>
          </w:rPr>
          <m:t>E</m:t>
        </m:r>
        <m:d>
          <m:dPr>
            <m:begChr m:val="["/>
            <m:endChr m:val="]"/>
            <m:ctrlPr>
              <w:rPr>
                <w:rFonts w:ascii="Cambria Math" w:hAnsi="Cambria Math"/>
                <w:sz w:val="24"/>
                <w:szCs w:val="24"/>
              </w:rPr>
            </m:ctrlPr>
          </m:dPr>
          <m:e>
            <m:r>
              <w:rPr>
                <w:rFonts w:ascii="Cambria Math" w:hAnsi="Cambria Math"/>
                <w:sz w:val="24"/>
                <w:szCs w:val="24"/>
              </w:rPr>
              <m:t>V</m:t>
            </m:r>
          </m:e>
        </m:d>
        <m:r>
          <m:rPr>
            <m:scr m:val="double-struck"/>
            <m:sty m:val="p"/>
          </m:rPr>
          <w:rPr>
            <w:rFonts w:ascii="Cambria Math" w:hAnsi="Cambria Math"/>
            <w:sz w:val="24"/>
            <w:szCs w:val="24"/>
          </w:rPr>
          <m:t>=E</m:t>
        </m:r>
        <m:d>
          <m:dPr>
            <m:begChr m:val="["/>
            <m:endChr m:val="]"/>
            <m:ctrlPr>
              <w:rPr>
                <w:rFonts w:ascii="Cambria Math" w:hAnsi="Cambria Math"/>
                <w:sz w:val="24"/>
                <w:szCs w:val="24"/>
              </w:rPr>
            </m:ctrlPr>
          </m:dPr>
          <m:e>
            <m:r>
              <w:rPr>
                <w:rFonts w:ascii="Cambria Math" w:hAnsi="Cambria Math"/>
                <w:sz w:val="24"/>
                <w:szCs w:val="24"/>
              </w:rPr>
              <m:t>r</m:t>
            </m:r>
          </m:e>
        </m:d>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K</m:t>
            </m:r>
          </m:sup>
          <m:e>
            <m:sSubSup>
              <m:sSubSupPr>
                <m:ctrlPr>
                  <w:rPr>
                    <w:rFonts w:ascii="Cambria Math" w:hAnsi="Cambria Math"/>
                    <w:sz w:val="24"/>
                    <w:szCs w:val="24"/>
                  </w:rPr>
                </m:ctrlPr>
              </m:sSubSupPr>
              <m:e>
                <m:r>
                  <w:rPr>
                    <w:rFonts w:ascii="Cambria Math" w:hAnsi="Cambria Math"/>
                    <w:sz w:val="24"/>
                    <w:szCs w:val="24"/>
                  </w:rPr>
                  <m:t>π</m:t>
                </m:r>
              </m:e>
              <m:sub>
                <m:r>
                  <w:rPr>
                    <w:rFonts w:ascii="Cambria Math" w:hAnsi="Cambria Math"/>
                    <w:sz w:val="24"/>
                    <w:szCs w:val="24"/>
                  </w:rPr>
                  <m:t>k</m:t>
                </m:r>
              </m:sub>
              <m:sup>
                <m:r>
                  <m:rPr>
                    <m:sty m:val="p"/>
                  </m:rPr>
                  <w:rPr>
                    <w:rFonts w:ascii="Cambria Math" w:hAnsi="Cambria Math"/>
                    <w:sz w:val="24"/>
                    <w:szCs w:val="24"/>
                  </w:rPr>
                  <m:t>1</m:t>
                </m:r>
              </m:sup>
            </m:sSubSup>
          </m:e>
        </m:nary>
      </m:oMath>
      <w:r w:rsidR="00FD0065">
        <w:rPr>
          <w:sz w:val="24"/>
          <w:szCs w:val="24"/>
        </w:rPr>
        <w:t xml:space="preserve">                                                                                                          [11]</w:t>
      </w:r>
    </w:p>
    <w:p w14:paraId="42C9F292" w14:textId="41B95BA0" w:rsidR="00042F9C" w:rsidRDefault="00042F9C" w:rsidP="002D0428">
      <w:pPr>
        <w:spacing w:line="480" w:lineRule="auto"/>
        <w:ind w:firstLine="0"/>
        <w:rPr>
          <w:sz w:val="24"/>
          <w:szCs w:val="24"/>
        </w:rPr>
      </w:pPr>
      <w:bookmarkStart w:id="40" w:name="_Hlk48808048"/>
      <w:r>
        <w:rPr>
          <w:sz w:val="24"/>
          <w:szCs w:val="24"/>
        </w:rPr>
        <w:lastRenderedPageBreak/>
        <w:t xml:space="preserve">We assume that a developer will convert all remaining hectares of a land parcel to housing, subsequently losing any income from agriculture and requiring the purchase of biodiversity offsets. For development to take place, the developer must hold biodiversity offsets equal to the predicted abundance the target species which are lost as a result of converting his land parcel to housing. As a result, the maximum willingness to pay for a single offset for each land parcel is equal to the net value of land for housing </w:t>
      </w:r>
      <w:r w:rsidR="00FD0065">
        <w:rPr>
          <w:sz w:val="24"/>
          <w:szCs w:val="24"/>
        </w:rPr>
        <w:t>[11]</w:t>
      </w:r>
      <w:r>
        <w:rPr>
          <w:sz w:val="24"/>
          <w:szCs w:val="24"/>
        </w:rPr>
        <w:t xml:space="preserve"> relative to the </w:t>
      </w:r>
      <w:proofErr w:type="gramStart"/>
      <w:r>
        <w:rPr>
          <w:sz w:val="24"/>
          <w:szCs w:val="24"/>
        </w:rPr>
        <w:t>amount</w:t>
      </w:r>
      <w:proofErr w:type="gramEnd"/>
      <w:r>
        <w:rPr>
          <w:sz w:val="24"/>
          <w:szCs w:val="24"/>
        </w:rPr>
        <w:t xml:space="preserve"> of offsets required:</w:t>
      </w:r>
    </w:p>
    <w:p w14:paraId="285E3B6E" w14:textId="7A927288" w:rsidR="00FD0065" w:rsidRPr="00FD0065" w:rsidRDefault="004F612E" w:rsidP="00FD0065">
      <w:pPr>
        <w:spacing w:line="480" w:lineRule="auto"/>
        <w:ind w:firstLine="0"/>
        <w:rPr>
          <w:sz w:val="24"/>
          <w:szCs w:val="24"/>
        </w:rPr>
      </w:pPr>
      <m:oMath>
        <m:sSub>
          <m:sSubPr>
            <m:ctrlPr>
              <w:rPr>
                <w:rFonts w:ascii="Cambria Math" w:hAnsi="Cambria Math"/>
                <w:sz w:val="24"/>
                <w:szCs w:val="24"/>
              </w:rPr>
            </m:ctrlPr>
          </m:sSubPr>
          <m:e>
            <m:r>
              <w:rPr>
                <w:rFonts w:ascii="Cambria Math" w:hAnsi="Cambria Math"/>
                <w:sz w:val="24"/>
                <w:szCs w:val="24"/>
              </w:rPr>
              <m:t>WTP</m:t>
            </m:r>
          </m:e>
          <m:sub>
            <m:r>
              <w:rPr>
                <w:rFonts w:ascii="Cambria Math" w:hAnsi="Cambria Math"/>
                <w:sz w:val="24"/>
                <w:szCs w:val="24"/>
              </w:rPr>
              <m:t>j</m:t>
            </m:r>
          </m:sub>
        </m:sSub>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p</m:t>
            </m:r>
          </m:e>
          <m:sub>
            <m:r>
              <w:rPr>
                <w:rFonts w:ascii="Cambria Math" w:hAnsi="Cambria Math"/>
                <w:sz w:val="24"/>
                <w:szCs w:val="24"/>
              </w:rPr>
              <m:t>j</m:t>
            </m:r>
          </m:sub>
          <m:sup>
            <m:r>
              <w:rPr>
                <w:rFonts w:ascii="Cambria Math" w:hAnsi="Cambria Math"/>
                <w:sz w:val="24"/>
                <w:szCs w:val="24"/>
              </w:rPr>
              <m:t>max</m:t>
            </m:r>
          </m:sup>
        </m:sSubSup>
        <m:r>
          <m:rPr>
            <m:sty m:val="p"/>
          </m:rPr>
          <w:rPr>
            <w:rFonts w:ascii="Cambria Math" w:hAnsi="Cambria Math"/>
            <w:sz w:val="24"/>
            <w:szCs w:val="24"/>
          </w:rPr>
          <m:t>=</m:t>
        </m:r>
        <m:f>
          <m:fPr>
            <m:ctrlPr>
              <w:rPr>
                <w:rFonts w:ascii="Cambria Math" w:hAnsi="Cambria Math"/>
                <w:sz w:val="24"/>
                <w:szCs w:val="24"/>
              </w:rPr>
            </m:ctrlPr>
          </m:fPr>
          <m:num>
            <m:r>
              <m:rPr>
                <m:scr m:val="double-struck"/>
                <m:sty m:val="p"/>
              </m:rPr>
              <w:rPr>
                <w:rFonts w:ascii="Cambria Math" w:hAnsi="Cambria Math"/>
                <w:sz w:val="24"/>
                <w:szCs w:val="24"/>
              </w:rPr>
              <m:t>E</m:t>
            </m:r>
            <m:d>
              <m:dPr>
                <m:begChr m:val="["/>
                <m:endChr m:val="]"/>
                <m:ctrlPr>
                  <w:rPr>
                    <w:rFonts w:ascii="Cambria Math" w:hAnsi="Cambria Math"/>
                    <w:sz w:val="24"/>
                    <w:szCs w:val="24"/>
                  </w:rPr>
                </m:ctrlPr>
              </m:dPr>
              <m:e>
                <m:r>
                  <w:rPr>
                    <w:rFonts w:ascii="Cambria Math" w:hAnsi="Cambria Math"/>
                    <w:sz w:val="24"/>
                    <w:szCs w:val="24"/>
                  </w:rPr>
                  <m:t>V</m:t>
                </m:r>
              </m:e>
            </m:d>
          </m:num>
          <m:den>
            <m:r>
              <w:rPr>
                <w:rFonts w:ascii="Cambria Math" w:hAnsi="Cambria Math"/>
                <w:sz w:val="24"/>
                <w:szCs w:val="24"/>
              </w:rPr>
              <m:t>eh</m:t>
            </m:r>
          </m:den>
        </m:f>
        <m:r>
          <m:rPr>
            <m:sty m:val="p"/>
          </m:rPr>
          <w:rPr>
            <w:rFonts w:ascii="Cambria Math" w:hAnsi="Cambria Math"/>
            <w:sz w:val="24"/>
            <w:szCs w:val="24"/>
          </w:rPr>
          <m:t xml:space="preserve"> </m:t>
        </m:r>
      </m:oMath>
      <w:bookmarkEnd w:id="40"/>
      <w:r w:rsidR="00FD0065">
        <w:rPr>
          <w:sz w:val="24"/>
          <w:szCs w:val="24"/>
        </w:rPr>
        <w:t xml:space="preserve">                                                                                                               [12]</w:t>
      </w:r>
    </w:p>
    <w:p w14:paraId="36EB8307" w14:textId="480533A6" w:rsidR="00042F9C" w:rsidRPr="00FD0065" w:rsidRDefault="00042F9C" w:rsidP="00FD0065">
      <w:pPr>
        <w:spacing w:line="480" w:lineRule="auto"/>
        <w:ind w:firstLine="0"/>
        <w:rPr>
          <w:sz w:val="24"/>
          <w:szCs w:val="24"/>
        </w:rPr>
      </w:pPr>
      <w:r>
        <w:rPr>
          <w:sz w:val="24"/>
          <w:szCs w:val="24"/>
        </w:rPr>
        <w:t xml:space="preserve">We now have a range of offset prices based on farmers’ minimum WTA </w:t>
      </w:r>
      <w:r w:rsidR="00FD0065">
        <w:rPr>
          <w:sz w:val="24"/>
          <w:szCs w:val="24"/>
        </w:rPr>
        <w:t>[5]</w:t>
      </w:r>
      <w:r>
        <w:rPr>
          <w:sz w:val="24"/>
          <w:szCs w:val="24"/>
        </w:rPr>
        <w:t xml:space="preserve"> to change the land management practice and the developers’ maximum WTP </w:t>
      </w:r>
      <w:r w:rsidR="00FD0065">
        <w:rPr>
          <w:sz w:val="24"/>
          <w:szCs w:val="24"/>
        </w:rPr>
        <w:t>[12]</w:t>
      </w:r>
      <w:r>
        <w:rPr>
          <w:sz w:val="24"/>
          <w:szCs w:val="24"/>
        </w:rPr>
        <w:t xml:space="preserve"> for a single offset, from which we can generate the supply and demand curves of offset credits. For each price point, farmer </w:t>
      </w:r>
      <m:oMath>
        <m:r>
          <w:rPr>
            <w:rFonts w:ascii="Cambria Math" w:hAnsi="Cambria Math"/>
            <w:sz w:val="24"/>
            <w:szCs w:val="24"/>
          </w:rPr>
          <m:t>i=1,…,n</m:t>
        </m:r>
      </m:oMath>
      <w:r>
        <w:rPr>
          <w:sz w:val="24"/>
          <w:szCs w:val="24"/>
        </w:rPr>
        <w:t xml:space="preserve"> will choose to supply offsets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oMath>
      <w:r>
        <w:rPr>
          <w:sz w:val="24"/>
          <w:szCs w:val="24"/>
        </w:rPr>
        <w:t xml:space="preserve"> if the supply price is at least equal to the unit cost of providing an offset, i.e., its </w:t>
      </w:r>
      <m:oMath>
        <m:sSub>
          <m:sSubPr>
            <m:ctrlPr>
              <w:rPr>
                <w:rFonts w:ascii="Cambria Math" w:hAnsi="Cambria Math"/>
                <w:i/>
                <w:sz w:val="24"/>
                <w:szCs w:val="24"/>
              </w:rPr>
            </m:ctrlPr>
          </m:sSubPr>
          <m:e>
            <m:r>
              <w:rPr>
                <w:rFonts w:ascii="Cambria Math" w:hAnsi="Cambria Math"/>
                <w:sz w:val="24"/>
                <w:szCs w:val="24"/>
              </w:rPr>
              <m:t>WTA</m:t>
            </m:r>
          </m:e>
          <m:sub>
            <m:r>
              <w:rPr>
                <w:rFonts w:ascii="Cambria Math" w:hAnsi="Cambria Math"/>
                <w:sz w:val="24"/>
                <w:szCs w:val="24"/>
              </w:rPr>
              <m:t>i</m:t>
            </m:r>
          </m:sub>
        </m:sSub>
      </m:oMath>
      <w:r>
        <w:rPr>
          <w:sz w:val="24"/>
          <w:szCs w:val="24"/>
        </w:rPr>
        <w:t>. This is summarized in the following general decision rule guiding a farmer’s decision:</w:t>
      </w:r>
    </w:p>
    <w:p w14:paraId="321108A7" w14:textId="77777777" w:rsidR="00FD0065" w:rsidRDefault="004F612E" w:rsidP="00FD0065">
      <w:pPr>
        <w:spacing w:line="480" w:lineRule="auto"/>
        <w:ind w:firstLine="0"/>
        <w:rPr>
          <w:sz w:val="24"/>
          <w:szCs w:val="24"/>
        </w:rPr>
      </w:pP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i</m:t>
            </m:r>
          </m:sub>
        </m:sSub>
        <m:r>
          <w:rPr>
            <w:rFonts w:ascii="Cambria Math" w:hAnsi="Cambria Math"/>
            <w:sz w:val="24"/>
            <w:szCs w:val="24"/>
          </w:rPr>
          <m:t>=</m:t>
        </m:r>
        <m:d>
          <m:dPr>
            <m:begChr m:val="{"/>
            <m:endChr m:val=""/>
            <m:ctrlPr>
              <w:rPr>
                <w:rFonts w:ascii="Cambria Math" w:hAnsi="Cambria Math"/>
                <w:i/>
                <w:sz w:val="24"/>
                <w:szCs w:val="24"/>
              </w:rPr>
            </m:ctrlPr>
          </m:dPr>
          <m:e>
            <m:m>
              <m:mPr>
                <m:mcs>
                  <m:mc>
                    <m:mcPr>
                      <m:count m:val="2"/>
                      <m:mcJc m:val="center"/>
                    </m:mcPr>
                  </m:mc>
                </m:mcs>
                <m:ctrlPr>
                  <w:rPr>
                    <w:rFonts w:ascii="Cambria Math" w:hAnsi="Cambria Math"/>
                    <w:i/>
                    <w:sz w:val="24"/>
                    <w:szCs w:val="24"/>
                  </w:rPr>
                </m:ctrlPr>
              </m:mPr>
              <m:mr>
                <m:e>
                  <m:r>
                    <w:rPr>
                      <w:rFonts w:ascii="Cambria Math" w:hAnsi="Cambria Math"/>
                      <w:sz w:val="24"/>
                      <w:szCs w:val="24"/>
                    </w:rPr>
                    <m:t>∆b</m:t>
                  </m:r>
                </m:e>
                <m:e>
                  <m:r>
                    <m:rPr>
                      <m:sty m:val="p"/>
                    </m:rPr>
                    <w:rPr>
                      <w:rFonts w:ascii="Cambria Math" w:hAnsi="Cambria Math"/>
                      <w:sz w:val="24"/>
                      <w:szCs w:val="24"/>
                    </w:rPr>
                    <m:t>if</m:t>
                  </m:r>
                  <m:r>
                    <w:rPr>
                      <w:rFonts w:ascii="Cambria Math" w:hAnsi="Cambria Math"/>
                      <w:sz w:val="24"/>
                      <w:szCs w:val="24"/>
                    </w:rPr>
                    <m:t xml:space="preserve"> p≥</m:t>
                  </m:r>
                  <m:sSub>
                    <m:sSubPr>
                      <m:ctrlPr>
                        <w:rPr>
                          <w:rFonts w:ascii="Cambria Math" w:hAnsi="Cambria Math"/>
                          <w:i/>
                          <w:sz w:val="24"/>
                          <w:szCs w:val="24"/>
                        </w:rPr>
                      </m:ctrlPr>
                    </m:sSubPr>
                    <m:e>
                      <m:r>
                        <w:rPr>
                          <w:rFonts w:ascii="Cambria Math" w:hAnsi="Cambria Math"/>
                          <w:sz w:val="24"/>
                          <w:szCs w:val="24"/>
                        </w:rPr>
                        <m:t>WTA</m:t>
                      </m:r>
                    </m:e>
                    <m:sub>
                      <m:r>
                        <w:rPr>
                          <w:rFonts w:ascii="Cambria Math" w:hAnsi="Cambria Math"/>
                          <w:sz w:val="24"/>
                          <w:szCs w:val="24"/>
                        </w:rPr>
                        <m:t>i</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p</m:t>
                      </m:r>
                    </m:e>
                    <m:sub>
                      <m:r>
                        <w:rPr>
                          <w:rFonts w:ascii="Cambria Math" w:hAnsi="Cambria Math"/>
                          <w:sz w:val="24"/>
                          <w:szCs w:val="24"/>
                        </w:rPr>
                        <m:t>i</m:t>
                      </m:r>
                    </m:sub>
                    <m:sup>
                      <m:r>
                        <w:rPr>
                          <w:rFonts w:ascii="Cambria Math" w:hAnsi="Cambria Math"/>
                          <w:sz w:val="24"/>
                          <w:szCs w:val="24"/>
                        </w:rPr>
                        <m:t>min</m:t>
                      </m:r>
                    </m:sup>
                  </m:sSubSup>
                </m:e>
              </m:mr>
              <m:mr>
                <m:e/>
                <m:e/>
              </m:mr>
              <m:mr>
                <m:e>
                  <m:r>
                    <w:rPr>
                      <w:rFonts w:ascii="Cambria Math" w:hAnsi="Cambria Math"/>
                      <w:sz w:val="24"/>
                      <w:szCs w:val="24"/>
                    </w:rPr>
                    <m:t>0</m:t>
                  </m:r>
                </m:e>
                <m:e>
                  <m:r>
                    <m:rPr>
                      <m:sty m:val="p"/>
                    </m:rPr>
                    <w:rPr>
                      <w:rFonts w:ascii="Cambria Math" w:hAnsi="Cambria Math"/>
                      <w:sz w:val="24"/>
                      <w:szCs w:val="24"/>
                    </w:rPr>
                    <m:t>otherwise</m:t>
                  </m:r>
                </m:e>
              </m:mr>
            </m:m>
          </m:e>
        </m:d>
      </m:oMath>
      <w:r w:rsidR="00FD0065">
        <w:rPr>
          <w:sz w:val="24"/>
          <w:szCs w:val="24"/>
        </w:rPr>
        <w:t xml:space="preserve"> [13]</w:t>
      </w:r>
      <m:oMath>
        <m:r>
          <m:rPr>
            <m:sty m:val="p"/>
          </m:rPr>
          <w:rPr>
            <w:rFonts w:ascii="Cambria Math" w:hAnsi="Cambria Math"/>
            <w:sz w:val="24"/>
            <w:szCs w:val="24"/>
          </w:rPr>
          <w:br/>
        </m:r>
      </m:oMath>
      <w:r w:rsidR="004101E3">
        <w:rPr>
          <w:sz w:val="24"/>
          <w:szCs w:val="24"/>
        </w:rPr>
        <w:t xml:space="preserve">again with </w:t>
      </w:r>
      <m:oMath>
        <m:r>
          <w:rPr>
            <w:rFonts w:ascii="Cambria Math" w:hAnsi="Cambria Math"/>
            <w:sz w:val="24"/>
            <w:szCs w:val="24"/>
          </w:rPr>
          <m:t>∆b</m:t>
        </m:r>
      </m:oMath>
      <w:r w:rsidR="004101E3">
        <w:rPr>
          <w:sz w:val="24"/>
          <w:szCs w:val="24"/>
        </w:rPr>
        <w:t xml:space="preserve"> being the predicted increase in the abundance of the target species. </w:t>
      </w:r>
    </w:p>
    <w:p w14:paraId="207CCB44" w14:textId="77777777" w:rsidR="00FD0065" w:rsidRDefault="00042F9C" w:rsidP="00FD0065">
      <w:pPr>
        <w:spacing w:line="480" w:lineRule="auto"/>
        <w:ind w:firstLine="0"/>
        <w:rPr>
          <w:sz w:val="24"/>
          <w:szCs w:val="24"/>
        </w:rPr>
      </w:pPr>
      <w:r>
        <w:rPr>
          <w:sz w:val="24"/>
          <w:szCs w:val="24"/>
        </w:rPr>
        <w:t xml:space="preserve">Similarly, for each price point developers will choose </w:t>
      </w:r>
      <w:proofErr w:type="gramStart"/>
      <w:r>
        <w:rPr>
          <w:sz w:val="24"/>
          <w:szCs w:val="24"/>
        </w:rPr>
        <w:t>whether or not</w:t>
      </w:r>
      <w:proofErr w:type="gramEnd"/>
      <w:r>
        <w:rPr>
          <w:sz w:val="24"/>
          <w:szCs w:val="24"/>
        </w:rPr>
        <w:t xml:space="preserve"> to purchase offsets, and if so, how many. In this respect, note that a developer must develop a whole parcel and must acquire </w:t>
      </w:r>
      <w:proofErr w:type="gramStart"/>
      <w:r>
        <w:rPr>
          <w:sz w:val="24"/>
          <w:szCs w:val="24"/>
        </w:rPr>
        <w:t>a sufficient quantity of</w:t>
      </w:r>
      <w:proofErr w:type="gramEnd"/>
      <w:r>
        <w:rPr>
          <w:sz w:val="24"/>
          <w:szCs w:val="24"/>
        </w:rPr>
        <w:t xml:space="preserve"> offset credits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j</m:t>
            </m:r>
          </m:sub>
        </m:sSub>
      </m:oMath>
      <w:r>
        <w:rPr>
          <w:sz w:val="24"/>
          <w:szCs w:val="24"/>
        </w:rPr>
        <w:t xml:space="preserve"> to replace all lost species within the parcel. More specifically, the demand for offsets by developer </w:t>
      </w:r>
      <m:oMath>
        <m:r>
          <w:rPr>
            <w:rFonts w:ascii="Cambria Math" w:hAnsi="Cambria Math"/>
            <w:sz w:val="24"/>
            <w:szCs w:val="24"/>
          </w:rPr>
          <m:t>j=1,…,m</m:t>
        </m:r>
      </m:oMath>
      <w:r>
        <w:rPr>
          <w:sz w:val="24"/>
          <w:szCs w:val="24"/>
        </w:rPr>
        <w:t xml:space="preserve"> is governed by the following general decision rule:</w:t>
      </w:r>
    </w:p>
    <w:p w14:paraId="3B5A255C" w14:textId="699F97C0" w:rsidR="00042F9C" w:rsidRPr="00FD0065" w:rsidRDefault="004F612E" w:rsidP="00FD0065">
      <w:pPr>
        <w:spacing w:line="480" w:lineRule="auto"/>
        <w:ind w:firstLine="0"/>
        <w:rPr>
          <w:sz w:val="24"/>
          <w:szCs w:val="24"/>
        </w:rPr>
      </w:pPr>
      <m:oMath>
        <m:sSub>
          <m:sSubPr>
            <m:ctrlPr>
              <w:rPr>
                <w:rFonts w:ascii="Cambria Math" w:hAnsi="Cambria Math"/>
                <w:sz w:val="24"/>
                <w:szCs w:val="24"/>
              </w:rPr>
            </m:ctrlPr>
          </m:sSubPr>
          <m:e>
            <m:r>
              <w:rPr>
                <w:rFonts w:ascii="Cambria Math" w:hAnsi="Cambria Math"/>
                <w:sz w:val="24"/>
                <w:szCs w:val="24"/>
              </w:rPr>
              <m:t>h</m:t>
            </m:r>
          </m:e>
          <m:sub>
            <m:r>
              <w:rPr>
                <w:rFonts w:ascii="Cambria Math" w:hAnsi="Cambria Math"/>
                <w:sz w:val="24"/>
                <w:szCs w:val="24"/>
              </w:rPr>
              <m:t>j</m:t>
            </m:r>
          </m:sub>
        </m:sSub>
        <m:r>
          <w:rPr>
            <w:rFonts w:ascii="Cambria Math" w:hAnsi="Cambria Math"/>
            <w:sz w:val="24"/>
            <w:szCs w:val="24"/>
          </w:rPr>
          <m:t>=</m:t>
        </m:r>
        <m:d>
          <m:dPr>
            <m:begChr m:val="{"/>
            <m:endChr m:val=""/>
            <m:ctrlPr>
              <w:rPr>
                <w:rFonts w:ascii="Cambria Math" w:hAnsi="Cambria Math"/>
                <w:sz w:val="24"/>
                <w:szCs w:val="24"/>
              </w:rPr>
            </m:ctrlPr>
          </m:dPr>
          <m:e>
            <m:m>
              <m:mPr>
                <m:mcs>
                  <m:mc>
                    <m:mcPr>
                      <m:count m:val="2"/>
                      <m:mcJc m:val="center"/>
                    </m:mcPr>
                  </m:mc>
                </m:mcs>
                <m:ctrlPr>
                  <w:rPr>
                    <w:rFonts w:ascii="Cambria Math" w:hAnsi="Cambria Math"/>
                    <w:sz w:val="24"/>
                    <w:szCs w:val="24"/>
                  </w:rPr>
                </m:ctrlPr>
              </m:mPr>
              <m:mr>
                <m:e>
                  <m:sSup>
                    <m:sSupPr>
                      <m:ctrlPr>
                        <w:rPr>
                          <w:rFonts w:ascii="Cambria Math" w:hAnsi="Cambria Math"/>
                          <w:sz w:val="24"/>
                          <w:szCs w:val="24"/>
                        </w:rPr>
                      </m:ctrlPr>
                    </m:sSupPr>
                    <m:e>
                      <m:r>
                        <w:rPr>
                          <w:rFonts w:ascii="Cambria Math" w:hAnsi="Cambria Math"/>
                          <w:sz w:val="24"/>
                          <w:szCs w:val="24"/>
                        </w:rPr>
                        <m:t>e</m:t>
                      </m:r>
                    </m:e>
                    <m:sup>
                      <m:r>
                        <m:rPr>
                          <m:sty m:val="p"/>
                        </m:rPr>
                        <w:rPr>
                          <w:rFonts w:ascii="Cambria Math" w:hAnsi="Cambria Math"/>
                          <w:sz w:val="24"/>
                          <w:szCs w:val="24"/>
                        </w:rPr>
                        <m:t>0</m:t>
                      </m:r>
                    </m:sup>
                  </m:sSup>
                </m:e>
                <m:e>
                  <m:r>
                    <m:rPr>
                      <m:sty m:val="p"/>
                    </m:rPr>
                    <w:rPr>
                      <w:rFonts w:ascii="Cambria Math" w:hAnsi="Cambria Math"/>
                      <w:sz w:val="24"/>
                      <w:szCs w:val="24"/>
                    </w:rPr>
                    <m:t xml:space="preserve">if </m:t>
                  </m:r>
                  <m:r>
                    <w:rPr>
                      <w:rFonts w:ascii="Cambria Math" w:hAnsi="Cambria Math"/>
                      <w:sz w:val="24"/>
                      <w:szCs w:val="24"/>
                    </w:rPr>
                    <m:t>p</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WTP</m:t>
                      </m:r>
                    </m:e>
                    <m:sub>
                      <m:r>
                        <w:rPr>
                          <w:rFonts w:ascii="Cambria Math" w:hAnsi="Cambria Math"/>
                          <w:sz w:val="24"/>
                          <w:szCs w:val="24"/>
                        </w:rPr>
                        <m:t>j</m:t>
                      </m:r>
                    </m:sub>
                  </m:sSub>
                  <m:r>
                    <m:rPr>
                      <m:sty m:val="p"/>
                    </m:rPr>
                    <w:rPr>
                      <w:rFonts w:ascii="Cambria Math" w:hAnsi="Cambria Math"/>
                      <w:sz w:val="24"/>
                      <w:szCs w:val="24"/>
                    </w:rPr>
                    <m:t>=</m:t>
                  </m:r>
                  <m:sSubSup>
                    <m:sSubSupPr>
                      <m:ctrlPr>
                        <w:rPr>
                          <w:rFonts w:ascii="Cambria Math" w:hAnsi="Cambria Math"/>
                          <w:sz w:val="24"/>
                          <w:szCs w:val="24"/>
                        </w:rPr>
                      </m:ctrlPr>
                    </m:sSubSupPr>
                    <m:e>
                      <m:r>
                        <w:rPr>
                          <w:rFonts w:ascii="Cambria Math" w:hAnsi="Cambria Math"/>
                          <w:sz w:val="24"/>
                          <w:szCs w:val="24"/>
                        </w:rPr>
                        <m:t>p</m:t>
                      </m:r>
                    </m:e>
                    <m:sub>
                      <m:r>
                        <w:rPr>
                          <w:rFonts w:ascii="Cambria Math" w:hAnsi="Cambria Math"/>
                          <w:sz w:val="24"/>
                          <w:szCs w:val="24"/>
                        </w:rPr>
                        <m:t>j</m:t>
                      </m:r>
                    </m:sub>
                    <m:sup>
                      <m:r>
                        <w:rPr>
                          <w:rFonts w:ascii="Cambria Math" w:hAnsi="Cambria Math"/>
                          <w:sz w:val="24"/>
                          <w:szCs w:val="24"/>
                        </w:rPr>
                        <m:t>max</m:t>
                      </m:r>
                    </m:sup>
                  </m:sSubSup>
                </m:e>
              </m:mr>
              <m:mr>
                <m:e/>
                <m:e/>
              </m:mr>
              <m:mr>
                <m:e>
                  <m:r>
                    <m:rPr>
                      <m:sty m:val="p"/>
                    </m:rPr>
                    <w:rPr>
                      <w:rFonts w:ascii="Cambria Math" w:hAnsi="Cambria Math"/>
                      <w:sz w:val="24"/>
                      <w:szCs w:val="24"/>
                    </w:rPr>
                    <m:t>0</m:t>
                  </m:r>
                </m:e>
                <m:e>
                  <m:r>
                    <m:rPr>
                      <m:sty m:val="p"/>
                    </m:rPr>
                    <w:rPr>
                      <w:rFonts w:ascii="Cambria Math" w:hAnsi="Cambria Math"/>
                      <w:sz w:val="24"/>
                      <w:szCs w:val="24"/>
                    </w:rPr>
                    <m:t>otherwise</m:t>
                  </m:r>
                </m:e>
              </m:mr>
            </m:m>
          </m:e>
        </m:d>
      </m:oMath>
      <w:r w:rsidR="00FD0065">
        <w:rPr>
          <w:sz w:val="24"/>
          <w:szCs w:val="24"/>
        </w:rPr>
        <w:t xml:space="preserve">                                                                                             [14]</w:t>
      </w:r>
    </w:p>
    <w:p w14:paraId="0C5810AB" w14:textId="5F0F7620" w:rsidR="00042F9C" w:rsidRDefault="00042F9C" w:rsidP="00042F9C">
      <w:pPr>
        <w:spacing w:line="480" w:lineRule="auto"/>
        <w:ind w:firstLine="0"/>
        <w:rPr>
          <w:sz w:val="24"/>
          <w:szCs w:val="24"/>
        </w:rPr>
      </w:pPr>
      <w:r>
        <w:rPr>
          <w:sz w:val="24"/>
          <w:szCs w:val="24"/>
        </w:rPr>
        <w:t xml:space="preserve">where </w:t>
      </w:r>
      <m:oMath>
        <m:sSup>
          <m:sSupPr>
            <m:ctrlPr>
              <w:rPr>
                <w:rFonts w:ascii="Cambria Math" w:hAnsi="Cambria Math"/>
                <w:sz w:val="24"/>
                <w:szCs w:val="24"/>
              </w:rPr>
            </m:ctrlPr>
          </m:sSupPr>
          <m:e>
            <m:r>
              <w:rPr>
                <w:rFonts w:ascii="Cambria Math" w:hAnsi="Cambria Math"/>
                <w:sz w:val="24"/>
                <w:szCs w:val="24"/>
              </w:rPr>
              <m:t>e</m:t>
            </m:r>
          </m:e>
          <m:sup>
            <m:r>
              <m:rPr>
                <m:sty m:val="p"/>
              </m:rPr>
              <w:rPr>
                <w:rFonts w:ascii="Cambria Math" w:hAnsi="Cambria Math"/>
                <w:sz w:val="24"/>
                <w:szCs w:val="24"/>
              </w:rPr>
              <m:t>0</m:t>
            </m:r>
          </m:sup>
        </m:sSup>
      </m:oMath>
      <w:r>
        <w:rPr>
          <w:sz w:val="24"/>
          <w:szCs w:val="24"/>
        </w:rPr>
        <w:t xml:space="preserve"> is the trading ratio as defined in Eq. </w:t>
      </w:r>
      <w:r w:rsidR="00FD0065">
        <w:rPr>
          <w:sz w:val="24"/>
          <w:szCs w:val="24"/>
        </w:rPr>
        <w:t>[1]</w:t>
      </w:r>
      <w:r>
        <w:rPr>
          <w:sz w:val="24"/>
          <w:szCs w:val="24"/>
        </w:rPr>
        <w:t xml:space="preserve"> at time </w:t>
      </w:r>
      <m:oMath>
        <m:r>
          <w:rPr>
            <w:rFonts w:ascii="Cambria Math" w:hAnsi="Cambria Math"/>
            <w:sz w:val="24"/>
            <w:szCs w:val="24"/>
          </w:rPr>
          <m:t>t=0</m:t>
        </m:r>
      </m:oMath>
      <w:r>
        <w:rPr>
          <w:sz w:val="24"/>
          <w:szCs w:val="24"/>
        </w:rPr>
        <w:t xml:space="preserve">, i.e., prior to changing the land management </w:t>
      </w:r>
      <w:proofErr w:type="gramStart"/>
      <w:r>
        <w:rPr>
          <w:sz w:val="24"/>
          <w:szCs w:val="24"/>
        </w:rPr>
        <w:t>practice.</w:t>
      </w:r>
      <w:proofErr w:type="gramEnd"/>
      <w:r>
        <w:rPr>
          <w:sz w:val="24"/>
          <w:szCs w:val="24"/>
        </w:rPr>
        <w:t xml:space="preserve"> We can now determine the quantity of offsets that are demanded and supplied at each price point across all land parcels, yielding the offset supply and demand curves and allowing the identification of the offset equilibrium price. </w:t>
      </w:r>
    </w:p>
    <w:p w14:paraId="1479D93E" w14:textId="6F339811" w:rsidR="00145D77" w:rsidRDefault="00FD0065" w:rsidP="00042F9C">
      <w:pPr>
        <w:spacing w:line="480" w:lineRule="auto"/>
        <w:ind w:firstLine="0"/>
        <w:rPr>
          <w:sz w:val="24"/>
          <w:szCs w:val="24"/>
        </w:rPr>
      </w:pPr>
      <w:r>
        <w:rPr>
          <w:sz w:val="24"/>
          <w:szCs w:val="24"/>
        </w:rPr>
        <w:t>T</w:t>
      </w:r>
      <w:r w:rsidR="00145D77" w:rsidRPr="00145D77">
        <w:rPr>
          <w:sz w:val="24"/>
          <w:szCs w:val="24"/>
        </w:rPr>
        <w:t xml:space="preserve">he final stage of the modelling process relates to determining economic welfare as the sum of producer (farmer) and consumer (developer) surplus. Following standard economic principles, we calculate the economic surplus to the housing developers who choose to purchase offsets by subtracting the market clearing price for an offset from their maximum willingness to pay for an offset. We then add up across all participating house builders. Likewise, for farmers who supply offsets, we calculate their producer surplus as the market clearing price for a single offset minus their unit cost to supply a single offset. We then aggregate across all farmers who participate. Given an equilibrium price, </w:t>
      </w:r>
      <m:oMath>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m:t>
            </m:r>
          </m:sup>
        </m:sSup>
      </m:oMath>
      <w:r w:rsidR="00145D77" w:rsidRPr="00145D77">
        <w:rPr>
          <w:sz w:val="24"/>
          <w:szCs w:val="24"/>
        </w:rPr>
        <w:t xml:space="preserve">, and equilibrium quantity of hectares, </w:t>
      </w:r>
      <m:oMath>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r>
          <w:rPr>
            <w:rFonts w:ascii="Cambria Math" w:hAnsi="Cambria Math"/>
            <w:sz w:val="24"/>
            <w:szCs w:val="24"/>
          </w:rPr>
          <m:t>,</m:t>
        </m:r>
      </m:oMath>
      <w:r w:rsidR="00145D77">
        <w:rPr>
          <w:sz w:val="24"/>
          <w:szCs w:val="24"/>
        </w:rPr>
        <w:t xml:space="preserve"> </w:t>
      </w:r>
      <w:r w:rsidR="00145D77" w:rsidRPr="00145D77">
        <w:rPr>
          <w:sz w:val="24"/>
          <w:szCs w:val="24"/>
        </w:rPr>
        <w:t>total welfare at this market equilibrium then formally reads</w:t>
      </w:r>
    </w:p>
    <w:p w14:paraId="4DBB11BA" w14:textId="34E1778C" w:rsidR="00042F9C" w:rsidRDefault="00010F39" w:rsidP="00FD0065">
      <w:pPr>
        <w:spacing w:line="480" w:lineRule="auto"/>
        <w:ind w:firstLine="0"/>
        <w:jc w:val="left"/>
        <w:rPr>
          <w:sz w:val="24"/>
          <w:szCs w:val="24"/>
        </w:rPr>
      </w:pPr>
      <w:bookmarkStart w:id="41" w:name="_Hlk46396028"/>
      <m:oMath>
        <m:r>
          <m:rPr>
            <m:sty m:val="p"/>
          </m:rPr>
          <w:rPr>
            <w:rFonts w:ascii="Cambria Math" w:hAnsi="Cambria Math"/>
            <w:sz w:val="24"/>
            <w:szCs w:val="24"/>
          </w:rPr>
          <m:t xml:space="preserve">  Welfare=</m:t>
        </m:r>
        <m:nary>
          <m:naryPr>
            <m:limLoc m:val="undOvr"/>
            <m:ctrlPr>
              <w:rPr>
                <w:rFonts w:ascii="Cambria Math" w:hAnsi="Cambria Math"/>
                <w:sz w:val="24"/>
                <w:szCs w:val="24"/>
              </w:rPr>
            </m:ctrlPr>
          </m:naryPr>
          <m:sub>
            <m:r>
              <w:rPr>
                <w:rFonts w:ascii="Cambria Math" w:hAnsi="Cambria Math"/>
                <w:sz w:val="24"/>
                <w:szCs w:val="24"/>
              </w:rPr>
              <m:t>0</m:t>
            </m:r>
          </m:sub>
          <m:sup>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sup>
          <m:e>
            <m:d>
              <m:dPr>
                <m:begChr m:val="["/>
                <m:endChr m:val="]"/>
                <m:ctrlPr>
                  <w:rPr>
                    <w:rFonts w:ascii="Cambria Math" w:hAnsi="Cambria Math"/>
                    <w:i/>
                    <w:sz w:val="24"/>
                    <w:szCs w:val="24"/>
                  </w:rPr>
                </m:ctrlPr>
              </m:dPr>
              <m:e>
                <m:r>
                  <w:rPr>
                    <w:rFonts w:ascii="Cambria Math" w:hAnsi="Cambria Math"/>
                    <w:sz w:val="24"/>
                    <w:szCs w:val="24"/>
                  </w:rPr>
                  <m:t>D</m:t>
                </m:r>
                <m:d>
                  <m:dPr>
                    <m:ctrlPr>
                      <w:rPr>
                        <w:rFonts w:ascii="Cambria Math" w:hAnsi="Cambria Math"/>
                        <w:i/>
                        <w:sz w:val="24"/>
                        <w:szCs w:val="24"/>
                      </w:rPr>
                    </m:ctrlPr>
                  </m:dPr>
                  <m:e>
                    <m:r>
                      <w:rPr>
                        <w:rFonts w:ascii="Cambria Math" w:hAnsi="Cambria Math"/>
                        <w:sz w:val="24"/>
                        <w:szCs w:val="24"/>
                      </w:rPr>
                      <m:t>h</m:t>
                    </m:r>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m:t>
                    </m:r>
                  </m:sup>
                </m:sSup>
              </m:e>
            </m:d>
            <m:r>
              <w:rPr>
                <w:rFonts w:ascii="Cambria Math" w:hAnsi="Cambria Math"/>
                <w:sz w:val="24"/>
                <w:szCs w:val="24"/>
              </w:rPr>
              <m:t>dh+</m:t>
            </m:r>
            <m:nary>
              <m:naryPr>
                <m:limLoc m:val="undOvr"/>
                <m:ctrlPr>
                  <w:rPr>
                    <w:rFonts w:ascii="Cambria Math" w:hAnsi="Cambria Math"/>
                    <w:sz w:val="24"/>
                    <w:szCs w:val="24"/>
                  </w:rPr>
                </m:ctrlPr>
              </m:naryPr>
              <m:sub>
                <m:r>
                  <w:rPr>
                    <w:rFonts w:ascii="Cambria Math" w:hAnsi="Cambria Math"/>
                    <w:sz w:val="24"/>
                    <w:szCs w:val="24"/>
                  </w:rPr>
                  <m:t>0</m:t>
                </m:r>
              </m:sub>
              <m:sup>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sup>
              <m:e>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p</m:t>
                        </m:r>
                      </m:e>
                      <m:sup>
                        <m:r>
                          <w:rPr>
                            <w:rFonts w:ascii="Cambria Math" w:hAnsi="Cambria Math"/>
                            <w:sz w:val="24"/>
                            <w:szCs w:val="24"/>
                          </w:rPr>
                          <m:t>*</m:t>
                        </m:r>
                      </m:sup>
                    </m:sSup>
                    <m:r>
                      <w:rPr>
                        <w:rFonts w:ascii="Cambria Math" w:hAnsi="Cambria Math"/>
                        <w:sz w:val="24"/>
                        <w:szCs w:val="24"/>
                      </w:rPr>
                      <m:t>-S</m:t>
                    </m:r>
                    <m:d>
                      <m:dPr>
                        <m:ctrlPr>
                          <w:rPr>
                            <w:rFonts w:ascii="Cambria Math" w:hAnsi="Cambria Math"/>
                            <w:i/>
                            <w:sz w:val="24"/>
                            <w:szCs w:val="24"/>
                          </w:rPr>
                        </m:ctrlPr>
                      </m:dPr>
                      <m:e>
                        <m:r>
                          <w:rPr>
                            <w:rFonts w:ascii="Cambria Math" w:hAnsi="Cambria Math"/>
                            <w:sz w:val="24"/>
                            <w:szCs w:val="24"/>
                          </w:rPr>
                          <m:t>h</m:t>
                        </m:r>
                      </m:e>
                    </m:d>
                  </m:e>
                </m:d>
                <m:r>
                  <w:rPr>
                    <w:rFonts w:ascii="Cambria Math" w:hAnsi="Cambria Math"/>
                    <w:sz w:val="24"/>
                    <w:szCs w:val="24"/>
                  </w:rPr>
                  <m:t>dh</m:t>
                </m:r>
              </m:e>
            </m:nary>
          </m:e>
        </m:nary>
        <m:r>
          <w:rPr>
            <w:rFonts w:ascii="Cambria Math" w:hAnsi="Cambria Math"/>
            <w:sz w:val="24"/>
            <w:szCs w:val="24"/>
          </w:rPr>
          <m:t>,</m:t>
        </m:r>
      </m:oMath>
      <w:r w:rsidR="00FD0065">
        <w:rPr>
          <w:sz w:val="24"/>
          <w:szCs w:val="24"/>
        </w:rPr>
        <w:t xml:space="preserve">                                                          [15]</w:t>
      </w:r>
    </w:p>
    <w:p w14:paraId="5D7C104B" w14:textId="38CCE51A" w:rsidR="00042F9C" w:rsidRPr="003D75FB" w:rsidRDefault="00042F9C" w:rsidP="000C1A68">
      <w:pPr>
        <w:spacing w:line="480" w:lineRule="auto"/>
        <w:ind w:firstLine="0"/>
        <w:rPr>
          <w:sz w:val="24"/>
          <w:szCs w:val="24"/>
        </w:rPr>
      </w:pPr>
      <w:r>
        <w:rPr>
          <w:sz w:val="24"/>
          <w:szCs w:val="24"/>
        </w:rPr>
        <w:t>where the first and second part on the right-hand side is consumer and producer surplus, respectively.</w:t>
      </w:r>
      <w:bookmarkEnd w:id="41"/>
    </w:p>
    <w:p w14:paraId="4B3418D6" w14:textId="24F4E429" w:rsidR="008D1CFF" w:rsidRPr="001B568E" w:rsidRDefault="008D1CFF" w:rsidP="001B568E">
      <w:pPr>
        <w:pStyle w:val="Heading2"/>
      </w:pPr>
      <w:r w:rsidRPr="001B568E">
        <w:t>Model Assumptions</w:t>
      </w:r>
    </w:p>
    <w:p w14:paraId="70FAAB61" w14:textId="34E5634B" w:rsidR="008E1548" w:rsidRDefault="008D1CFF" w:rsidP="008E1548">
      <w:pPr>
        <w:spacing w:line="480" w:lineRule="auto"/>
        <w:ind w:firstLine="0"/>
        <w:rPr>
          <w:sz w:val="24"/>
          <w:szCs w:val="24"/>
        </w:rPr>
      </w:pPr>
      <w:r w:rsidRPr="003D75FB">
        <w:rPr>
          <w:sz w:val="24"/>
          <w:szCs w:val="24"/>
        </w:rPr>
        <w:t xml:space="preserve">Our empirical framework makes a series of assumptions. Firstly, our model </w:t>
      </w:r>
      <w:r w:rsidR="008E1548">
        <w:rPr>
          <w:sz w:val="24"/>
          <w:szCs w:val="24"/>
        </w:rPr>
        <w:t xml:space="preserve">compares two </w:t>
      </w:r>
      <w:r w:rsidR="004101E3">
        <w:rPr>
          <w:sz w:val="24"/>
          <w:szCs w:val="24"/>
        </w:rPr>
        <w:t xml:space="preserve">discrete </w:t>
      </w:r>
      <w:r w:rsidR="008E1548" w:rsidRPr="003D75FB">
        <w:rPr>
          <w:sz w:val="24"/>
          <w:szCs w:val="24"/>
        </w:rPr>
        <w:t>time</w:t>
      </w:r>
      <w:r w:rsidRPr="003D75FB">
        <w:rPr>
          <w:sz w:val="24"/>
          <w:szCs w:val="24"/>
        </w:rPr>
        <w:t xml:space="preserve"> periods </w:t>
      </w:r>
      <m:oMath>
        <m:r>
          <w:rPr>
            <w:rFonts w:ascii="Cambria Math" w:hAnsi="Cambria Math"/>
            <w:sz w:val="24"/>
            <w:szCs w:val="24"/>
          </w:rPr>
          <m:t>t={0,1}</m:t>
        </m:r>
      </m:oMath>
      <w:r w:rsidR="008E1548">
        <w:rPr>
          <w:sz w:val="24"/>
          <w:szCs w:val="24"/>
        </w:rPr>
        <w:t xml:space="preserve">. </w:t>
      </w:r>
      <w:r w:rsidR="004101E3">
        <w:rPr>
          <w:sz w:val="24"/>
          <w:szCs w:val="24"/>
        </w:rPr>
        <w:t xml:space="preserve">Period </w:t>
      </w:r>
      <m:oMath>
        <m:r>
          <w:rPr>
            <w:rFonts w:ascii="Cambria Math" w:hAnsi="Cambria Math"/>
            <w:sz w:val="24"/>
            <w:szCs w:val="24"/>
          </w:rPr>
          <m:t>t=0</m:t>
        </m:r>
      </m:oMath>
      <w:r w:rsidR="004101E3">
        <w:rPr>
          <w:sz w:val="24"/>
          <w:szCs w:val="24"/>
        </w:rPr>
        <w:t xml:space="preserve"> </w:t>
      </w:r>
      <w:r w:rsidR="008E1548">
        <w:rPr>
          <w:sz w:val="24"/>
          <w:szCs w:val="24"/>
        </w:rPr>
        <w:t xml:space="preserve">refers to the </w:t>
      </w:r>
      <w:r w:rsidR="004101E3">
        <w:rPr>
          <w:sz w:val="24"/>
          <w:szCs w:val="24"/>
        </w:rPr>
        <w:t xml:space="preserve">situation </w:t>
      </w:r>
      <w:r w:rsidR="008E1548">
        <w:rPr>
          <w:sz w:val="24"/>
          <w:szCs w:val="24"/>
        </w:rPr>
        <w:t xml:space="preserve">prior to the </w:t>
      </w:r>
      <w:r w:rsidR="004101E3">
        <w:rPr>
          <w:sz w:val="24"/>
          <w:szCs w:val="24"/>
        </w:rPr>
        <w:t xml:space="preserve">implementation of the </w:t>
      </w:r>
      <w:r w:rsidR="008E1548">
        <w:rPr>
          <w:sz w:val="24"/>
          <w:szCs w:val="24"/>
        </w:rPr>
        <w:t xml:space="preserve">offset market and is based on current land use. </w:t>
      </w:r>
      <w:r w:rsidR="004101E3">
        <w:rPr>
          <w:sz w:val="24"/>
          <w:szCs w:val="24"/>
        </w:rPr>
        <w:t xml:space="preserve">Period </w:t>
      </w:r>
      <m:oMath>
        <m:r>
          <w:rPr>
            <w:rFonts w:ascii="Cambria Math" w:hAnsi="Cambria Math"/>
            <w:sz w:val="24"/>
            <w:szCs w:val="24"/>
          </w:rPr>
          <m:t>t=1</m:t>
        </m:r>
      </m:oMath>
      <w:r w:rsidR="004101E3">
        <w:rPr>
          <w:sz w:val="24"/>
          <w:szCs w:val="24"/>
        </w:rPr>
        <w:t xml:space="preserve"> reflects</w:t>
      </w:r>
      <w:r w:rsidR="008E1548">
        <w:rPr>
          <w:sz w:val="24"/>
          <w:szCs w:val="24"/>
        </w:rPr>
        <w:t xml:space="preserve"> </w:t>
      </w:r>
      <w:r w:rsidR="004D4788">
        <w:rPr>
          <w:sz w:val="24"/>
          <w:szCs w:val="24"/>
        </w:rPr>
        <w:t>the</w:t>
      </w:r>
      <w:r w:rsidR="008E1548">
        <w:rPr>
          <w:sz w:val="24"/>
          <w:szCs w:val="24"/>
        </w:rPr>
        <w:t xml:space="preserve"> state where all </w:t>
      </w:r>
      <w:r w:rsidR="008E1548">
        <w:rPr>
          <w:sz w:val="24"/>
          <w:szCs w:val="24"/>
        </w:rPr>
        <w:lastRenderedPageBreak/>
        <w:t>possible offset trades have taken place between buyers and sellers at the market equilibrium offset credit price. Beyond this</w:t>
      </w:r>
      <w:r w:rsidR="0022002F">
        <w:rPr>
          <w:sz w:val="24"/>
          <w:szCs w:val="24"/>
        </w:rPr>
        <w:t>,</w:t>
      </w:r>
      <w:r w:rsidR="008E1548">
        <w:rPr>
          <w:sz w:val="24"/>
          <w:szCs w:val="24"/>
        </w:rPr>
        <w:t xml:space="preserve"> no further offsetting or development takes place, which ensures no net loss of the ecological target.  </w:t>
      </w:r>
      <w:r w:rsidRPr="003D75FB">
        <w:rPr>
          <w:sz w:val="24"/>
          <w:szCs w:val="24"/>
        </w:rPr>
        <w:t xml:space="preserve"> </w:t>
      </w:r>
    </w:p>
    <w:p w14:paraId="7E08DF9C" w14:textId="2CAC5B8A" w:rsidR="008E1548" w:rsidRDefault="007A5922" w:rsidP="008E1548">
      <w:pPr>
        <w:spacing w:line="480" w:lineRule="auto"/>
        <w:ind w:firstLine="0"/>
        <w:rPr>
          <w:sz w:val="24"/>
          <w:szCs w:val="24"/>
        </w:rPr>
      </w:pPr>
      <w:r w:rsidRPr="003D75FB">
        <w:rPr>
          <w:sz w:val="24"/>
          <w:szCs w:val="24"/>
        </w:rPr>
        <w:t>Consequently,</w:t>
      </w:r>
      <w:r w:rsidR="008D1CFF" w:rsidRPr="003D75FB">
        <w:rPr>
          <w:sz w:val="24"/>
          <w:szCs w:val="24"/>
        </w:rPr>
        <w:t xml:space="preserve"> neither the ecological </w:t>
      </w:r>
      <w:r w:rsidR="008E1548" w:rsidRPr="003D75FB">
        <w:rPr>
          <w:sz w:val="24"/>
          <w:szCs w:val="24"/>
        </w:rPr>
        <w:t>nor</w:t>
      </w:r>
      <w:r w:rsidR="008D1CFF" w:rsidRPr="003D75FB">
        <w:rPr>
          <w:sz w:val="24"/>
          <w:szCs w:val="24"/>
        </w:rPr>
        <w:t xml:space="preserve"> economic model</w:t>
      </w:r>
      <w:r w:rsidR="00DD6AB2" w:rsidRPr="003D75FB">
        <w:rPr>
          <w:sz w:val="24"/>
          <w:szCs w:val="24"/>
        </w:rPr>
        <w:t>s</w:t>
      </w:r>
      <w:r w:rsidR="008D1CFF" w:rsidRPr="003D75FB">
        <w:rPr>
          <w:sz w:val="24"/>
          <w:szCs w:val="24"/>
        </w:rPr>
        <w:t xml:space="preserve"> </w:t>
      </w:r>
      <w:proofErr w:type="gramStart"/>
      <w:r w:rsidR="008D1CFF" w:rsidRPr="003D75FB">
        <w:rPr>
          <w:sz w:val="24"/>
          <w:szCs w:val="24"/>
        </w:rPr>
        <w:t>take into account</w:t>
      </w:r>
      <w:proofErr w:type="gramEnd"/>
      <w:r w:rsidR="008D1CFF" w:rsidRPr="003D75FB">
        <w:rPr>
          <w:sz w:val="24"/>
          <w:szCs w:val="24"/>
        </w:rPr>
        <w:t xml:space="preserve"> temporal dynamics. </w:t>
      </w:r>
      <w:r w:rsidR="008E1548">
        <w:rPr>
          <w:sz w:val="24"/>
          <w:szCs w:val="24"/>
        </w:rPr>
        <w:t>From an ecological perspective, t</w:t>
      </w:r>
      <w:r w:rsidR="008D1CFF" w:rsidRPr="003D75FB">
        <w:rPr>
          <w:sz w:val="24"/>
          <w:szCs w:val="24"/>
        </w:rPr>
        <w:t xml:space="preserve">his implies that there are no time lags between </w:t>
      </w:r>
      <w:r w:rsidR="008E1548">
        <w:rPr>
          <w:sz w:val="24"/>
          <w:szCs w:val="24"/>
        </w:rPr>
        <w:t>when we lose an ecologically valuable land parcel to development and where we gain a new ecologically valuable land parcel due to offsetting.  I</w:t>
      </w:r>
      <w:r w:rsidR="008D1CFF" w:rsidRPr="003D75FB">
        <w:rPr>
          <w:sz w:val="24"/>
          <w:szCs w:val="24"/>
        </w:rPr>
        <w:t>n practice</w:t>
      </w:r>
      <w:r w:rsidR="00DD6AB2" w:rsidRPr="003D75FB">
        <w:rPr>
          <w:sz w:val="24"/>
          <w:szCs w:val="24"/>
        </w:rPr>
        <w:t>,</w:t>
      </w:r>
      <w:r w:rsidR="008D1CFF" w:rsidRPr="003D75FB">
        <w:rPr>
          <w:sz w:val="24"/>
          <w:szCs w:val="24"/>
        </w:rPr>
        <w:t xml:space="preserve"> we would expect the </w:t>
      </w:r>
      <w:r w:rsidR="008E1548">
        <w:rPr>
          <w:sz w:val="24"/>
          <w:szCs w:val="24"/>
        </w:rPr>
        <w:t xml:space="preserve">ecological </w:t>
      </w:r>
      <w:r w:rsidR="008D1CFF" w:rsidRPr="003D75FB">
        <w:rPr>
          <w:sz w:val="24"/>
          <w:szCs w:val="24"/>
        </w:rPr>
        <w:t xml:space="preserve">losses to take place relatively quickly once </w:t>
      </w:r>
      <w:r w:rsidR="00DD6AB2" w:rsidRPr="003D75FB">
        <w:rPr>
          <w:sz w:val="24"/>
          <w:szCs w:val="24"/>
        </w:rPr>
        <w:t xml:space="preserve">the </w:t>
      </w:r>
      <w:r w:rsidR="008D1CFF" w:rsidRPr="003D75FB">
        <w:rPr>
          <w:sz w:val="24"/>
          <w:szCs w:val="24"/>
        </w:rPr>
        <w:t xml:space="preserve">development of a site begins, but the increases in </w:t>
      </w:r>
      <w:r w:rsidR="008E1548">
        <w:rPr>
          <w:sz w:val="24"/>
          <w:szCs w:val="24"/>
        </w:rPr>
        <w:t xml:space="preserve">species </w:t>
      </w:r>
      <w:r w:rsidR="008D1CFF" w:rsidRPr="003D75FB">
        <w:rPr>
          <w:sz w:val="24"/>
          <w:szCs w:val="24"/>
        </w:rPr>
        <w:t>abundance</w:t>
      </w:r>
      <w:r w:rsidR="008E1548">
        <w:rPr>
          <w:sz w:val="24"/>
          <w:szCs w:val="24"/>
        </w:rPr>
        <w:t xml:space="preserve"> at the newly created offset site</w:t>
      </w:r>
      <w:r w:rsidR="008D1CFF" w:rsidRPr="003D75FB">
        <w:rPr>
          <w:sz w:val="24"/>
          <w:szCs w:val="24"/>
        </w:rPr>
        <w:t xml:space="preserve"> to happen gradually over </w:t>
      </w:r>
      <w:r w:rsidR="006412EA">
        <w:rPr>
          <w:sz w:val="24"/>
          <w:szCs w:val="24"/>
        </w:rPr>
        <w:t>several years</w:t>
      </w:r>
      <w:r w:rsidR="008D1CFF" w:rsidRPr="003D75FB">
        <w:rPr>
          <w:sz w:val="24"/>
          <w:szCs w:val="24"/>
        </w:rPr>
        <w:t xml:space="preserve">. </w:t>
      </w:r>
    </w:p>
    <w:p w14:paraId="2F493E5F" w14:textId="7F418589" w:rsidR="008D1CFF" w:rsidRDefault="008E1548" w:rsidP="008E1548">
      <w:pPr>
        <w:spacing w:line="480" w:lineRule="auto"/>
        <w:ind w:firstLine="0"/>
        <w:rPr>
          <w:sz w:val="24"/>
          <w:szCs w:val="24"/>
        </w:rPr>
      </w:pPr>
      <w:r>
        <w:rPr>
          <w:sz w:val="24"/>
          <w:szCs w:val="24"/>
        </w:rPr>
        <w:t xml:space="preserve">A further assumption is that </w:t>
      </w:r>
      <w:r w:rsidRPr="003D75FB">
        <w:rPr>
          <w:sz w:val="24"/>
          <w:szCs w:val="24"/>
        </w:rPr>
        <w:t>we</w:t>
      </w:r>
      <w:r w:rsidR="008D1CFF" w:rsidRPr="003D75FB">
        <w:rPr>
          <w:sz w:val="24"/>
          <w:szCs w:val="24"/>
        </w:rPr>
        <w:t xml:space="preserve"> assume that the current land management practice for farmers (i.e., current crop rotation or livestock) is privately optimal and that switching to a new land management practice will result in a net loss in agricultural profits. We also assume that once land has been secured for biodiversity offsetting it cannot be changed into different land use</w:t>
      </w:r>
      <w:r w:rsidR="00DD6AB2" w:rsidRPr="003D75FB">
        <w:rPr>
          <w:sz w:val="24"/>
          <w:szCs w:val="24"/>
        </w:rPr>
        <w:t>s and</w:t>
      </w:r>
      <w:r w:rsidR="008D1CFF" w:rsidRPr="003D75FB">
        <w:rPr>
          <w:sz w:val="24"/>
          <w:szCs w:val="24"/>
        </w:rPr>
        <w:t xml:space="preserve"> it is protected in </w:t>
      </w:r>
      <w:r w:rsidRPr="003D75FB">
        <w:rPr>
          <w:sz w:val="24"/>
          <w:szCs w:val="24"/>
        </w:rPr>
        <w:t>perpetuity</w:t>
      </w:r>
      <w:r>
        <w:rPr>
          <w:sz w:val="24"/>
          <w:szCs w:val="24"/>
        </w:rPr>
        <w:t>.</w:t>
      </w:r>
      <w:r w:rsidRPr="003D75FB">
        <w:rPr>
          <w:sz w:val="24"/>
          <w:szCs w:val="24"/>
        </w:rPr>
        <w:t xml:space="preserve"> We</w:t>
      </w:r>
      <w:r w:rsidR="00DD6AB2" w:rsidRPr="003D75FB">
        <w:rPr>
          <w:sz w:val="24"/>
          <w:szCs w:val="24"/>
        </w:rPr>
        <w:t xml:space="preserve"> address the implications of these assumptions in the discussion. </w:t>
      </w:r>
    </w:p>
    <w:p w14:paraId="0FACE736" w14:textId="73E7B6CB" w:rsidR="00664EFB" w:rsidRDefault="00664EFB" w:rsidP="008E1548">
      <w:pPr>
        <w:spacing w:line="480" w:lineRule="auto"/>
        <w:ind w:firstLine="0"/>
        <w:rPr>
          <w:sz w:val="24"/>
          <w:szCs w:val="24"/>
        </w:rPr>
      </w:pPr>
      <w:r>
        <w:rPr>
          <w:sz w:val="24"/>
          <w:szCs w:val="24"/>
        </w:rPr>
        <w:t>A full account of all data sources used, and how these were processed for use in the model, can be found in the Supplementary Information.</w:t>
      </w:r>
      <w:r w:rsidR="002273CB">
        <w:rPr>
          <w:sz w:val="24"/>
          <w:szCs w:val="24"/>
        </w:rPr>
        <w:t xml:space="preserve"> The authors are very happy to supply the code to run the model on request.</w:t>
      </w:r>
    </w:p>
    <w:p w14:paraId="149FB5A6" w14:textId="2407E97A" w:rsidR="00086AB1" w:rsidRPr="003D75FB" w:rsidRDefault="00232023" w:rsidP="003D75FB">
      <w:pPr>
        <w:pStyle w:val="Heading1"/>
        <w:spacing w:line="480" w:lineRule="auto"/>
      </w:pPr>
      <w:r w:rsidRPr="003D75FB">
        <w:t>Results</w:t>
      </w:r>
    </w:p>
    <w:p w14:paraId="4663E475" w14:textId="6E777B70" w:rsidR="00B45920" w:rsidRPr="00022E0F" w:rsidRDefault="00CF09F7" w:rsidP="001B568E">
      <w:pPr>
        <w:pStyle w:val="Heading2"/>
      </w:pPr>
      <w:r w:rsidRPr="00022E0F">
        <w:t>O</w:t>
      </w:r>
      <w:r w:rsidR="00B45920" w:rsidRPr="00022E0F">
        <w:t xml:space="preserve">utcomes </w:t>
      </w:r>
      <w:r w:rsidR="008D1CFF" w:rsidRPr="00022E0F">
        <w:t>of Offset Trading</w:t>
      </w:r>
    </w:p>
    <w:p w14:paraId="1E125B55" w14:textId="0F1EE1BD" w:rsidR="00AE0850" w:rsidRDefault="001F0471" w:rsidP="003D75FB">
      <w:pPr>
        <w:spacing w:line="480" w:lineRule="auto"/>
        <w:ind w:firstLine="0"/>
        <w:rPr>
          <w:sz w:val="24"/>
          <w:szCs w:val="24"/>
        </w:rPr>
      </w:pPr>
      <w:r w:rsidRPr="003D75FB">
        <w:rPr>
          <w:sz w:val="24"/>
          <w:szCs w:val="24"/>
        </w:rPr>
        <w:t>The first design parameter we are interested in is how the choice of the policy target</w:t>
      </w:r>
      <w:r w:rsidR="00AE0850">
        <w:rPr>
          <w:sz w:val="24"/>
          <w:szCs w:val="24"/>
        </w:rPr>
        <w:t xml:space="preserve"> (the </w:t>
      </w:r>
      <w:r w:rsidRPr="003D75FB">
        <w:rPr>
          <w:sz w:val="24"/>
          <w:szCs w:val="24"/>
        </w:rPr>
        <w:t>unit of exchange</w:t>
      </w:r>
      <w:r w:rsidR="00AE0850">
        <w:rPr>
          <w:sz w:val="24"/>
          <w:szCs w:val="24"/>
        </w:rPr>
        <w:t>)</w:t>
      </w:r>
      <w:r w:rsidR="000B52A1" w:rsidRPr="003D75FB">
        <w:rPr>
          <w:sz w:val="24"/>
          <w:szCs w:val="24"/>
        </w:rPr>
        <w:t>,</w:t>
      </w:r>
      <w:r w:rsidRPr="003D75FB">
        <w:rPr>
          <w:sz w:val="24"/>
          <w:szCs w:val="24"/>
        </w:rPr>
        <w:t xml:space="preserve"> effects the market</w:t>
      </w:r>
      <w:r w:rsidR="00DD6AB2" w:rsidRPr="003D75FB">
        <w:rPr>
          <w:sz w:val="24"/>
          <w:szCs w:val="24"/>
        </w:rPr>
        <w:t>-</w:t>
      </w:r>
      <w:r w:rsidRPr="003D75FB">
        <w:rPr>
          <w:sz w:val="24"/>
          <w:szCs w:val="24"/>
        </w:rPr>
        <w:t xml:space="preserve">clearing price, economic </w:t>
      </w:r>
      <w:proofErr w:type="gramStart"/>
      <w:r w:rsidRPr="003D75FB">
        <w:rPr>
          <w:sz w:val="24"/>
          <w:szCs w:val="24"/>
        </w:rPr>
        <w:t>surplus</w:t>
      </w:r>
      <w:proofErr w:type="gramEnd"/>
      <w:r w:rsidRPr="003D75FB">
        <w:rPr>
          <w:sz w:val="24"/>
          <w:szCs w:val="24"/>
        </w:rPr>
        <w:t xml:space="preserve"> and the ecological landscape. </w:t>
      </w:r>
      <w:bookmarkStart w:id="42" w:name="_Hlk45877037"/>
      <w:r w:rsidR="00040BC8" w:rsidRPr="003D75FB">
        <w:rPr>
          <w:sz w:val="24"/>
          <w:szCs w:val="24"/>
        </w:rPr>
        <w:lastRenderedPageBreak/>
        <w:t>The market</w:t>
      </w:r>
      <w:r w:rsidR="000B52A1" w:rsidRPr="003D75FB">
        <w:rPr>
          <w:sz w:val="24"/>
          <w:szCs w:val="24"/>
        </w:rPr>
        <w:t>-clearing</w:t>
      </w:r>
      <w:r w:rsidR="005470CE" w:rsidRPr="003D75FB">
        <w:rPr>
          <w:sz w:val="24"/>
          <w:szCs w:val="24"/>
        </w:rPr>
        <w:t xml:space="preserve"> equilibrium</w:t>
      </w:r>
      <w:r w:rsidR="00040BC8" w:rsidRPr="003D75FB">
        <w:rPr>
          <w:sz w:val="24"/>
          <w:szCs w:val="24"/>
        </w:rPr>
        <w:t xml:space="preserve"> price </w:t>
      </w:r>
      <w:r w:rsidRPr="003D75FB">
        <w:rPr>
          <w:sz w:val="24"/>
          <w:szCs w:val="24"/>
        </w:rPr>
        <w:t xml:space="preserve">of a credit </w:t>
      </w:r>
      <w:r w:rsidR="00040BC8" w:rsidRPr="003D75FB">
        <w:rPr>
          <w:sz w:val="24"/>
          <w:szCs w:val="24"/>
        </w:rPr>
        <w:t xml:space="preserve">varies between the </w:t>
      </w:r>
      <w:r w:rsidR="00F067DF" w:rsidRPr="003D75FB">
        <w:rPr>
          <w:sz w:val="24"/>
          <w:szCs w:val="24"/>
        </w:rPr>
        <w:t xml:space="preserve">three </w:t>
      </w:r>
      <w:r w:rsidR="00040BC8" w:rsidRPr="003D75FB">
        <w:rPr>
          <w:sz w:val="24"/>
          <w:szCs w:val="24"/>
        </w:rPr>
        <w:t xml:space="preserve">different </w:t>
      </w:r>
      <w:r w:rsidRPr="003D75FB">
        <w:rPr>
          <w:sz w:val="24"/>
          <w:szCs w:val="24"/>
        </w:rPr>
        <w:t>policy targets</w:t>
      </w:r>
      <w:r w:rsidR="00040BC8" w:rsidRPr="003D75FB">
        <w:rPr>
          <w:sz w:val="24"/>
          <w:szCs w:val="24"/>
        </w:rPr>
        <w:t xml:space="preserve"> (</w:t>
      </w:r>
      <w:r w:rsidR="00497E5E">
        <w:rPr>
          <w:sz w:val="24"/>
          <w:szCs w:val="24"/>
        </w:rPr>
        <w:t xml:space="preserve">Figure 3 and </w:t>
      </w:r>
      <w:r w:rsidR="001566B8">
        <w:rPr>
          <w:sz w:val="24"/>
          <w:szCs w:val="24"/>
        </w:rPr>
        <w:t>Table 1</w:t>
      </w:r>
      <w:r w:rsidR="00040BC8" w:rsidRPr="003D75FB">
        <w:rPr>
          <w:sz w:val="24"/>
          <w:szCs w:val="24"/>
        </w:rPr>
        <w:t xml:space="preserve">). </w:t>
      </w:r>
      <w:r w:rsidR="00AE0850">
        <w:rPr>
          <w:sz w:val="24"/>
          <w:szCs w:val="24"/>
        </w:rPr>
        <w:t xml:space="preserve">The most expensive offset is for a single oystercatcher which has a market equilibrium price of </w:t>
      </w:r>
      <w:r w:rsidR="000E04EA" w:rsidRPr="003D75FB">
        <w:rPr>
          <w:sz w:val="24"/>
          <w:szCs w:val="24"/>
        </w:rPr>
        <w:t>£21</w:t>
      </w:r>
      <w:r w:rsidR="008D1CFF" w:rsidRPr="003D75FB">
        <w:rPr>
          <w:sz w:val="24"/>
          <w:szCs w:val="24"/>
        </w:rPr>
        <w:t>,</w:t>
      </w:r>
      <w:r w:rsidR="0043050C" w:rsidRPr="003D75FB">
        <w:rPr>
          <w:sz w:val="24"/>
          <w:szCs w:val="24"/>
        </w:rPr>
        <w:t>860</w:t>
      </w:r>
      <w:r w:rsidR="000E04EA" w:rsidRPr="003D75FB">
        <w:rPr>
          <w:sz w:val="24"/>
          <w:szCs w:val="24"/>
        </w:rPr>
        <w:t xml:space="preserve"> per bird</w:t>
      </w:r>
      <w:r w:rsidR="00AE0850">
        <w:rPr>
          <w:sz w:val="24"/>
          <w:szCs w:val="24"/>
        </w:rPr>
        <w:t xml:space="preserve">. A single lapwing credit costs </w:t>
      </w:r>
      <w:r w:rsidR="009308BC" w:rsidRPr="003D75FB">
        <w:rPr>
          <w:sz w:val="24"/>
          <w:szCs w:val="24"/>
        </w:rPr>
        <w:t>£12,600</w:t>
      </w:r>
      <w:r w:rsidR="008D1CFF" w:rsidRPr="003D75FB">
        <w:rPr>
          <w:sz w:val="24"/>
          <w:szCs w:val="24"/>
        </w:rPr>
        <w:t xml:space="preserve"> per bird</w:t>
      </w:r>
      <w:r w:rsidRPr="003D75FB">
        <w:rPr>
          <w:sz w:val="24"/>
          <w:szCs w:val="24"/>
        </w:rPr>
        <w:t xml:space="preserve"> </w:t>
      </w:r>
      <w:r w:rsidR="009308BC" w:rsidRPr="003D75FB">
        <w:rPr>
          <w:sz w:val="24"/>
          <w:szCs w:val="24"/>
        </w:rPr>
        <w:t xml:space="preserve">and </w:t>
      </w:r>
      <w:r w:rsidR="00AE0850">
        <w:rPr>
          <w:sz w:val="24"/>
          <w:szCs w:val="24"/>
        </w:rPr>
        <w:t xml:space="preserve">a single </w:t>
      </w:r>
      <w:r w:rsidR="008D1CFF" w:rsidRPr="003D75FB">
        <w:rPr>
          <w:sz w:val="24"/>
          <w:szCs w:val="24"/>
        </w:rPr>
        <w:t>curlew</w:t>
      </w:r>
      <w:r w:rsidR="00AE0850">
        <w:rPr>
          <w:sz w:val="24"/>
          <w:szCs w:val="24"/>
        </w:rPr>
        <w:t xml:space="preserve"> credit costs </w:t>
      </w:r>
      <w:r w:rsidR="009308BC" w:rsidRPr="003D75FB">
        <w:rPr>
          <w:sz w:val="24"/>
          <w:szCs w:val="24"/>
        </w:rPr>
        <w:t>£9</w:t>
      </w:r>
      <w:r w:rsidR="00AE0850">
        <w:rPr>
          <w:sz w:val="24"/>
          <w:szCs w:val="24"/>
        </w:rPr>
        <w:t>,</w:t>
      </w:r>
      <w:r w:rsidR="009308BC" w:rsidRPr="003D75FB">
        <w:rPr>
          <w:sz w:val="24"/>
          <w:szCs w:val="24"/>
        </w:rPr>
        <w:t>971</w:t>
      </w:r>
      <w:r w:rsidR="008D1CFF" w:rsidRPr="003D75FB">
        <w:rPr>
          <w:sz w:val="24"/>
          <w:szCs w:val="24"/>
        </w:rPr>
        <w:t xml:space="preserve"> per bird</w:t>
      </w:r>
      <w:r w:rsidR="00AE0850">
        <w:rPr>
          <w:sz w:val="24"/>
          <w:szCs w:val="24"/>
        </w:rPr>
        <w:t xml:space="preserve">. </w:t>
      </w:r>
      <w:r w:rsidRPr="003D75FB">
        <w:rPr>
          <w:sz w:val="24"/>
          <w:szCs w:val="24"/>
        </w:rPr>
        <w:t xml:space="preserve"> </w:t>
      </w:r>
      <w:bookmarkEnd w:id="42"/>
      <w:r w:rsidR="00AE0850" w:rsidRPr="003D75FB">
        <w:rPr>
          <w:sz w:val="24"/>
          <w:szCs w:val="24"/>
        </w:rPr>
        <w:t xml:space="preserve">At the market equilibrium, there was </w:t>
      </w:r>
      <w:r w:rsidR="00AE0850">
        <w:rPr>
          <w:sz w:val="24"/>
          <w:szCs w:val="24"/>
        </w:rPr>
        <w:t xml:space="preserve">no net loss </w:t>
      </w:r>
      <w:r w:rsidR="00AE0850" w:rsidRPr="003D75FB">
        <w:rPr>
          <w:sz w:val="24"/>
          <w:szCs w:val="24"/>
        </w:rPr>
        <w:t>in abundance of the policy target for the three different species.</w:t>
      </w:r>
    </w:p>
    <w:p w14:paraId="413DFD9A" w14:textId="23A9C951" w:rsidR="00AE0850" w:rsidRDefault="003A1236" w:rsidP="003D75FB">
      <w:pPr>
        <w:spacing w:line="480" w:lineRule="auto"/>
        <w:ind w:firstLine="0"/>
        <w:rPr>
          <w:sz w:val="24"/>
          <w:szCs w:val="24"/>
        </w:rPr>
      </w:pPr>
      <w:r w:rsidRPr="003D75FB">
        <w:rPr>
          <w:sz w:val="24"/>
          <w:szCs w:val="24"/>
        </w:rPr>
        <w:t xml:space="preserve">We find that the greatest </w:t>
      </w:r>
      <w:r w:rsidR="000B52A1" w:rsidRPr="003D75FB">
        <w:rPr>
          <w:sz w:val="24"/>
          <w:szCs w:val="24"/>
        </w:rPr>
        <w:t>amount of housing</w:t>
      </w:r>
      <w:r w:rsidRPr="003D75FB">
        <w:rPr>
          <w:sz w:val="24"/>
          <w:szCs w:val="24"/>
        </w:rPr>
        <w:t xml:space="preserve"> </w:t>
      </w:r>
      <w:r w:rsidR="007A5922" w:rsidRPr="003D75FB">
        <w:rPr>
          <w:sz w:val="24"/>
          <w:szCs w:val="24"/>
        </w:rPr>
        <w:t>development</w:t>
      </w:r>
      <w:r w:rsidRPr="003D75FB">
        <w:rPr>
          <w:sz w:val="24"/>
          <w:szCs w:val="24"/>
        </w:rPr>
        <w:t xml:space="preserve"> </w:t>
      </w:r>
      <w:r w:rsidR="00712941" w:rsidRPr="003D75FB">
        <w:rPr>
          <w:sz w:val="24"/>
          <w:szCs w:val="24"/>
        </w:rPr>
        <w:t>took</w:t>
      </w:r>
      <w:r w:rsidRPr="003D75FB">
        <w:rPr>
          <w:sz w:val="24"/>
          <w:szCs w:val="24"/>
        </w:rPr>
        <w:t xml:space="preserve"> place under the oystercatcher</w:t>
      </w:r>
      <w:r w:rsidR="001F0471" w:rsidRPr="003D75FB">
        <w:rPr>
          <w:sz w:val="24"/>
          <w:szCs w:val="24"/>
        </w:rPr>
        <w:t xml:space="preserve"> policy</w:t>
      </w:r>
      <w:r w:rsidRPr="003D75FB">
        <w:rPr>
          <w:sz w:val="24"/>
          <w:szCs w:val="24"/>
        </w:rPr>
        <w:t xml:space="preserve"> target with 694 land </w:t>
      </w:r>
      <w:r w:rsidR="00712941" w:rsidRPr="003D75FB">
        <w:rPr>
          <w:sz w:val="24"/>
          <w:szCs w:val="24"/>
        </w:rPr>
        <w:t>parcel</w:t>
      </w:r>
      <w:r w:rsidRPr="003D75FB">
        <w:rPr>
          <w:sz w:val="24"/>
          <w:szCs w:val="24"/>
        </w:rPr>
        <w:t>s developed</w:t>
      </w:r>
      <w:r w:rsidR="008D1CFF" w:rsidRPr="003D75FB">
        <w:rPr>
          <w:sz w:val="24"/>
          <w:szCs w:val="24"/>
        </w:rPr>
        <w:t xml:space="preserve">. Of these, 661 land parcels required the developer to purchase offset credits. </w:t>
      </w:r>
      <w:r w:rsidRPr="003D75FB">
        <w:rPr>
          <w:sz w:val="24"/>
          <w:szCs w:val="24"/>
        </w:rPr>
        <w:t xml:space="preserve">In contrast, under the lapwing target, 161 land </w:t>
      </w:r>
      <w:r w:rsidR="00712941" w:rsidRPr="003D75FB">
        <w:rPr>
          <w:sz w:val="24"/>
          <w:szCs w:val="24"/>
        </w:rPr>
        <w:t>parcels</w:t>
      </w:r>
      <w:r w:rsidRPr="003D75FB">
        <w:rPr>
          <w:sz w:val="24"/>
          <w:szCs w:val="24"/>
        </w:rPr>
        <w:t xml:space="preserve"> </w:t>
      </w:r>
      <w:r w:rsidR="00712941" w:rsidRPr="003D75FB">
        <w:rPr>
          <w:sz w:val="24"/>
          <w:szCs w:val="24"/>
        </w:rPr>
        <w:t>were</w:t>
      </w:r>
      <w:r w:rsidRPr="003D75FB">
        <w:rPr>
          <w:sz w:val="24"/>
          <w:szCs w:val="24"/>
        </w:rPr>
        <w:t xml:space="preserve"> </w:t>
      </w:r>
      <w:r w:rsidR="007A5922" w:rsidRPr="003D75FB">
        <w:rPr>
          <w:sz w:val="24"/>
          <w:szCs w:val="24"/>
        </w:rPr>
        <w:t>developed,</w:t>
      </w:r>
      <w:r w:rsidRPr="003D75FB">
        <w:rPr>
          <w:sz w:val="24"/>
          <w:szCs w:val="24"/>
        </w:rPr>
        <w:t xml:space="preserve"> and 81 </w:t>
      </w:r>
      <w:r w:rsidR="008D1CFF" w:rsidRPr="003D75FB">
        <w:rPr>
          <w:sz w:val="24"/>
          <w:szCs w:val="24"/>
        </w:rPr>
        <w:t xml:space="preserve">required </w:t>
      </w:r>
      <w:r w:rsidR="001F0471" w:rsidRPr="003D75FB">
        <w:rPr>
          <w:sz w:val="24"/>
          <w:szCs w:val="24"/>
        </w:rPr>
        <w:t xml:space="preserve">lapwing </w:t>
      </w:r>
      <w:r w:rsidRPr="003D75FB">
        <w:rPr>
          <w:sz w:val="24"/>
          <w:szCs w:val="24"/>
        </w:rPr>
        <w:t>offset</w:t>
      </w:r>
      <w:r w:rsidR="001F0471" w:rsidRPr="003D75FB">
        <w:rPr>
          <w:sz w:val="24"/>
          <w:szCs w:val="24"/>
        </w:rPr>
        <w:t xml:space="preserve"> credits</w:t>
      </w:r>
      <w:r w:rsidRPr="003D75FB">
        <w:rPr>
          <w:sz w:val="24"/>
          <w:szCs w:val="24"/>
        </w:rPr>
        <w:t xml:space="preserve"> to be purchased. Under the curlew target, the </w:t>
      </w:r>
      <w:r w:rsidR="00B05109" w:rsidRPr="003D75FB">
        <w:rPr>
          <w:sz w:val="24"/>
          <w:szCs w:val="24"/>
        </w:rPr>
        <w:t xml:space="preserve">smallest </w:t>
      </w:r>
      <w:r w:rsidRPr="003D75FB">
        <w:rPr>
          <w:sz w:val="24"/>
          <w:szCs w:val="24"/>
        </w:rPr>
        <w:t xml:space="preserve">amount of development </w:t>
      </w:r>
      <w:r w:rsidR="008D1CFF" w:rsidRPr="003D75FB">
        <w:rPr>
          <w:sz w:val="24"/>
          <w:szCs w:val="24"/>
        </w:rPr>
        <w:t>took</w:t>
      </w:r>
      <w:r w:rsidRPr="003D75FB">
        <w:rPr>
          <w:sz w:val="24"/>
          <w:szCs w:val="24"/>
        </w:rPr>
        <w:t xml:space="preserve"> place, with </w:t>
      </w:r>
      <w:r w:rsidR="00246C44" w:rsidRPr="003D75FB">
        <w:rPr>
          <w:sz w:val="24"/>
          <w:szCs w:val="24"/>
        </w:rPr>
        <w:t xml:space="preserve">108 </w:t>
      </w:r>
      <w:r w:rsidR="008D1CFF" w:rsidRPr="003D75FB">
        <w:rPr>
          <w:sz w:val="24"/>
          <w:szCs w:val="24"/>
        </w:rPr>
        <w:t xml:space="preserve">land </w:t>
      </w:r>
      <w:r w:rsidR="00EA187E" w:rsidRPr="003D75FB">
        <w:rPr>
          <w:sz w:val="24"/>
          <w:szCs w:val="24"/>
        </w:rPr>
        <w:t>parcels</w:t>
      </w:r>
      <w:r w:rsidR="00246C44" w:rsidRPr="003D75FB">
        <w:rPr>
          <w:sz w:val="24"/>
          <w:szCs w:val="24"/>
        </w:rPr>
        <w:t xml:space="preserve"> developed</w:t>
      </w:r>
      <w:r w:rsidR="008D1CFF" w:rsidRPr="003D75FB">
        <w:rPr>
          <w:sz w:val="24"/>
          <w:szCs w:val="24"/>
        </w:rPr>
        <w:t xml:space="preserve">, of which </w:t>
      </w:r>
      <w:r w:rsidR="00246C44" w:rsidRPr="003D75FB">
        <w:rPr>
          <w:sz w:val="24"/>
          <w:szCs w:val="24"/>
        </w:rPr>
        <w:t>61</w:t>
      </w:r>
      <w:r w:rsidR="00A16138">
        <w:rPr>
          <w:sz w:val="24"/>
          <w:szCs w:val="24"/>
        </w:rPr>
        <w:t>parcels</w:t>
      </w:r>
      <w:r w:rsidR="00246C44" w:rsidRPr="003D75FB">
        <w:rPr>
          <w:sz w:val="24"/>
          <w:szCs w:val="24"/>
        </w:rPr>
        <w:t xml:space="preserve"> </w:t>
      </w:r>
      <w:r w:rsidR="008D1CFF" w:rsidRPr="003D75FB">
        <w:rPr>
          <w:sz w:val="24"/>
          <w:szCs w:val="24"/>
        </w:rPr>
        <w:t>required</w:t>
      </w:r>
      <w:r w:rsidR="001F0471" w:rsidRPr="003D75FB">
        <w:rPr>
          <w:sz w:val="24"/>
          <w:szCs w:val="24"/>
        </w:rPr>
        <w:t xml:space="preserve"> curlew</w:t>
      </w:r>
      <w:r w:rsidR="008D1CFF" w:rsidRPr="003D75FB">
        <w:rPr>
          <w:sz w:val="24"/>
          <w:szCs w:val="24"/>
        </w:rPr>
        <w:t xml:space="preserve"> </w:t>
      </w:r>
      <w:r w:rsidR="001F0471" w:rsidRPr="003D75FB">
        <w:rPr>
          <w:sz w:val="24"/>
          <w:szCs w:val="24"/>
        </w:rPr>
        <w:t>offset credits</w:t>
      </w:r>
      <w:r w:rsidR="008D1CFF" w:rsidRPr="003D75FB">
        <w:rPr>
          <w:sz w:val="24"/>
          <w:szCs w:val="24"/>
        </w:rPr>
        <w:t xml:space="preserve"> to be purchased. </w:t>
      </w:r>
    </w:p>
    <w:p w14:paraId="0A338650" w14:textId="6B4D67E0" w:rsidR="0001610F" w:rsidRDefault="008D1CFF" w:rsidP="0001610F">
      <w:pPr>
        <w:spacing w:line="480" w:lineRule="auto"/>
        <w:ind w:firstLine="0"/>
        <w:rPr>
          <w:sz w:val="24"/>
          <w:szCs w:val="24"/>
        </w:rPr>
      </w:pPr>
      <w:r w:rsidRPr="003D75FB">
        <w:rPr>
          <w:sz w:val="24"/>
          <w:szCs w:val="24"/>
        </w:rPr>
        <w:t>F</w:t>
      </w:r>
      <w:r w:rsidR="00040BC8" w:rsidRPr="003D75FB">
        <w:rPr>
          <w:sz w:val="24"/>
          <w:szCs w:val="24"/>
        </w:rPr>
        <w:t>rom the supply perspective</w:t>
      </w:r>
      <w:r w:rsidR="008F5124" w:rsidRPr="003D75FB">
        <w:rPr>
          <w:sz w:val="24"/>
          <w:szCs w:val="24"/>
        </w:rPr>
        <w:t>, there w</w:t>
      </w:r>
      <w:r w:rsidR="007F390E" w:rsidRPr="003D75FB">
        <w:rPr>
          <w:sz w:val="24"/>
          <w:szCs w:val="24"/>
        </w:rPr>
        <w:t>as</w:t>
      </w:r>
      <w:r w:rsidR="008F5124" w:rsidRPr="003D75FB">
        <w:rPr>
          <w:sz w:val="24"/>
          <w:szCs w:val="24"/>
        </w:rPr>
        <w:t xml:space="preserve"> the highest number of suppliers for the </w:t>
      </w:r>
      <w:r w:rsidRPr="003D75FB">
        <w:rPr>
          <w:sz w:val="24"/>
          <w:szCs w:val="24"/>
        </w:rPr>
        <w:t xml:space="preserve">oystercatcher target with </w:t>
      </w:r>
      <w:r w:rsidR="00246C44" w:rsidRPr="003D75FB">
        <w:rPr>
          <w:sz w:val="24"/>
          <w:szCs w:val="24"/>
        </w:rPr>
        <w:t>27</w:t>
      </w:r>
      <w:r w:rsidRPr="003D75FB">
        <w:rPr>
          <w:sz w:val="24"/>
          <w:szCs w:val="24"/>
        </w:rPr>
        <w:t xml:space="preserve"> </w:t>
      </w:r>
      <w:r w:rsidR="00AE0850">
        <w:rPr>
          <w:sz w:val="24"/>
          <w:szCs w:val="24"/>
        </w:rPr>
        <w:t xml:space="preserve">agricultural </w:t>
      </w:r>
      <w:r w:rsidRPr="003D75FB">
        <w:rPr>
          <w:sz w:val="24"/>
          <w:szCs w:val="24"/>
        </w:rPr>
        <w:t xml:space="preserve">land parcels changing their land management practice to become offset suppliers. </w:t>
      </w:r>
      <w:bookmarkStart w:id="43" w:name="_Hlk45877567"/>
      <w:r w:rsidR="000C3E96">
        <w:rPr>
          <w:sz w:val="24"/>
          <w:szCs w:val="24"/>
        </w:rPr>
        <w:t xml:space="preserve">Lapwing offsets </w:t>
      </w:r>
      <w:r w:rsidR="00AE0850">
        <w:rPr>
          <w:sz w:val="24"/>
          <w:szCs w:val="24"/>
        </w:rPr>
        <w:t>were</w:t>
      </w:r>
      <w:r w:rsidR="000C3E96">
        <w:rPr>
          <w:sz w:val="24"/>
          <w:szCs w:val="24"/>
        </w:rPr>
        <w:t xml:space="preserve"> supplied by </w:t>
      </w:r>
      <w:r w:rsidRPr="003D75FB">
        <w:rPr>
          <w:sz w:val="24"/>
          <w:szCs w:val="24"/>
        </w:rPr>
        <w:t xml:space="preserve">24 land parcels and </w:t>
      </w:r>
      <w:r w:rsidR="00AE0850">
        <w:rPr>
          <w:sz w:val="24"/>
          <w:szCs w:val="24"/>
        </w:rPr>
        <w:t>curlew offsets were supplied by 6 land parcels.</w:t>
      </w:r>
      <w:r w:rsidRPr="003D75FB">
        <w:rPr>
          <w:sz w:val="24"/>
          <w:szCs w:val="24"/>
        </w:rPr>
        <w:t xml:space="preserve"> </w:t>
      </w:r>
      <w:bookmarkEnd w:id="43"/>
    </w:p>
    <w:p w14:paraId="1396E9EC" w14:textId="6915F5C3" w:rsidR="0001610F" w:rsidRDefault="0001610F" w:rsidP="0001610F">
      <w:pPr>
        <w:spacing w:line="480" w:lineRule="auto"/>
        <w:ind w:firstLine="0"/>
        <w:jc w:val="center"/>
        <w:rPr>
          <w:b/>
          <w:bCs/>
          <w:sz w:val="24"/>
          <w:szCs w:val="24"/>
          <w:lang w:val="gd-GB"/>
        </w:rPr>
      </w:pPr>
      <w:r w:rsidRPr="0001610F">
        <w:rPr>
          <w:b/>
          <w:bCs/>
          <w:sz w:val="24"/>
          <w:szCs w:val="24"/>
          <w:lang w:val="gd-GB"/>
        </w:rPr>
        <w:t>[Ins</w:t>
      </w:r>
      <w:r>
        <w:rPr>
          <w:b/>
          <w:bCs/>
          <w:sz w:val="24"/>
          <w:szCs w:val="24"/>
          <w:lang w:val="gd-GB"/>
        </w:rPr>
        <w:t>ert</w:t>
      </w:r>
      <w:r w:rsidRPr="0001610F">
        <w:rPr>
          <w:b/>
          <w:bCs/>
          <w:sz w:val="24"/>
          <w:szCs w:val="24"/>
          <w:lang w:val="gd-GB"/>
        </w:rPr>
        <w:t xml:space="preserve"> Figure 3 here]</w:t>
      </w:r>
    </w:p>
    <w:p w14:paraId="14F83036" w14:textId="010CE39D" w:rsidR="0001610F" w:rsidRPr="0001610F" w:rsidRDefault="0001610F" w:rsidP="0001610F">
      <w:pPr>
        <w:spacing w:line="480" w:lineRule="auto"/>
        <w:ind w:firstLine="0"/>
        <w:jc w:val="center"/>
        <w:rPr>
          <w:b/>
          <w:bCs/>
          <w:sz w:val="24"/>
          <w:szCs w:val="24"/>
          <w:lang w:val="gd-GB"/>
        </w:rPr>
      </w:pPr>
      <w:r>
        <w:rPr>
          <w:b/>
          <w:bCs/>
          <w:sz w:val="24"/>
          <w:szCs w:val="24"/>
          <w:lang w:val="gd-GB"/>
        </w:rPr>
        <w:t xml:space="preserve">[Insert Table 1 here] </w:t>
      </w:r>
    </w:p>
    <w:p w14:paraId="620A7CA4" w14:textId="3E764E0E" w:rsidR="00FF4813" w:rsidRDefault="00AE0850" w:rsidP="00AE0850">
      <w:pPr>
        <w:spacing w:line="480" w:lineRule="auto"/>
        <w:ind w:firstLine="0"/>
        <w:rPr>
          <w:sz w:val="24"/>
          <w:szCs w:val="24"/>
        </w:rPr>
      </w:pPr>
      <w:r>
        <w:rPr>
          <w:sz w:val="24"/>
          <w:szCs w:val="24"/>
        </w:rPr>
        <w:t>These results are also considered in the spatial context</w:t>
      </w:r>
      <w:r w:rsidR="00FF4813" w:rsidRPr="003D75FB">
        <w:rPr>
          <w:sz w:val="24"/>
          <w:szCs w:val="24"/>
        </w:rPr>
        <w:t xml:space="preserve"> (Figure </w:t>
      </w:r>
      <w:r w:rsidR="00497E5E">
        <w:rPr>
          <w:sz w:val="24"/>
          <w:szCs w:val="24"/>
        </w:rPr>
        <w:t>4</w:t>
      </w:r>
      <w:r w:rsidR="00FF4813" w:rsidRPr="003D75FB">
        <w:rPr>
          <w:sz w:val="24"/>
          <w:szCs w:val="24"/>
        </w:rPr>
        <w:t>). Figure</w:t>
      </w:r>
      <w:r w:rsidR="00497E5E">
        <w:rPr>
          <w:sz w:val="24"/>
          <w:szCs w:val="24"/>
        </w:rPr>
        <w:t xml:space="preserve"> 4</w:t>
      </w:r>
      <w:r w:rsidR="00FF4813" w:rsidRPr="003D75FB">
        <w:rPr>
          <w:sz w:val="24"/>
          <w:szCs w:val="24"/>
        </w:rPr>
        <w:t xml:space="preserve"> highlights the </w:t>
      </w:r>
      <w:r>
        <w:rPr>
          <w:sz w:val="24"/>
          <w:szCs w:val="24"/>
        </w:rPr>
        <w:t xml:space="preserve">land parcels which choose to supply offsets and the land parcels where development that requires offsets takes place. </w:t>
      </w:r>
      <w:r w:rsidR="00FF4813" w:rsidRPr="003D75FB">
        <w:rPr>
          <w:sz w:val="24"/>
          <w:szCs w:val="24"/>
        </w:rPr>
        <w:t xml:space="preserve">For the curlew policy target, </w:t>
      </w:r>
      <w:r w:rsidR="00A16138">
        <w:rPr>
          <w:sz w:val="24"/>
          <w:szCs w:val="24"/>
        </w:rPr>
        <w:t xml:space="preserve">land parcels supplying offsets were located </w:t>
      </w:r>
      <w:r w:rsidR="00FF4813" w:rsidRPr="003D75FB">
        <w:rPr>
          <w:sz w:val="24"/>
          <w:szCs w:val="24"/>
        </w:rPr>
        <w:t>at the coastal margin</w:t>
      </w:r>
      <w:r>
        <w:rPr>
          <w:sz w:val="24"/>
          <w:szCs w:val="24"/>
        </w:rPr>
        <w:t>.</w:t>
      </w:r>
      <w:r w:rsidR="00FF4813" w:rsidRPr="003D75FB">
        <w:rPr>
          <w:sz w:val="24"/>
          <w:szCs w:val="24"/>
        </w:rPr>
        <w:t xml:space="preserve"> In contrast, new development takes places further inland away from the coastal margin</w:t>
      </w:r>
      <w:r>
        <w:rPr>
          <w:sz w:val="24"/>
          <w:szCs w:val="24"/>
        </w:rPr>
        <w:t xml:space="preserve">. </w:t>
      </w:r>
      <w:r w:rsidR="00FF4813" w:rsidRPr="003D75FB">
        <w:rPr>
          <w:sz w:val="24"/>
          <w:szCs w:val="24"/>
        </w:rPr>
        <w:t xml:space="preserve">For </w:t>
      </w:r>
      <w:r w:rsidR="001F0471" w:rsidRPr="003D75FB">
        <w:rPr>
          <w:sz w:val="24"/>
          <w:szCs w:val="24"/>
        </w:rPr>
        <w:t xml:space="preserve">the </w:t>
      </w:r>
      <w:r w:rsidR="00FF4813" w:rsidRPr="003D75FB">
        <w:rPr>
          <w:sz w:val="24"/>
          <w:szCs w:val="24"/>
        </w:rPr>
        <w:t>lapwing policy target</w:t>
      </w:r>
      <w:r w:rsidR="00A16138">
        <w:rPr>
          <w:sz w:val="24"/>
          <w:szCs w:val="24"/>
        </w:rPr>
        <w:t>, the</w:t>
      </w:r>
      <w:r w:rsidR="00FF4813" w:rsidRPr="003D75FB">
        <w:rPr>
          <w:sz w:val="24"/>
          <w:szCs w:val="24"/>
        </w:rPr>
        <w:t xml:space="preserve"> offset supply sites for lapwings are geographically close to where the development takes</w:t>
      </w:r>
      <w:r>
        <w:rPr>
          <w:sz w:val="24"/>
          <w:szCs w:val="24"/>
        </w:rPr>
        <w:t xml:space="preserve"> place, with</w:t>
      </w:r>
      <w:r w:rsidR="00FF4813" w:rsidRPr="003D75FB">
        <w:rPr>
          <w:sz w:val="24"/>
          <w:szCs w:val="24"/>
        </w:rPr>
        <w:t xml:space="preserve"> </w:t>
      </w:r>
      <w:r w:rsidRPr="003D75FB">
        <w:rPr>
          <w:sz w:val="24"/>
          <w:szCs w:val="24"/>
        </w:rPr>
        <w:t>many</w:t>
      </w:r>
      <w:r w:rsidR="00FF4813" w:rsidRPr="003D75FB">
        <w:rPr>
          <w:sz w:val="24"/>
          <w:szCs w:val="24"/>
        </w:rPr>
        <w:t xml:space="preserve"> supply sites within 5 </w:t>
      </w:r>
      <w:r w:rsidR="00FF4813" w:rsidRPr="003D75FB">
        <w:rPr>
          <w:sz w:val="24"/>
          <w:szCs w:val="24"/>
        </w:rPr>
        <w:lastRenderedPageBreak/>
        <w:t xml:space="preserve">km of where lapwings are </w:t>
      </w:r>
      <w:r>
        <w:rPr>
          <w:sz w:val="24"/>
          <w:szCs w:val="24"/>
        </w:rPr>
        <w:t>due to development</w:t>
      </w:r>
      <w:r w:rsidR="00FF4813" w:rsidRPr="003D75FB">
        <w:rPr>
          <w:sz w:val="24"/>
          <w:szCs w:val="24"/>
        </w:rPr>
        <w:t xml:space="preserve">. In contrast, curlew supply sites are found at least 15 km from where curlews are lost as a result of new development. Oystercatcher supply sites hold the greatest concentration of offsets, with some of the offset supply sites providing more than 10 offsets per land parcel (which can be thought of as an increase of more than 10 oystercatchers due to the change in land management practice). The oystercatcher supply sites are geographically distant from where oystercatchers are lost as a result of new development, with the </w:t>
      </w:r>
      <w:r w:rsidR="00424A1D" w:rsidRPr="003D75FB">
        <w:rPr>
          <w:sz w:val="24"/>
          <w:szCs w:val="24"/>
        </w:rPr>
        <w:t xml:space="preserve">greatest </w:t>
      </w:r>
      <w:r w:rsidR="00FF4813" w:rsidRPr="003D75FB">
        <w:rPr>
          <w:sz w:val="24"/>
          <w:szCs w:val="24"/>
        </w:rPr>
        <w:t xml:space="preserve">distance between offset supply site and development impact over 100 km. </w:t>
      </w:r>
    </w:p>
    <w:p w14:paraId="503A205F" w14:textId="3FB5D31F" w:rsidR="0001610F" w:rsidRDefault="0001610F" w:rsidP="005A373D">
      <w:pPr>
        <w:spacing w:line="480" w:lineRule="auto"/>
        <w:ind w:firstLine="0"/>
        <w:jc w:val="center"/>
        <w:rPr>
          <w:sz w:val="24"/>
          <w:szCs w:val="24"/>
        </w:rPr>
      </w:pPr>
      <w:r w:rsidRPr="0001610F">
        <w:rPr>
          <w:b/>
          <w:bCs/>
          <w:sz w:val="24"/>
          <w:szCs w:val="24"/>
          <w:lang w:val="gd-GB"/>
        </w:rPr>
        <w:t>[Ins</w:t>
      </w:r>
      <w:r>
        <w:rPr>
          <w:b/>
          <w:bCs/>
          <w:sz w:val="24"/>
          <w:szCs w:val="24"/>
          <w:lang w:val="gd-GB"/>
        </w:rPr>
        <w:t>ert</w:t>
      </w:r>
      <w:r w:rsidRPr="0001610F">
        <w:rPr>
          <w:b/>
          <w:bCs/>
          <w:sz w:val="24"/>
          <w:szCs w:val="24"/>
          <w:lang w:val="gd-GB"/>
        </w:rPr>
        <w:t xml:space="preserve"> Figure</w:t>
      </w:r>
      <w:r>
        <w:rPr>
          <w:b/>
          <w:bCs/>
          <w:sz w:val="24"/>
          <w:szCs w:val="24"/>
          <w:lang w:val="gd-GB"/>
        </w:rPr>
        <w:t xml:space="preserve"> 4 </w:t>
      </w:r>
      <w:r w:rsidRPr="0001610F">
        <w:rPr>
          <w:b/>
          <w:bCs/>
          <w:sz w:val="24"/>
          <w:szCs w:val="24"/>
          <w:lang w:val="gd-GB"/>
        </w:rPr>
        <w:t>here]</w:t>
      </w:r>
    </w:p>
    <w:p w14:paraId="4F0A27C5" w14:textId="0B4264DA" w:rsidR="001F0471" w:rsidRPr="003D75FB" w:rsidRDefault="00497E5E" w:rsidP="003D75FB">
      <w:pPr>
        <w:spacing w:line="480" w:lineRule="auto"/>
        <w:ind w:firstLine="0"/>
        <w:rPr>
          <w:sz w:val="24"/>
          <w:szCs w:val="24"/>
        </w:rPr>
      </w:pPr>
      <w:r>
        <w:rPr>
          <w:sz w:val="24"/>
          <w:szCs w:val="24"/>
        </w:rPr>
        <w:t>A</w:t>
      </w:r>
      <w:r w:rsidRPr="003D75FB">
        <w:rPr>
          <w:sz w:val="24"/>
          <w:szCs w:val="24"/>
        </w:rPr>
        <w:t>cross</w:t>
      </w:r>
      <w:r w:rsidR="00E81981" w:rsidRPr="003D75FB">
        <w:rPr>
          <w:sz w:val="24"/>
          <w:szCs w:val="24"/>
        </w:rPr>
        <w:t xml:space="preserve"> all policy targets, there are gains from trade realised as a result of trading biodiversity offsets </w:t>
      </w:r>
      <w:r w:rsidR="008D1CFF" w:rsidRPr="003D75FB">
        <w:rPr>
          <w:sz w:val="24"/>
          <w:szCs w:val="24"/>
        </w:rPr>
        <w:t>compared to a no</w:t>
      </w:r>
      <w:r w:rsidR="000B52A1" w:rsidRPr="003D75FB">
        <w:rPr>
          <w:sz w:val="24"/>
          <w:szCs w:val="24"/>
        </w:rPr>
        <w:t>-</w:t>
      </w:r>
      <w:r w:rsidR="008D1CFF" w:rsidRPr="003D75FB">
        <w:rPr>
          <w:sz w:val="24"/>
          <w:szCs w:val="24"/>
        </w:rPr>
        <w:t>offset</w:t>
      </w:r>
      <w:r w:rsidR="000B52A1" w:rsidRPr="003D75FB">
        <w:rPr>
          <w:sz w:val="24"/>
          <w:szCs w:val="24"/>
        </w:rPr>
        <w:t xml:space="preserve">-trading </w:t>
      </w:r>
      <w:r w:rsidR="008D1CFF" w:rsidRPr="003D75FB">
        <w:rPr>
          <w:sz w:val="24"/>
          <w:szCs w:val="24"/>
        </w:rPr>
        <w:t xml:space="preserve">scenario. The greatest gains from trade are realised under </w:t>
      </w:r>
      <w:r w:rsidR="00E81981" w:rsidRPr="003D75FB">
        <w:rPr>
          <w:sz w:val="24"/>
          <w:szCs w:val="24"/>
        </w:rPr>
        <w:t xml:space="preserve">the oystercatcher policy target. </w:t>
      </w:r>
      <w:r w:rsidR="008D1CFF" w:rsidRPr="003D75FB">
        <w:rPr>
          <w:sz w:val="24"/>
          <w:szCs w:val="24"/>
        </w:rPr>
        <w:t>Across all policy targets</w:t>
      </w:r>
      <w:r w:rsidR="00DD6AB2" w:rsidRPr="003D75FB">
        <w:rPr>
          <w:sz w:val="24"/>
          <w:szCs w:val="24"/>
        </w:rPr>
        <w:t>,</w:t>
      </w:r>
      <w:r w:rsidR="008D1CFF" w:rsidRPr="003D75FB">
        <w:rPr>
          <w:sz w:val="24"/>
          <w:szCs w:val="24"/>
        </w:rPr>
        <w:t xml:space="preserve"> c</w:t>
      </w:r>
      <w:r w:rsidR="00E81981" w:rsidRPr="003D75FB">
        <w:rPr>
          <w:sz w:val="24"/>
          <w:szCs w:val="24"/>
        </w:rPr>
        <w:t>onsumer surplus accruing to developers is consistently greater than producer surplus earnt by offset suppliers, suggesting th</w:t>
      </w:r>
      <w:r w:rsidR="00AE0850">
        <w:rPr>
          <w:sz w:val="24"/>
          <w:szCs w:val="24"/>
        </w:rPr>
        <w:t>at</w:t>
      </w:r>
      <w:r w:rsidR="00E81981" w:rsidRPr="003D75FB">
        <w:rPr>
          <w:sz w:val="24"/>
          <w:szCs w:val="24"/>
        </w:rPr>
        <w:t xml:space="preserve"> offset trading offers more benefits to the housing developers than agricultural landowners. Despite these potential gains from trade under the offset market scenario, </w:t>
      </w:r>
      <w:r w:rsidR="008D1CFF" w:rsidRPr="003D75FB">
        <w:rPr>
          <w:sz w:val="24"/>
          <w:szCs w:val="24"/>
        </w:rPr>
        <w:t xml:space="preserve">a small proportion of potential development land was utilised for new developments. The </w:t>
      </w:r>
      <w:r w:rsidR="00E81981" w:rsidRPr="003D75FB">
        <w:rPr>
          <w:sz w:val="24"/>
          <w:szCs w:val="24"/>
        </w:rPr>
        <w:t xml:space="preserve">highest number of new </w:t>
      </w:r>
      <w:r w:rsidR="00F13F28" w:rsidRPr="003D75FB">
        <w:rPr>
          <w:sz w:val="24"/>
          <w:szCs w:val="24"/>
        </w:rPr>
        <w:t>developments</w:t>
      </w:r>
      <w:r w:rsidR="00E81981" w:rsidRPr="003D75FB">
        <w:rPr>
          <w:sz w:val="24"/>
          <w:szCs w:val="24"/>
        </w:rPr>
        <w:t xml:space="preserve"> took place under the oystercatcher </w:t>
      </w:r>
      <w:r w:rsidR="00AE0850">
        <w:rPr>
          <w:sz w:val="24"/>
          <w:szCs w:val="24"/>
        </w:rPr>
        <w:t>policy target</w:t>
      </w:r>
      <w:r w:rsidR="00237892">
        <w:rPr>
          <w:sz w:val="24"/>
          <w:szCs w:val="24"/>
        </w:rPr>
        <w:t xml:space="preserve">. 15% of potentially developable land was developed on </w:t>
      </w:r>
      <w:r w:rsidR="00E81981" w:rsidRPr="003D75FB">
        <w:rPr>
          <w:sz w:val="24"/>
          <w:szCs w:val="24"/>
        </w:rPr>
        <w:t xml:space="preserve">compared to 2% of the land area under the lapwing </w:t>
      </w:r>
      <w:r w:rsidR="00237892">
        <w:rPr>
          <w:sz w:val="24"/>
          <w:szCs w:val="24"/>
        </w:rPr>
        <w:t>policy target</w:t>
      </w:r>
      <w:r w:rsidR="00E81981" w:rsidRPr="003D75FB">
        <w:rPr>
          <w:sz w:val="24"/>
          <w:szCs w:val="24"/>
        </w:rPr>
        <w:t xml:space="preserve"> and </w:t>
      </w:r>
      <w:r w:rsidR="006F3BE5" w:rsidRPr="003D75FB">
        <w:rPr>
          <w:sz w:val="24"/>
          <w:szCs w:val="24"/>
        </w:rPr>
        <w:t xml:space="preserve">less than 1% </w:t>
      </w:r>
      <w:r w:rsidR="00E81981" w:rsidRPr="003D75FB">
        <w:rPr>
          <w:sz w:val="24"/>
          <w:szCs w:val="24"/>
        </w:rPr>
        <w:t xml:space="preserve">of land area under the curlew </w:t>
      </w:r>
      <w:r w:rsidR="00237892">
        <w:rPr>
          <w:sz w:val="24"/>
          <w:szCs w:val="24"/>
        </w:rPr>
        <w:t xml:space="preserve">policy target. </w:t>
      </w:r>
    </w:p>
    <w:p w14:paraId="555C4C0D" w14:textId="1CFEFD67" w:rsidR="00B425E2" w:rsidRPr="003D75FB" w:rsidRDefault="00FF4813" w:rsidP="003D75FB">
      <w:pPr>
        <w:spacing w:line="480" w:lineRule="auto"/>
        <w:ind w:firstLine="0"/>
        <w:rPr>
          <w:sz w:val="24"/>
          <w:szCs w:val="24"/>
        </w:rPr>
      </w:pPr>
      <w:r w:rsidRPr="003D75FB">
        <w:rPr>
          <w:sz w:val="24"/>
          <w:szCs w:val="24"/>
        </w:rPr>
        <w:t>We can compare the impacts of trading on the non-target species</w:t>
      </w:r>
      <w:r w:rsidR="000B52A1" w:rsidRPr="003D75FB">
        <w:rPr>
          <w:sz w:val="24"/>
          <w:szCs w:val="24"/>
        </w:rPr>
        <w:t>. B</w:t>
      </w:r>
      <w:r w:rsidRPr="003D75FB">
        <w:rPr>
          <w:sz w:val="24"/>
          <w:szCs w:val="24"/>
        </w:rPr>
        <w:t xml:space="preserve">y this we mean </w:t>
      </w:r>
      <w:r w:rsidR="000B52A1" w:rsidRPr="003D75FB">
        <w:rPr>
          <w:sz w:val="24"/>
          <w:szCs w:val="24"/>
        </w:rPr>
        <w:t xml:space="preserve">that </w:t>
      </w:r>
      <w:r w:rsidRPr="003D75FB">
        <w:rPr>
          <w:sz w:val="24"/>
          <w:szCs w:val="24"/>
        </w:rPr>
        <w:t xml:space="preserve">if the policy target is </w:t>
      </w:r>
      <w:r w:rsidR="00404AB9">
        <w:rPr>
          <w:sz w:val="24"/>
          <w:szCs w:val="24"/>
        </w:rPr>
        <w:t>no net loss</w:t>
      </w:r>
      <w:r w:rsidR="00404AB9" w:rsidRPr="003D75FB">
        <w:rPr>
          <w:sz w:val="24"/>
          <w:szCs w:val="24"/>
        </w:rPr>
        <w:t xml:space="preserve"> </w:t>
      </w:r>
      <w:r w:rsidR="000B52A1" w:rsidRPr="003D75FB">
        <w:rPr>
          <w:sz w:val="24"/>
          <w:szCs w:val="24"/>
        </w:rPr>
        <w:t xml:space="preserve">of </w:t>
      </w:r>
      <w:r w:rsidRPr="003D75FB">
        <w:rPr>
          <w:sz w:val="24"/>
          <w:szCs w:val="24"/>
        </w:rPr>
        <w:t>oystercatchers, do we see a positive or negative change in abundance of lapwing and</w:t>
      </w:r>
      <w:r w:rsidR="001F0471" w:rsidRPr="003D75FB">
        <w:rPr>
          <w:sz w:val="24"/>
          <w:szCs w:val="24"/>
        </w:rPr>
        <w:t xml:space="preserve"> / or</w:t>
      </w:r>
      <w:r w:rsidRPr="003D75FB">
        <w:rPr>
          <w:sz w:val="24"/>
          <w:szCs w:val="24"/>
        </w:rPr>
        <w:t xml:space="preserve"> curlew (</w:t>
      </w:r>
      <w:r w:rsidR="000B52A1" w:rsidRPr="003D75FB">
        <w:rPr>
          <w:sz w:val="24"/>
          <w:szCs w:val="24"/>
        </w:rPr>
        <w:t>the</w:t>
      </w:r>
      <w:r w:rsidRPr="003D75FB">
        <w:rPr>
          <w:sz w:val="24"/>
          <w:szCs w:val="24"/>
        </w:rPr>
        <w:t xml:space="preserve"> non-target species</w:t>
      </w:r>
      <w:r w:rsidR="000B52A1" w:rsidRPr="003D75FB">
        <w:rPr>
          <w:sz w:val="24"/>
          <w:szCs w:val="24"/>
        </w:rPr>
        <w:t xml:space="preserve"> in this scenario</w:t>
      </w:r>
      <w:r w:rsidRPr="003D75FB">
        <w:rPr>
          <w:sz w:val="24"/>
          <w:szCs w:val="24"/>
        </w:rPr>
        <w:t xml:space="preserve">) as a result of </w:t>
      </w:r>
      <w:r w:rsidR="00F17185" w:rsidRPr="003D75FB">
        <w:rPr>
          <w:sz w:val="24"/>
          <w:szCs w:val="24"/>
        </w:rPr>
        <w:t>offset trading?</w:t>
      </w:r>
      <w:r w:rsidRPr="003D75FB">
        <w:rPr>
          <w:sz w:val="24"/>
          <w:szCs w:val="24"/>
        </w:rPr>
        <w:t xml:space="preserve"> The results show, that whilst the biodiversity offset market secures </w:t>
      </w:r>
      <w:r w:rsidR="00404AB9">
        <w:rPr>
          <w:sz w:val="24"/>
          <w:szCs w:val="24"/>
        </w:rPr>
        <w:t>no net loss</w:t>
      </w:r>
      <w:r w:rsidR="00404AB9" w:rsidRPr="003D75FB">
        <w:rPr>
          <w:sz w:val="24"/>
          <w:szCs w:val="24"/>
        </w:rPr>
        <w:t xml:space="preserve"> </w:t>
      </w:r>
      <w:r w:rsidRPr="003D75FB">
        <w:rPr>
          <w:sz w:val="24"/>
          <w:szCs w:val="24"/>
        </w:rPr>
        <w:t xml:space="preserve">of the target species under each of the </w:t>
      </w:r>
      <w:r w:rsidR="00CF09F7" w:rsidRPr="003D75FB">
        <w:rPr>
          <w:i/>
          <w:sz w:val="24"/>
          <w:szCs w:val="24"/>
        </w:rPr>
        <w:t>single</w:t>
      </w:r>
      <w:r w:rsidR="00CF09F7" w:rsidRPr="003D75FB">
        <w:rPr>
          <w:sz w:val="24"/>
          <w:szCs w:val="24"/>
        </w:rPr>
        <w:t xml:space="preserve"> species </w:t>
      </w:r>
      <w:r w:rsidRPr="003D75FB">
        <w:rPr>
          <w:sz w:val="24"/>
          <w:szCs w:val="24"/>
        </w:rPr>
        <w:t>targets</w:t>
      </w:r>
      <w:r w:rsidR="00712941" w:rsidRPr="003D75FB">
        <w:rPr>
          <w:sz w:val="24"/>
          <w:szCs w:val="24"/>
        </w:rPr>
        <w:t>,</w:t>
      </w:r>
      <w:r w:rsidR="00CF09F7" w:rsidRPr="003D75FB">
        <w:rPr>
          <w:sz w:val="24"/>
          <w:szCs w:val="24"/>
        </w:rPr>
        <w:t xml:space="preserve"> </w:t>
      </w:r>
      <w:r w:rsidR="002426EE" w:rsidRPr="003D75FB">
        <w:rPr>
          <w:sz w:val="24"/>
          <w:szCs w:val="24"/>
        </w:rPr>
        <w:t xml:space="preserve">there is a net loss in abundance of the other two </w:t>
      </w:r>
      <w:r w:rsidR="00B05109" w:rsidRPr="003D75FB">
        <w:rPr>
          <w:sz w:val="24"/>
          <w:szCs w:val="24"/>
        </w:rPr>
        <w:t xml:space="preserve">(non-target) </w:t>
      </w:r>
      <w:r w:rsidR="002426EE" w:rsidRPr="003D75FB">
        <w:rPr>
          <w:sz w:val="24"/>
          <w:szCs w:val="24"/>
        </w:rPr>
        <w:t>species</w:t>
      </w:r>
      <w:r w:rsidR="009E1B64" w:rsidRPr="003D75FB">
        <w:rPr>
          <w:sz w:val="24"/>
          <w:szCs w:val="24"/>
        </w:rPr>
        <w:t xml:space="preserve"> </w:t>
      </w:r>
      <w:r w:rsidR="00311935" w:rsidRPr="003D75FB">
        <w:rPr>
          <w:sz w:val="24"/>
          <w:szCs w:val="24"/>
        </w:rPr>
        <w:t xml:space="preserve">The smallest losses take place under the curlew metric, with </w:t>
      </w:r>
      <w:r w:rsidR="00311935" w:rsidRPr="003D75FB">
        <w:rPr>
          <w:sz w:val="24"/>
          <w:szCs w:val="24"/>
        </w:rPr>
        <w:lastRenderedPageBreak/>
        <w:t>a net gain of 21 oystercatchers and a net loss of 14 lapwings. The greatest loss in abundance is under the oystercatcher metric, with a net</w:t>
      </w:r>
      <w:r w:rsidR="00404AB9">
        <w:rPr>
          <w:sz w:val="24"/>
          <w:szCs w:val="24"/>
        </w:rPr>
        <w:t xml:space="preserve"> </w:t>
      </w:r>
      <w:r w:rsidR="00311935" w:rsidRPr="003D75FB">
        <w:rPr>
          <w:sz w:val="24"/>
          <w:szCs w:val="24"/>
        </w:rPr>
        <w:t>loss of 3800 lapwings and curlews. T</w:t>
      </w:r>
      <w:r w:rsidR="00CF09F7" w:rsidRPr="003D75FB">
        <w:rPr>
          <w:sz w:val="24"/>
          <w:szCs w:val="24"/>
        </w:rPr>
        <w:t xml:space="preserve">his result highlights the differences in habitat preferences of the three species and showcases the complexity and difficulty in defining an offset credit to maintain no net loss of </w:t>
      </w:r>
      <w:r w:rsidR="00CF09F7" w:rsidRPr="003D75FB">
        <w:rPr>
          <w:i/>
          <w:sz w:val="24"/>
          <w:szCs w:val="24"/>
        </w:rPr>
        <w:t>multiple</w:t>
      </w:r>
      <w:r w:rsidR="00CF09F7" w:rsidRPr="003D75FB">
        <w:rPr>
          <w:sz w:val="24"/>
          <w:szCs w:val="24"/>
        </w:rPr>
        <w:t xml:space="preserve"> species. </w:t>
      </w:r>
    </w:p>
    <w:p w14:paraId="7E44C8D0" w14:textId="7270DEFA" w:rsidR="00086AB1" w:rsidRPr="003D75FB" w:rsidRDefault="00B05109" w:rsidP="001B568E">
      <w:pPr>
        <w:pStyle w:val="Heading2"/>
      </w:pPr>
      <w:r w:rsidRPr="003D75FB">
        <w:t>M</w:t>
      </w:r>
      <w:r w:rsidR="00FF4813" w:rsidRPr="003D75FB">
        <w:t>arket S</w:t>
      </w:r>
      <w:r w:rsidR="00086AB1" w:rsidRPr="003D75FB">
        <w:t>ize</w:t>
      </w:r>
      <w:r w:rsidR="00FF4813" w:rsidRPr="003D75FB">
        <w:t xml:space="preserve"> E</w:t>
      </w:r>
      <w:r w:rsidRPr="003D75FB">
        <w:t>ffects</w:t>
      </w:r>
    </w:p>
    <w:p w14:paraId="5363DF2E" w14:textId="2FA0E696" w:rsidR="00FD693A" w:rsidRPr="003D75FB" w:rsidRDefault="001F0471">
      <w:pPr>
        <w:spacing w:line="480" w:lineRule="auto"/>
        <w:ind w:firstLine="0"/>
        <w:rPr>
          <w:sz w:val="24"/>
          <w:szCs w:val="24"/>
        </w:rPr>
      </w:pPr>
      <w:r w:rsidRPr="003D75FB">
        <w:rPr>
          <w:sz w:val="24"/>
          <w:szCs w:val="24"/>
        </w:rPr>
        <w:t xml:space="preserve">The second design parameter we are interested in is how changes to the size of the market, in terms of </w:t>
      </w:r>
      <w:r w:rsidR="0022002F">
        <w:rPr>
          <w:sz w:val="24"/>
          <w:szCs w:val="24"/>
        </w:rPr>
        <w:t xml:space="preserve">the </w:t>
      </w:r>
      <w:r w:rsidR="00215AFB">
        <w:rPr>
          <w:sz w:val="24"/>
          <w:szCs w:val="24"/>
        </w:rPr>
        <w:t>geographical area where buyers and sellers can trade</w:t>
      </w:r>
      <w:r w:rsidR="000B52A1" w:rsidRPr="003D75FB">
        <w:rPr>
          <w:sz w:val="24"/>
          <w:szCs w:val="24"/>
        </w:rPr>
        <w:t>,</w:t>
      </w:r>
      <w:r w:rsidRPr="003D75FB">
        <w:rPr>
          <w:sz w:val="24"/>
          <w:szCs w:val="24"/>
        </w:rPr>
        <w:t xml:space="preserve"> </w:t>
      </w:r>
      <w:r w:rsidR="0022002F">
        <w:rPr>
          <w:sz w:val="24"/>
          <w:szCs w:val="24"/>
        </w:rPr>
        <w:t>effects</w:t>
      </w:r>
      <w:r w:rsidRPr="003D75FB">
        <w:rPr>
          <w:sz w:val="24"/>
          <w:szCs w:val="24"/>
        </w:rPr>
        <w:t xml:space="preserve"> the market equilibrium and subsequent economic surplus. We test this by dividing the original case study area </w:t>
      </w:r>
      <w:r w:rsidR="006D3E3A" w:rsidRPr="003D75FB">
        <w:rPr>
          <w:sz w:val="24"/>
          <w:szCs w:val="24"/>
        </w:rPr>
        <w:t xml:space="preserve">into the three </w:t>
      </w:r>
      <w:r w:rsidR="00215AFB">
        <w:rPr>
          <w:sz w:val="24"/>
          <w:szCs w:val="24"/>
        </w:rPr>
        <w:t>smaller service markets</w:t>
      </w:r>
      <w:r w:rsidR="006D3E3A" w:rsidRPr="003D75FB">
        <w:rPr>
          <w:sz w:val="24"/>
          <w:szCs w:val="24"/>
        </w:rPr>
        <w:t xml:space="preserve">, </w:t>
      </w:r>
      <w:r w:rsidR="0031701F">
        <w:rPr>
          <w:sz w:val="24"/>
          <w:szCs w:val="24"/>
        </w:rPr>
        <w:t>referred to here</w:t>
      </w:r>
      <w:r w:rsidR="0031701F" w:rsidRPr="003D75FB">
        <w:rPr>
          <w:sz w:val="24"/>
          <w:szCs w:val="24"/>
        </w:rPr>
        <w:t xml:space="preserve"> </w:t>
      </w:r>
      <w:r w:rsidR="006D3E3A" w:rsidRPr="003D75FB">
        <w:rPr>
          <w:sz w:val="24"/>
          <w:szCs w:val="24"/>
        </w:rPr>
        <w:t>as Planning</w:t>
      </w:r>
      <w:r w:rsidR="00B006A5">
        <w:rPr>
          <w:sz w:val="24"/>
          <w:szCs w:val="24"/>
        </w:rPr>
        <w:t xml:space="preserve"> areas</w:t>
      </w:r>
      <w:r w:rsidR="006D3E3A" w:rsidRPr="003D75FB">
        <w:rPr>
          <w:sz w:val="24"/>
          <w:szCs w:val="24"/>
        </w:rPr>
        <w:t xml:space="preserve"> 1, 2 and 3, which broadly align to the Local Authority planning areas found within the case study</w:t>
      </w:r>
      <w:r w:rsidRPr="003D75FB">
        <w:rPr>
          <w:sz w:val="24"/>
          <w:szCs w:val="24"/>
        </w:rPr>
        <w:t xml:space="preserve"> region</w:t>
      </w:r>
      <w:r w:rsidR="006D3E3A" w:rsidRPr="003D75FB">
        <w:rPr>
          <w:sz w:val="24"/>
          <w:szCs w:val="24"/>
        </w:rPr>
        <w:t xml:space="preserve">. </w:t>
      </w:r>
      <w:r w:rsidRPr="003D75FB">
        <w:rPr>
          <w:sz w:val="24"/>
          <w:szCs w:val="24"/>
        </w:rPr>
        <w:t xml:space="preserve">For this analysis, we focus solely on </w:t>
      </w:r>
      <w:r w:rsidR="00237892">
        <w:rPr>
          <w:sz w:val="24"/>
          <w:szCs w:val="24"/>
        </w:rPr>
        <w:t xml:space="preserve">the </w:t>
      </w:r>
      <w:r w:rsidRPr="003D75FB">
        <w:rPr>
          <w:sz w:val="24"/>
          <w:szCs w:val="24"/>
        </w:rPr>
        <w:t xml:space="preserve">oystercatcher policy target. </w:t>
      </w:r>
      <w:r w:rsidR="006D3E3A" w:rsidRPr="003D75FB">
        <w:rPr>
          <w:sz w:val="24"/>
          <w:szCs w:val="24"/>
        </w:rPr>
        <w:t>The model using the oystercatcher policy target was</w:t>
      </w:r>
      <w:r w:rsidR="000B52A1" w:rsidRPr="003D75FB">
        <w:rPr>
          <w:sz w:val="24"/>
          <w:szCs w:val="24"/>
        </w:rPr>
        <w:t xml:space="preserve"> thus</w:t>
      </w:r>
      <w:r w:rsidR="006D3E3A" w:rsidRPr="003D75FB">
        <w:rPr>
          <w:sz w:val="24"/>
          <w:szCs w:val="24"/>
        </w:rPr>
        <w:t xml:space="preserve"> re-run for </w:t>
      </w:r>
      <w:r w:rsidR="000B52A1" w:rsidRPr="003D75FB">
        <w:rPr>
          <w:sz w:val="24"/>
          <w:szCs w:val="24"/>
        </w:rPr>
        <w:t>each</w:t>
      </w:r>
      <w:r w:rsidR="006D3E3A" w:rsidRPr="003D75FB">
        <w:rPr>
          <w:sz w:val="24"/>
          <w:szCs w:val="24"/>
        </w:rPr>
        <w:t xml:space="preserve"> </w:t>
      </w:r>
      <w:r w:rsidR="00215AFB">
        <w:rPr>
          <w:sz w:val="24"/>
          <w:szCs w:val="24"/>
        </w:rPr>
        <w:t xml:space="preserve">of the three smaller service </w:t>
      </w:r>
      <w:proofErr w:type="gramStart"/>
      <w:r w:rsidR="00215AFB">
        <w:rPr>
          <w:sz w:val="24"/>
          <w:szCs w:val="24"/>
        </w:rPr>
        <w:t>areas</w:t>
      </w:r>
      <w:r w:rsidR="0031701F">
        <w:rPr>
          <w:sz w:val="24"/>
          <w:szCs w:val="24"/>
        </w:rPr>
        <w:t>, and</w:t>
      </w:r>
      <w:proofErr w:type="gramEnd"/>
      <w:r w:rsidR="0031701F">
        <w:rPr>
          <w:sz w:val="24"/>
          <w:szCs w:val="24"/>
        </w:rPr>
        <w:t xml:space="preserve"> compared to results from assuming the whole case study area operates as a single market</w:t>
      </w:r>
      <w:r w:rsidR="00215AFB">
        <w:rPr>
          <w:sz w:val="24"/>
          <w:szCs w:val="24"/>
        </w:rPr>
        <w:t xml:space="preserve">. </w:t>
      </w:r>
    </w:p>
    <w:p w14:paraId="03855458" w14:textId="2673CED3" w:rsidR="001F0471" w:rsidRDefault="006D3E3A">
      <w:pPr>
        <w:spacing w:line="480" w:lineRule="auto"/>
        <w:ind w:firstLine="0"/>
        <w:rPr>
          <w:sz w:val="24"/>
          <w:szCs w:val="24"/>
        </w:rPr>
      </w:pPr>
      <w:r w:rsidRPr="003D75FB">
        <w:rPr>
          <w:sz w:val="24"/>
          <w:szCs w:val="24"/>
        </w:rPr>
        <w:t>The first result</w:t>
      </w:r>
      <w:r w:rsidR="0022002F">
        <w:rPr>
          <w:sz w:val="24"/>
          <w:szCs w:val="24"/>
        </w:rPr>
        <w:t xml:space="preserve"> of</w:t>
      </w:r>
      <w:r w:rsidRPr="003D75FB">
        <w:rPr>
          <w:sz w:val="24"/>
          <w:szCs w:val="24"/>
        </w:rPr>
        <w:t xml:space="preserve"> </w:t>
      </w:r>
      <w:r w:rsidR="00215AFB">
        <w:rPr>
          <w:sz w:val="24"/>
          <w:szCs w:val="24"/>
        </w:rPr>
        <w:t>this</w:t>
      </w:r>
      <w:r w:rsidRPr="003D75FB">
        <w:rPr>
          <w:sz w:val="24"/>
          <w:szCs w:val="24"/>
        </w:rPr>
        <w:t xml:space="preserve"> </w:t>
      </w:r>
      <w:r w:rsidR="00237892">
        <w:rPr>
          <w:sz w:val="24"/>
          <w:szCs w:val="24"/>
        </w:rPr>
        <w:t xml:space="preserve">analysis </w:t>
      </w:r>
      <w:r w:rsidRPr="003D75FB">
        <w:rPr>
          <w:sz w:val="24"/>
          <w:szCs w:val="24"/>
        </w:rPr>
        <w:t xml:space="preserve">showed that market equilibrium was reached in </w:t>
      </w:r>
      <w:r w:rsidR="00237892">
        <w:rPr>
          <w:sz w:val="24"/>
          <w:szCs w:val="24"/>
        </w:rPr>
        <w:t xml:space="preserve">all three </w:t>
      </w:r>
      <w:r w:rsidR="00215AFB">
        <w:rPr>
          <w:sz w:val="24"/>
          <w:szCs w:val="24"/>
        </w:rPr>
        <w:t xml:space="preserve">planning areas </w:t>
      </w:r>
      <w:r w:rsidR="00237892">
        <w:rPr>
          <w:sz w:val="24"/>
          <w:szCs w:val="24"/>
        </w:rPr>
        <w:t xml:space="preserve">and no net loss of oystercatchers was achieved. </w:t>
      </w:r>
      <w:r w:rsidR="00B006A5">
        <w:rPr>
          <w:sz w:val="24"/>
          <w:szCs w:val="24"/>
        </w:rPr>
        <w:t>Planning area</w:t>
      </w:r>
      <w:r w:rsidR="00FB3A30" w:rsidRPr="003D75FB">
        <w:rPr>
          <w:sz w:val="24"/>
          <w:szCs w:val="24"/>
        </w:rPr>
        <w:t xml:space="preserve"> </w:t>
      </w:r>
      <w:r w:rsidRPr="003D75FB">
        <w:rPr>
          <w:sz w:val="24"/>
          <w:szCs w:val="24"/>
        </w:rPr>
        <w:t>1 had the lowest cost offset</w:t>
      </w:r>
      <w:r w:rsidR="00C302CA" w:rsidRPr="003D75FB">
        <w:rPr>
          <w:sz w:val="24"/>
          <w:szCs w:val="24"/>
        </w:rPr>
        <w:t xml:space="preserve"> at £771 per oystercatcher, distinctly </w:t>
      </w:r>
      <w:r w:rsidR="0031701F">
        <w:rPr>
          <w:sz w:val="24"/>
          <w:szCs w:val="24"/>
        </w:rPr>
        <w:t>lower</w:t>
      </w:r>
      <w:r w:rsidR="0031701F" w:rsidRPr="003D75FB">
        <w:rPr>
          <w:sz w:val="24"/>
          <w:szCs w:val="24"/>
        </w:rPr>
        <w:t xml:space="preserve"> </w:t>
      </w:r>
      <w:r w:rsidR="00C302CA" w:rsidRPr="003D75FB">
        <w:rPr>
          <w:sz w:val="24"/>
          <w:szCs w:val="24"/>
        </w:rPr>
        <w:t>than</w:t>
      </w:r>
      <w:r w:rsidR="001F0471" w:rsidRPr="003D75FB">
        <w:rPr>
          <w:sz w:val="24"/>
          <w:szCs w:val="24"/>
        </w:rPr>
        <w:t xml:space="preserve"> the</w:t>
      </w:r>
      <w:r w:rsidR="00657A02">
        <w:rPr>
          <w:sz w:val="24"/>
          <w:szCs w:val="24"/>
        </w:rPr>
        <w:t xml:space="preserve"> clearing price with no trading restrictions (</w:t>
      </w:r>
      <w:r w:rsidR="00657A02" w:rsidRPr="003D75FB">
        <w:rPr>
          <w:sz w:val="24"/>
          <w:szCs w:val="24"/>
        </w:rPr>
        <w:t>£21,978 per bird at market equilibrium</w:t>
      </w:r>
      <w:r w:rsidR="00657A02">
        <w:rPr>
          <w:sz w:val="24"/>
          <w:szCs w:val="24"/>
        </w:rPr>
        <w:t>)</w:t>
      </w:r>
      <w:r w:rsidR="00657A02" w:rsidRPr="003D75FB">
        <w:rPr>
          <w:sz w:val="24"/>
          <w:szCs w:val="24"/>
        </w:rPr>
        <w:t xml:space="preserve">. </w:t>
      </w:r>
      <w:r w:rsidR="001F0471" w:rsidRPr="003D75FB">
        <w:rPr>
          <w:sz w:val="24"/>
          <w:szCs w:val="24"/>
        </w:rPr>
        <w:t xml:space="preserve">Within </w:t>
      </w:r>
      <w:r w:rsidR="00B006A5">
        <w:rPr>
          <w:sz w:val="24"/>
          <w:szCs w:val="24"/>
        </w:rPr>
        <w:t>Planning area</w:t>
      </w:r>
      <w:r w:rsidR="001F0471" w:rsidRPr="003D75FB">
        <w:rPr>
          <w:sz w:val="24"/>
          <w:szCs w:val="24"/>
        </w:rPr>
        <w:t xml:space="preserve"> 1</w:t>
      </w:r>
      <w:r w:rsidR="0031701F">
        <w:rPr>
          <w:sz w:val="24"/>
          <w:szCs w:val="24"/>
        </w:rPr>
        <w:t>,</w:t>
      </w:r>
      <w:r w:rsidR="001F0471" w:rsidRPr="003D75FB">
        <w:rPr>
          <w:sz w:val="24"/>
          <w:szCs w:val="24"/>
        </w:rPr>
        <w:t xml:space="preserve"> t</w:t>
      </w:r>
      <w:r w:rsidR="0022002F">
        <w:rPr>
          <w:sz w:val="24"/>
          <w:szCs w:val="24"/>
        </w:rPr>
        <w:t>wo land parcels</w:t>
      </w:r>
      <w:r w:rsidR="001F0471" w:rsidRPr="003D75FB">
        <w:rPr>
          <w:sz w:val="24"/>
          <w:szCs w:val="24"/>
        </w:rPr>
        <w:t xml:space="preserve"> provide</w:t>
      </w:r>
      <w:r w:rsidR="0022002F">
        <w:rPr>
          <w:sz w:val="24"/>
          <w:szCs w:val="24"/>
        </w:rPr>
        <w:t>d</w:t>
      </w:r>
      <w:r w:rsidR="001F0471" w:rsidRPr="003D75FB">
        <w:rPr>
          <w:sz w:val="24"/>
          <w:szCs w:val="24"/>
        </w:rPr>
        <w:t xml:space="preserve"> </w:t>
      </w:r>
      <w:r w:rsidR="00C302CA" w:rsidRPr="003D75FB">
        <w:rPr>
          <w:sz w:val="24"/>
          <w:szCs w:val="24"/>
        </w:rPr>
        <w:t xml:space="preserve">a high number of </w:t>
      </w:r>
      <w:r w:rsidR="001F0471" w:rsidRPr="003D75FB">
        <w:rPr>
          <w:sz w:val="24"/>
          <w:szCs w:val="24"/>
        </w:rPr>
        <w:t>“</w:t>
      </w:r>
      <w:r w:rsidR="00C302CA" w:rsidRPr="003D75FB">
        <w:rPr>
          <w:sz w:val="24"/>
          <w:szCs w:val="24"/>
        </w:rPr>
        <w:t>cheap</w:t>
      </w:r>
      <w:r w:rsidR="001F0471" w:rsidRPr="003D75FB">
        <w:rPr>
          <w:sz w:val="24"/>
          <w:szCs w:val="24"/>
        </w:rPr>
        <w:t>”</w:t>
      </w:r>
      <w:r w:rsidR="00C302CA" w:rsidRPr="003D75FB">
        <w:rPr>
          <w:sz w:val="24"/>
          <w:szCs w:val="24"/>
        </w:rPr>
        <w:t xml:space="preserve"> </w:t>
      </w:r>
      <w:proofErr w:type="gramStart"/>
      <w:r w:rsidR="00C302CA" w:rsidRPr="003D75FB">
        <w:rPr>
          <w:sz w:val="24"/>
          <w:szCs w:val="24"/>
        </w:rPr>
        <w:t>oystercatcher</w:t>
      </w:r>
      <w:proofErr w:type="gramEnd"/>
      <w:r w:rsidR="00C302CA" w:rsidRPr="003D75FB">
        <w:rPr>
          <w:sz w:val="24"/>
          <w:szCs w:val="24"/>
        </w:rPr>
        <w:t xml:space="preserve"> offset credits (35 in total) </w:t>
      </w:r>
      <w:r w:rsidR="001F0471" w:rsidRPr="003D75FB">
        <w:rPr>
          <w:sz w:val="24"/>
          <w:szCs w:val="24"/>
        </w:rPr>
        <w:t xml:space="preserve">which are sold to </w:t>
      </w:r>
      <w:r w:rsidR="00C302CA" w:rsidRPr="003D75FB">
        <w:rPr>
          <w:sz w:val="24"/>
          <w:szCs w:val="24"/>
        </w:rPr>
        <w:t>74 developers</w:t>
      </w:r>
      <w:r w:rsidR="001F0471" w:rsidRPr="003D75FB">
        <w:rPr>
          <w:sz w:val="24"/>
          <w:szCs w:val="24"/>
        </w:rPr>
        <w:t xml:space="preserve">.  </w:t>
      </w:r>
      <w:r w:rsidR="0022002F">
        <w:rPr>
          <w:sz w:val="24"/>
          <w:szCs w:val="24"/>
        </w:rPr>
        <w:t>Also</w:t>
      </w:r>
      <w:r w:rsidR="00712941" w:rsidRPr="003D75FB">
        <w:rPr>
          <w:sz w:val="24"/>
          <w:szCs w:val="24"/>
        </w:rPr>
        <w:t>,</w:t>
      </w:r>
      <w:r w:rsidR="00C302CA" w:rsidRPr="003D75FB">
        <w:rPr>
          <w:sz w:val="24"/>
          <w:szCs w:val="24"/>
        </w:rPr>
        <w:t xml:space="preserve"> a high proportion of </w:t>
      </w:r>
      <w:r w:rsidR="009719EC" w:rsidRPr="003D75FB">
        <w:rPr>
          <w:sz w:val="24"/>
          <w:szCs w:val="24"/>
        </w:rPr>
        <w:t>development</w:t>
      </w:r>
      <w:r w:rsidR="00C302CA" w:rsidRPr="003D75FB">
        <w:rPr>
          <w:sz w:val="24"/>
          <w:szCs w:val="24"/>
        </w:rPr>
        <w:t xml:space="preserve"> takes place </w:t>
      </w:r>
      <w:r w:rsidR="001F0471" w:rsidRPr="003D75FB">
        <w:rPr>
          <w:sz w:val="24"/>
          <w:szCs w:val="24"/>
        </w:rPr>
        <w:t>on land parcels which do not require offset credits (33 parcels).</w:t>
      </w:r>
      <w:r w:rsidR="009719EC" w:rsidRPr="003D75FB">
        <w:rPr>
          <w:sz w:val="24"/>
          <w:szCs w:val="24"/>
        </w:rPr>
        <w:t xml:space="preserve"> </w:t>
      </w:r>
      <w:r w:rsidR="00C302CA" w:rsidRPr="003D75FB">
        <w:rPr>
          <w:sz w:val="24"/>
          <w:szCs w:val="24"/>
        </w:rPr>
        <w:t xml:space="preserve"> </w:t>
      </w:r>
      <w:r w:rsidR="00712941" w:rsidRPr="003D75FB">
        <w:rPr>
          <w:sz w:val="24"/>
          <w:szCs w:val="24"/>
        </w:rPr>
        <w:t>The e</w:t>
      </w:r>
      <w:r w:rsidR="009719EC" w:rsidRPr="003D75FB">
        <w:rPr>
          <w:sz w:val="24"/>
          <w:szCs w:val="24"/>
        </w:rPr>
        <w:t xml:space="preserve">conomic surplus for the offset suppliers was approximately 10% of the economic surplus of the developers (£300,000). </w:t>
      </w:r>
      <w:r w:rsidR="001F0471" w:rsidRPr="003D75FB">
        <w:rPr>
          <w:sz w:val="24"/>
          <w:szCs w:val="24"/>
        </w:rPr>
        <w:t xml:space="preserve">Comparing development in the full market with </w:t>
      </w:r>
      <w:r w:rsidR="00DD6AB2" w:rsidRPr="003D75FB">
        <w:rPr>
          <w:sz w:val="24"/>
          <w:szCs w:val="24"/>
        </w:rPr>
        <w:t xml:space="preserve">the </w:t>
      </w:r>
      <w:r w:rsidR="001F0471" w:rsidRPr="003D75FB">
        <w:rPr>
          <w:sz w:val="24"/>
          <w:szCs w:val="24"/>
        </w:rPr>
        <w:t xml:space="preserve">development in </w:t>
      </w:r>
      <w:r w:rsidR="00B006A5">
        <w:rPr>
          <w:sz w:val="24"/>
          <w:szCs w:val="24"/>
        </w:rPr>
        <w:t>Planning area</w:t>
      </w:r>
      <w:r w:rsidR="001F0471" w:rsidRPr="003D75FB">
        <w:rPr>
          <w:sz w:val="24"/>
          <w:szCs w:val="24"/>
        </w:rPr>
        <w:t xml:space="preserve"> 1, we can see more development takes place in </w:t>
      </w:r>
      <w:r w:rsidR="00B006A5">
        <w:rPr>
          <w:sz w:val="24"/>
          <w:szCs w:val="24"/>
        </w:rPr>
        <w:t>Planning area</w:t>
      </w:r>
      <w:r w:rsidR="001F0471" w:rsidRPr="003D75FB">
        <w:rPr>
          <w:sz w:val="24"/>
          <w:szCs w:val="24"/>
        </w:rPr>
        <w:t xml:space="preserve"> 1, compared with the same area in the full market (Figure </w:t>
      </w:r>
      <w:r w:rsidR="00DB1001" w:rsidRPr="003D75FB">
        <w:rPr>
          <w:sz w:val="24"/>
          <w:szCs w:val="24"/>
        </w:rPr>
        <w:t>5</w:t>
      </w:r>
      <w:r w:rsidR="001F0471" w:rsidRPr="003D75FB">
        <w:rPr>
          <w:sz w:val="24"/>
          <w:szCs w:val="24"/>
        </w:rPr>
        <w:t xml:space="preserve">). </w:t>
      </w:r>
    </w:p>
    <w:p w14:paraId="13E25E90" w14:textId="4F01C981" w:rsidR="00497E5E" w:rsidRDefault="005A373D" w:rsidP="005A373D">
      <w:pPr>
        <w:spacing w:line="480" w:lineRule="auto"/>
        <w:ind w:firstLine="0"/>
        <w:jc w:val="center"/>
      </w:pPr>
      <w:r w:rsidRPr="005A373D">
        <w:rPr>
          <w:b/>
          <w:bCs/>
          <w:sz w:val="24"/>
          <w:szCs w:val="24"/>
          <w:lang w:val="gd-GB"/>
        </w:rPr>
        <w:lastRenderedPageBreak/>
        <w:t>[Insert Figure 5 here]</w:t>
      </w:r>
    </w:p>
    <w:p w14:paraId="0B07E81D" w14:textId="74A04488" w:rsidR="001F0471" w:rsidRPr="003D75FB" w:rsidRDefault="00B006A5" w:rsidP="003D75FB">
      <w:pPr>
        <w:spacing w:line="480" w:lineRule="auto"/>
        <w:ind w:firstLine="0"/>
        <w:rPr>
          <w:sz w:val="24"/>
          <w:szCs w:val="24"/>
        </w:rPr>
      </w:pPr>
      <w:r>
        <w:rPr>
          <w:sz w:val="24"/>
          <w:szCs w:val="24"/>
        </w:rPr>
        <w:t>Planning area</w:t>
      </w:r>
      <w:r w:rsidR="00FB3A30" w:rsidRPr="003D75FB">
        <w:rPr>
          <w:sz w:val="24"/>
          <w:szCs w:val="24"/>
        </w:rPr>
        <w:t xml:space="preserve"> </w:t>
      </w:r>
      <w:r w:rsidR="009719EC" w:rsidRPr="003D75FB">
        <w:rPr>
          <w:sz w:val="24"/>
          <w:szCs w:val="24"/>
        </w:rPr>
        <w:t>2 had the highest market</w:t>
      </w:r>
      <w:r w:rsidR="00DD6AB2" w:rsidRPr="003D75FB">
        <w:rPr>
          <w:sz w:val="24"/>
          <w:szCs w:val="24"/>
        </w:rPr>
        <w:t>-</w:t>
      </w:r>
      <w:r w:rsidR="009719EC" w:rsidRPr="003D75FB">
        <w:rPr>
          <w:sz w:val="24"/>
          <w:szCs w:val="24"/>
        </w:rPr>
        <w:t xml:space="preserve">clearing price for </w:t>
      </w:r>
      <w:r w:rsidR="001F0471" w:rsidRPr="003D75FB">
        <w:rPr>
          <w:sz w:val="24"/>
          <w:szCs w:val="24"/>
        </w:rPr>
        <w:t xml:space="preserve">the oystercatcher </w:t>
      </w:r>
      <w:r w:rsidR="009719EC" w:rsidRPr="003D75FB">
        <w:rPr>
          <w:sz w:val="24"/>
          <w:szCs w:val="24"/>
        </w:rPr>
        <w:t xml:space="preserve">offsets at £39,632 per </w:t>
      </w:r>
      <w:r w:rsidR="001F0471" w:rsidRPr="003D75FB">
        <w:rPr>
          <w:sz w:val="24"/>
          <w:szCs w:val="24"/>
        </w:rPr>
        <w:t>bird. 32 land parcels bec</w:t>
      </w:r>
      <w:r w:rsidR="00237892">
        <w:rPr>
          <w:sz w:val="24"/>
          <w:szCs w:val="24"/>
        </w:rPr>
        <w:t>a</w:t>
      </w:r>
      <w:r w:rsidR="001F0471" w:rsidRPr="003D75FB">
        <w:rPr>
          <w:sz w:val="24"/>
          <w:szCs w:val="24"/>
        </w:rPr>
        <w:t xml:space="preserve">me oystercatcher supply sites, which in total supplied 41 oystercatcher credits (on average 1.3 oystercatchers supplied per parcel). This is significantly smaller than the number of offsets supplied per land parcel compared to Planning Areas 1 and 3 (on average 17.5 per parcel and 8.1 per parcel respectively). Compared to </w:t>
      </w:r>
      <w:r w:rsidR="0022002F">
        <w:rPr>
          <w:sz w:val="24"/>
          <w:szCs w:val="24"/>
        </w:rPr>
        <w:t xml:space="preserve">the </w:t>
      </w:r>
      <w:r w:rsidR="00657A02">
        <w:rPr>
          <w:sz w:val="24"/>
          <w:szCs w:val="24"/>
        </w:rPr>
        <w:t>model with no restrictions on trading</w:t>
      </w:r>
      <w:r w:rsidR="001F0471" w:rsidRPr="003D75FB">
        <w:rPr>
          <w:sz w:val="24"/>
          <w:szCs w:val="24"/>
        </w:rPr>
        <w:t xml:space="preserve">, there is significantly less development taking place in </w:t>
      </w:r>
      <w:r>
        <w:rPr>
          <w:sz w:val="24"/>
          <w:szCs w:val="24"/>
        </w:rPr>
        <w:t>Planning area</w:t>
      </w:r>
      <w:r w:rsidR="001F0471" w:rsidRPr="003D75FB">
        <w:rPr>
          <w:sz w:val="24"/>
          <w:szCs w:val="24"/>
        </w:rPr>
        <w:t xml:space="preserve"> 2, as a result of the increase in the price of an oystercatcher credit. </w:t>
      </w:r>
    </w:p>
    <w:p w14:paraId="4A60AB5E" w14:textId="7E66BCCF" w:rsidR="00237892" w:rsidRDefault="00B006A5">
      <w:pPr>
        <w:spacing w:line="480" w:lineRule="auto"/>
        <w:ind w:firstLine="0"/>
        <w:rPr>
          <w:sz w:val="24"/>
          <w:szCs w:val="24"/>
        </w:rPr>
      </w:pPr>
      <w:r>
        <w:rPr>
          <w:sz w:val="24"/>
          <w:szCs w:val="24"/>
        </w:rPr>
        <w:t>Planning area</w:t>
      </w:r>
      <w:r w:rsidR="00FB3A30" w:rsidRPr="003D75FB">
        <w:rPr>
          <w:sz w:val="24"/>
          <w:szCs w:val="24"/>
        </w:rPr>
        <w:t xml:space="preserve"> </w:t>
      </w:r>
      <w:r w:rsidR="00631521" w:rsidRPr="003D75FB">
        <w:rPr>
          <w:sz w:val="24"/>
          <w:szCs w:val="24"/>
        </w:rPr>
        <w:t xml:space="preserve">3 had the greatest number of </w:t>
      </w:r>
      <w:r w:rsidR="001F0471" w:rsidRPr="003D75FB">
        <w:rPr>
          <w:sz w:val="24"/>
          <w:szCs w:val="24"/>
        </w:rPr>
        <w:t xml:space="preserve">land parcels requiring an offset (302), </w:t>
      </w:r>
      <w:r w:rsidR="00631521" w:rsidRPr="003D75FB">
        <w:rPr>
          <w:sz w:val="24"/>
          <w:szCs w:val="24"/>
        </w:rPr>
        <w:t>with a</w:t>
      </w:r>
      <w:r w:rsidR="001F0471" w:rsidRPr="003D75FB">
        <w:rPr>
          <w:sz w:val="24"/>
          <w:szCs w:val="24"/>
        </w:rPr>
        <w:t xml:space="preserve"> market</w:t>
      </w:r>
      <w:r w:rsidR="00DD6AB2" w:rsidRPr="003D75FB">
        <w:rPr>
          <w:sz w:val="24"/>
          <w:szCs w:val="24"/>
        </w:rPr>
        <w:t>-</w:t>
      </w:r>
      <w:r w:rsidR="00631521" w:rsidRPr="003D75FB">
        <w:rPr>
          <w:sz w:val="24"/>
          <w:szCs w:val="24"/>
        </w:rPr>
        <w:t>clearing price of £26,699</w:t>
      </w:r>
      <w:r w:rsidR="001F0471" w:rsidRPr="003D75FB">
        <w:rPr>
          <w:sz w:val="24"/>
          <w:szCs w:val="24"/>
        </w:rPr>
        <w:t xml:space="preserve"> per oystercatcher credit</w:t>
      </w:r>
      <w:r w:rsidR="00631521" w:rsidRPr="003D75FB">
        <w:rPr>
          <w:sz w:val="24"/>
          <w:szCs w:val="24"/>
        </w:rPr>
        <w:t xml:space="preserve">. The </w:t>
      </w:r>
      <w:r w:rsidR="0022002F">
        <w:rPr>
          <w:sz w:val="24"/>
          <w:szCs w:val="24"/>
        </w:rPr>
        <w:t xml:space="preserve">resulting </w:t>
      </w:r>
      <w:r w:rsidR="00631521" w:rsidRPr="003D75FB">
        <w:rPr>
          <w:sz w:val="24"/>
          <w:szCs w:val="24"/>
        </w:rPr>
        <w:t xml:space="preserve">distribution of housing developments in </w:t>
      </w:r>
      <w:r>
        <w:rPr>
          <w:sz w:val="24"/>
          <w:szCs w:val="24"/>
        </w:rPr>
        <w:t>Planning area</w:t>
      </w:r>
      <w:r w:rsidR="0022002F">
        <w:rPr>
          <w:sz w:val="24"/>
          <w:szCs w:val="24"/>
        </w:rPr>
        <w:t xml:space="preserve"> </w:t>
      </w:r>
      <w:r w:rsidR="001F0471" w:rsidRPr="003D75FB">
        <w:rPr>
          <w:sz w:val="24"/>
          <w:szCs w:val="24"/>
        </w:rPr>
        <w:t xml:space="preserve">3 is </w:t>
      </w:r>
      <w:r w:rsidR="00631521" w:rsidRPr="003D75FB">
        <w:rPr>
          <w:sz w:val="24"/>
          <w:szCs w:val="24"/>
        </w:rPr>
        <w:t>broa</w:t>
      </w:r>
      <w:r w:rsidR="001F0471" w:rsidRPr="003D75FB">
        <w:rPr>
          <w:sz w:val="24"/>
          <w:szCs w:val="24"/>
        </w:rPr>
        <w:t xml:space="preserve">dly </w:t>
      </w:r>
      <w:r w:rsidR="0022002F">
        <w:rPr>
          <w:sz w:val="24"/>
          <w:szCs w:val="24"/>
        </w:rPr>
        <w:t>the</w:t>
      </w:r>
      <w:r w:rsidR="0031701F">
        <w:rPr>
          <w:sz w:val="24"/>
          <w:szCs w:val="24"/>
        </w:rPr>
        <w:t xml:space="preserve"> same as</w:t>
      </w:r>
      <w:r w:rsidR="0022002F">
        <w:rPr>
          <w:sz w:val="24"/>
          <w:szCs w:val="24"/>
        </w:rPr>
        <w:t xml:space="preserve"> results of the </w:t>
      </w:r>
      <w:r w:rsidR="0031701F">
        <w:rPr>
          <w:sz w:val="24"/>
          <w:szCs w:val="24"/>
        </w:rPr>
        <w:t xml:space="preserve">single market </w:t>
      </w:r>
      <w:r w:rsidR="00657A02">
        <w:rPr>
          <w:sz w:val="24"/>
          <w:szCs w:val="24"/>
        </w:rPr>
        <w:t>model</w:t>
      </w:r>
      <w:r w:rsidR="001F0471" w:rsidRPr="003D75FB">
        <w:rPr>
          <w:sz w:val="24"/>
          <w:szCs w:val="24"/>
        </w:rPr>
        <w:t xml:space="preserve">. </w:t>
      </w:r>
      <w:r w:rsidR="00631521" w:rsidRPr="003D75FB">
        <w:rPr>
          <w:sz w:val="24"/>
          <w:szCs w:val="24"/>
        </w:rPr>
        <w:t xml:space="preserve">This similarity is a result of </w:t>
      </w:r>
      <w:r>
        <w:rPr>
          <w:sz w:val="24"/>
          <w:szCs w:val="24"/>
        </w:rPr>
        <w:t>Planning area</w:t>
      </w:r>
      <w:r w:rsidR="00FB3A30" w:rsidRPr="003D75FB">
        <w:rPr>
          <w:sz w:val="24"/>
          <w:szCs w:val="24"/>
        </w:rPr>
        <w:t xml:space="preserve"> </w:t>
      </w:r>
      <w:r w:rsidR="00631521" w:rsidRPr="003D75FB">
        <w:rPr>
          <w:sz w:val="24"/>
          <w:szCs w:val="24"/>
        </w:rPr>
        <w:t xml:space="preserve">3 containing </w:t>
      </w:r>
      <w:proofErr w:type="gramStart"/>
      <w:r w:rsidR="00631521" w:rsidRPr="003D75FB">
        <w:rPr>
          <w:sz w:val="24"/>
          <w:szCs w:val="24"/>
        </w:rPr>
        <w:t>the majority of</w:t>
      </w:r>
      <w:proofErr w:type="gramEnd"/>
      <w:r w:rsidR="00631521" w:rsidRPr="003D75FB">
        <w:rPr>
          <w:sz w:val="24"/>
          <w:szCs w:val="24"/>
        </w:rPr>
        <w:t xml:space="preserve"> the </w:t>
      </w:r>
      <w:r w:rsidR="001F0471" w:rsidRPr="003D75FB">
        <w:rPr>
          <w:sz w:val="24"/>
          <w:szCs w:val="24"/>
        </w:rPr>
        <w:t xml:space="preserve">land parcels which supply offsets in the </w:t>
      </w:r>
      <w:r w:rsidR="0031701F">
        <w:rPr>
          <w:sz w:val="24"/>
          <w:szCs w:val="24"/>
        </w:rPr>
        <w:t>single market</w:t>
      </w:r>
      <w:r w:rsidR="00657A02">
        <w:rPr>
          <w:sz w:val="24"/>
          <w:szCs w:val="24"/>
        </w:rPr>
        <w:t xml:space="preserve"> scenario. </w:t>
      </w:r>
      <w:r w:rsidR="001F0471" w:rsidRPr="003D75FB">
        <w:rPr>
          <w:sz w:val="24"/>
          <w:szCs w:val="24"/>
        </w:rPr>
        <w:t xml:space="preserve"> </w:t>
      </w:r>
    </w:p>
    <w:p w14:paraId="0BB0B35E" w14:textId="2971CA72" w:rsidR="00BF5137" w:rsidRDefault="00026F69" w:rsidP="003D75FB">
      <w:pPr>
        <w:spacing w:line="480" w:lineRule="auto"/>
        <w:ind w:firstLine="0"/>
        <w:rPr>
          <w:sz w:val="24"/>
          <w:szCs w:val="24"/>
        </w:rPr>
      </w:pPr>
      <w:r>
        <w:rPr>
          <w:sz w:val="24"/>
          <w:szCs w:val="24"/>
        </w:rPr>
        <w:t xml:space="preserve">We can compare the </w:t>
      </w:r>
      <w:r w:rsidR="00631521" w:rsidRPr="003D75FB">
        <w:rPr>
          <w:sz w:val="24"/>
          <w:szCs w:val="24"/>
        </w:rPr>
        <w:t>economic surplus</w:t>
      </w:r>
      <w:r>
        <w:rPr>
          <w:sz w:val="24"/>
          <w:szCs w:val="24"/>
        </w:rPr>
        <w:t xml:space="preserve"> generated for the three planning areas with the surplus generated for the market with no geographic trading restrictions. </w:t>
      </w:r>
      <w:r w:rsidR="00631521" w:rsidRPr="003D75FB">
        <w:rPr>
          <w:sz w:val="24"/>
          <w:szCs w:val="24"/>
        </w:rPr>
        <w:t xml:space="preserve"> </w:t>
      </w:r>
      <w:r>
        <w:rPr>
          <w:sz w:val="24"/>
          <w:szCs w:val="24"/>
        </w:rPr>
        <w:t xml:space="preserve">Restricting trading within the planning regions </w:t>
      </w:r>
      <w:r w:rsidR="001F0471" w:rsidRPr="003D75FB">
        <w:rPr>
          <w:sz w:val="24"/>
          <w:szCs w:val="24"/>
        </w:rPr>
        <w:t>offers a small increase in</w:t>
      </w:r>
      <w:r w:rsidR="00631521" w:rsidRPr="003D75FB">
        <w:rPr>
          <w:sz w:val="24"/>
          <w:szCs w:val="24"/>
        </w:rPr>
        <w:t xml:space="preserve"> the total surplus for offset suppliers </w:t>
      </w:r>
      <w:r w:rsidR="001F0471" w:rsidRPr="003D75FB">
        <w:rPr>
          <w:sz w:val="24"/>
          <w:szCs w:val="24"/>
        </w:rPr>
        <w:t>of approximately £8000. This is due to the</w:t>
      </w:r>
      <w:r w:rsidR="00631521" w:rsidRPr="003D75FB">
        <w:rPr>
          <w:sz w:val="24"/>
          <w:szCs w:val="24"/>
        </w:rPr>
        <w:t xml:space="preserve"> increase</w:t>
      </w:r>
      <w:r w:rsidR="00BF5137" w:rsidRPr="003D75FB">
        <w:rPr>
          <w:sz w:val="24"/>
          <w:szCs w:val="24"/>
        </w:rPr>
        <w:t xml:space="preserve"> i</w:t>
      </w:r>
      <w:r w:rsidR="00631521" w:rsidRPr="003D75FB">
        <w:rPr>
          <w:sz w:val="24"/>
          <w:szCs w:val="24"/>
        </w:rPr>
        <w:t xml:space="preserve">n the additional </w:t>
      </w:r>
      <w:r w:rsidR="001F0471" w:rsidRPr="003D75FB">
        <w:rPr>
          <w:sz w:val="24"/>
          <w:szCs w:val="24"/>
        </w:rPr>
        <w:t xml:space="preserve">land parcels supplying offsets </w:t>
      </w:r>
      <w:r w:rsidR="00631521" w:rsidRPr="003D75FB">
        <w:rPr>
          <w:sz w:val="24"/>
          <w:szCs w:val="24"/>
        </w:rPr>
        <w:t xml:space="preserve">in </w:t>
      </w:r>
      <w:r w:rsidR="00B006A5">
        <w:rPr>
          <w:sz w:val="24"/>
          <w:szCs w:val="24"/>
        </w:rPr>
        <w:t>Planning area</w:t>
      </w:r>
      <w:r w:rsidR="001F0471" w:rsidRPr="003D75FB">
        <w:rPr>
          <w:sz w:val="24"/>
          <w:szCs w:val="24"/>
        </w:rPr>
        <w:t xml:space="preserve"> 3 and </w:t>
      </w:r>
      <w:r w:rsidR="00631521" w:rsidRPr="003D75FB">
        <w:rPr>
          <w:sz w:val="24"/>
          <w:szCs w:val="24"/>
        </w:rPr>
        <w:t xml:space="preserve">the increase in market clearing price for </w:t>
      </w:r>
      <w:r w:rsidR="00B006A5">
        <w:rPr>
          <w:sz w:val="24"/>
          <w:szCs w:val="24"/>
        </w:rPr>
        <w:t>Planning area</w:t>
      </w:r>
      <w:r w:rsidR="001F0471" w:rsidRPr="003D75FB">
        <w:rPr>
          <w:sz w:val="24"/>
          <w:szCs w:val="24"/>
        </w:rPr>
        <w:t>s 2 and 3</w:t>
      </w:r>
      <w:r w:rsidR="00631521" w:rsidRPr="003D75FB">
        <w:rPr>
          <w:sz w:val="24"/>
          <w:szCs w:val="24"/>
        </w:rPr>
        <w:t xml:space="preserve"> compared to the </w:t>
      </w:r>
      <w:r>
        <w:rPr>
          <w:sz w:val="24"/>
          <w:szCs w:val="24"/>
        </w:rPr>
        <w:t>no restriction model</w:t>
      </w:r>
      <w:r w:rsidR="00631521" w:rsidRPr="003D75FB">
        <w:rPr>
          <w:sz w:val="24"/>
          <w:szCs w:val="24"/>
        </w:rPr>
        <w:t xml:space="preserve">. </w:t>
      </w:r>
      <w:r>
        <w:rPr>
          <w:sz w:val="24"/>
          <w:szCs w:val="24"/>
        </w:rPr>
        <w:t xml:space="preserve">In contrast, </w:t>
      </w:r>
      <w:r w:rsidR="0022002F">
        <w:rPr>
          <w:sz w:val="24"/>
          <w:szCs w:val="24"/>
        </w:rPr>
        <w:t xml:space="preserve">the </w:t>
      </w:r>
      <w:r>
        <w:rPr>
          <w:sz w:val="24"/>
          <w:szCs w:val="24"/>
        </w:rPr>
        <w:t>s</w:t>
      </w:r>
      <w:r w:rsidR="00631521" w:rsidRPr="003D75FB">
        <w:rPr>
          <w:sz w:val="24"/>
          <w:szCs w:val="24"/>
        </w:rPr>
        <w:t xml:space="preserve">urplus for housing developers reduces by </w:t>
      </w:r>
      <w:r w:rsidR="00F92877" w:rsidRPr="003D75FB">
        <w:rPr>
          <w:sz w:val="24"/>
          <w:szCs w:val="24"/>
        </w:rPr>
        <w:t xml:space="preserve">£5,000 </w:t>
      </w:r>
      <w:r w:rsidR="00BF5137" w:rsidRPr="003D75FB">
        <w:rPr>
          <w:sz w:val="24"/>
          <w:szCs w:val="24"/>
        </w:rPr>
        <w:t>(Figure 6).</w:t>
      </w:r>
    </w:p>
    <w:p w14:paraId="0D7042EF" w14:textId="28EBC705" w:rsidR="005A373D" w:rsidRPr="005A373D" w:rsidRDefault="005A373D" w:rsidP="005A373D">
      <w:pPr>
        <w:spacing w:line="480" w:lineRule="auto"/>
        <w:ind w:firstLine="0"/>
        <w:jc w:val="center"/>
        <w:rPr>
          <w:b/>
          <w:bCs/>
          <w:sz w:val="24"/>
          <w:szCs w:val="24"/>
        </w:rPr>
      </w:pPr>
      <w:r w:rsidRPr="005A373D">
        <w:rPr>
          <w:b/>
          <w:bCs/>
          <w:sz w:val="24"/>
          <w:szCs w:val="24"/>
        </w:rPr>
        <w:t xml:space="preserve">[Insert Figure </w:t>
      </w:r>
      <w:r w:rsidR="00CC3645">
        <w:rPr>
          <w:b/>
          <w:bCs/>
          <w:sz w:val="24"/>
          <w:szCs w:val="24"/>
        </w:rPr>
        <w:t>6</w:t>
      </w:r>
      <w:r w:rsidRPr="005A373D">
        <w:rPr>
          <w:b/>
          <w:bCs/>
          <w:sz w:val="24"/>
          <w:szCs w:val="24"/>
        </w:rPr>
        <w:t xml:space="preserve"> here]</w:t>
      </w:r>
    </w:p>
    <w:p w14:paraId="31B3AFF6" w14:textId="5FF15511" w:rsidR="00F92877" w:rsidRPr="003D75FB" w:rsidRDefault="00237892" w:rsidP="00592FA4">
      <w:pPr>
        <w:spacing w:line="480" w:lineRule="auto"/>
        <w:ind w:firstLine="0"/>
        <w:rPr>
          <w:sz w:val="24"/>
          <w:szCs w:val="24"/>
        </w:rPr>
      </w:pPr>
      <w:bookmarkStart w:id="44" w:name="_Hlk46405616"/>
      <w:r>
        <w:rPr>
          <w:sz w:val="24"/>
          <w:szCs w:val="24"/>
        </w:rPr>
        <w:t>F</w:t>
      </w:r>
      <w:r w:rsidR="001F0471" w:rsidRPr="003D75FB">
        <w:rPr>
          <w:sz w:val="24"/>
          <w:szCs w:val="24"/>
        </w:rPr>
        <w:t xml:space="preserve">rom an ecological viewpoint, </w:t>
      </w:r>
      <w:r w:rsidR="00026F69">
        <w:rPr>
          <w:sz w:val="24"/>
          <w:szCs w:val="24"/>
        </w:rPr>
        <w:t>restricting the spatial area for trading is</w:t>
      </w:r>
      <w:r w:rsidR="00F92877" w:rsidRPr="003D75FB">
        <w:rPr>
          <w:sz w:val="24"/>
          <w:szCs w:val="24"/>
        </w:rPr>
        <w:t xml:space="preserve"> beneficial to </w:t>
      </w:r>
      <w:r w:rsidR="001F0471" w:rsidRPr="003D75FB">
        <w:rPr>
          <w:sz w:val="24"/>
          <w:szCs w:val="24"/>
        </w:rPr>
        <w:t>the non-target species (</w:t>
      </w:r>
      <w:r w:rsidR="00F92877" w:rsidRPr="003D75FB">
        <w:rPr>
          <w:sz w:val="24"/>
          <w:szCs w:val="24"/>
        </w:rPr>
        <w:t>curlew</w:t>
      </w:r>
      <w:r w:rsidR="001F0471" w:rsidRPr="003D75FB">
        <w:rPr>
          <w:sz w:val="24"/>
          <w:szCs w:val="24"/>
        </w:rPr>
        <w:t>s</w:t>
      </w:r>
      <w:r w:rsidR="00F92877" w:rsidRPr="003D75FB">
        <w:rPr>
          <w:sz w:val="24"/>
          <w:szCs w:val="24"/>
        </w:rPr>
        <w:t xml:space="preserve"> and lapwings</w:t>
      </w:r>
      <w:r w:rsidR="001F0471" w:rsidRPr="003D75FB">
        <w:rPr>
          <w:sz w:val="24"/>
          <w:szCs w:val="24"/>
        </w:rPr>
        <w:t>).</w:t>
      </w:r>
      <w:r w:rsidR="00F92877" w:rsidRPr="003D75FB">
        <w:rPr>
          <w:sz w:val="24"/>
          <w:szCs w:val="24"/>
        </w:rPr>
        <w:t xml:space="preserve"> </w:t>
      </w:r>
      <w:r w:rsidR="00356871">
        <w:rPr>
          <w:sz w:val="24"/>
          <w:szCs w:val="24"/>
        </w:rPr>
        <w:t xml:space="preserve">Under the </w:t>
      </w:r>
      <w:r w:rsidR="00026F69">
        <w:rPr>
          <w:sz w:val="24"/>
          <w:szCs w:val="24"/>
        </w:rPr>
        <w:t>trading with no geographical restrictions</w:t>
      </w:r>
      <w:r w:rsidR="0022002F">
        <w:rPr>
          <w:sz w:val="24"/>
          <w:szCs w:val="24"/>
        </w:rPr>
        <w:t>,</w:t>
      </w:r>
      <w:r w:rsidR="00356871">
        <w:rPr>
          <w:sz w:val="24"/>
          <w:szCs w:val="24"/>
        </w:rPr>
        <w:t xml:space="preserve"> </w:t>
      </w:r>
      <w:r w:rsidR="00356871">
        <w:rPr>
          <w:sz w:val="24"/>
          <w:szCs w:val="24"/>
        </w:rPr>
        <w:lastRenderedPageBreak/>
        <w:t>there was a net loss of 3800 curlew</w:t>
      </w:r>
      <w:r w:rsidR="0022002F">
        <w:rPr>
          <w:sz w:val="24"/>
          <w:szCs w:val="24"/>
        </w:rPr>
        <w:t>s</w:t>
      </w:r>
      <w:r w:rsidR="00356871">
        <w:rPr>
          <w:sz w:val="24"/>
          <w:szCs w:val="24"/>
        </w:rPr>
        <w:t xml:space="preserve"> and lapwing</w:t>
      </w:r>
      <w:r w:rsidR="00026F69">
        <w:rPr>
          <w:sz w:val="24"/>
          <w:szCs w:val="24"/>
        </w:rPr>
        <w:t xml:space="preserve"> compared to a net loss </w:t>
      </w:r>
      <w:r w:rsidR="00356871">
        <w:rPr>
          <w:sz w:val="24"/>
          <w:szCs w:val="24"/>
        </w:rPr>
        <w:t xml:space="preserve">of 2200 curlew and lapwing </w:t>
      </w:r>
      <w:r w:rsidR="00026F69">
        <w:rPr>
          <w:sz w:val="24"/>
          <w:szCs w:val="24"/>
        </w:rPr>
        <w:t xml:space="preserve">under the restricted trading. This was due to </w:t>
      </w:r>
      <w:r w:rsidR="00F92877" w:rsidRPr="003D75FB">
        <w:rPr>
          <w:sz w:val="24"/>
          <w:szCs w:val="24"/>
        </w:rPr>
        <w:t xml:space="preserve">the </w:t>
      </w:r>
      <w:r w:rsidR="007A7099" w:rsidRPr="003D75FB">
        <w:rPr>
          <w:sz w:val="24"/>
          <w:szCs w:val="24"/>
        </w:rPr>
        <w:t>geographical redistribution of offset trades</w:t>
      </w:r>
      <w:r w:rsidR="00F92877" w:rsidRPr="003D75FB">
        <w:rPr>
          <w:sz w:val="24"/>
          <w:szCs w:val="24"/>
        </w:rPr>
        <w:t xml:space="preserve">. </w:t>
      </w:r>
      <w:r w:rsidR="0031701F">
        <w:rPr>
          <w:sz w:val="24"/>
          <w:szCs w:val="24"/>
        </w:rPr>
        <w:t>Restricting the size of the market thus seems to have ecological benefits</w:t>
      </w:r>
      <w:r w:rsidR="00592FA4">
        <w:rPr>
          <w:sz w:val="24"/>
          <w:szCs w:val="24"/>
        </w:rPr>
        <w:t>.</w:t>
      </w:r>
      <w:r w:rsidR="0031701F">
        <w:rPr>
          <w:sz w:val="24"/>
          <w:szCs w:val="24"/>
        </w:rPr>
        <w:t xml:space="preserve"> </w:t>
      </w:r>
    </w:p>
    <w:bookmarkEnd w:id="44"/>
    <w:p w14:paraId="768B3ED2" w14:textId="77777777" w:rsidR="00497E5E" w:rsidRDefault="00497E5E" w:rsidP="00497E5E">
      <w:pPr>
        <w:rPr>
          <w:rFonts w:ascii="Arial Nova Light" w:hAnsi="Arial Nova Light"/>
          <w:b/>
          <w:bCs/>
          <w:sz w:val="21"/>
          <w:szCs w:val="21"/>
        </w:rPr>
      </w:pPr>
      <w:r>
        <w:rPr>
          <w:rFonts w:ascii="Arial Nova Light" w:hAnsi="Arial Nova Light"/>
          <w:b/>
          <w:bCs/>
          <w:sz w:val="21"/>
        </w:rPr>
        <w:br w:type="page"/>
      </w:r>
    </w:p>
    <w:p w14:paraId="117D3D8E" w14:textId="6E70B242" w:rsidR="0070623A" w:rsidRPr="003D75FB" w:rsidRDefault="00F35046" w:rsidP="003D75FB">
      <w:pPr>
        <w:pStyle w:val="Heading1"/>
        <w:spacing w:line="480" w:lineRule="auto"/>
      </w:pPr>
      <w:r w:rsidRPr="003D75FB">
        <w:lastRenderedPageBreak/>
        <w:t>Discussion</w:t>
      </w:r>
    </w:p>
    <w:p w14:paraId="511EC776" w14:textId="3C48E894" w:rsidR="00B67EBD" w:rsidRPr="003D75FB" w:rsidRDefault="007A7099">
      <w:pPr>
        <w:spacing w:line="480" w:lineRule="auto"/>
        <w:ind w:firstLine="0"/>
        <w:rPr>
          <w:sz w:val="24"/>
          <w:szCs w:val="24"/>
        </w:rPr>
      </w:pPr>
      <w:r w:rsidRPr="003D75FB">
        <w:rPr>
          <w:sz w:val="24"/>
          <w:szCs w:val="24"/>
        </w:rPr>
        <w:t xml:space="preserve">Tradeable offset credits offer a promising approach to tackling the </w:t>
      </w:r>
      <w:r w:rsidR="00F94F32">
        <w:rPr>
          <w:sz w:val="24"/>
          <w:szCs w:val="24"/>
        </w:rPr>
        <w:t xml:space="preserve">growing global </w:t>
      </w:r>
      <w:r w:rsidRPr="003D75FB">
        <w:rPr>
          <w:sz w:val="24"/>
          <w:szCs w:val="24"/>
        </w:rPr>
        <w:t>conflicts between land development and biodiversity conservation. Whilst there has been a</w:t>
      </w:r>
      <w:r w:rsidR="00F94F32">
        <w:rPr>
          <w:sz w:val="24"/>
          <w:szCs w:val="24"/>
        </w:rPr>
        <w:t xml:space="preserve">n increase in </w:t>
      </w:r>
      <w:r w:rsidRPr="003D75FB">
        <w:rPr>
          <w:sz w:val="24"/>
          <w:szCs w:val="24"/>
        </w:rPr>
        <w:t xml:space="preserve">policy interest in the concept, and a large ecological literature studying the problem, there have been relatively few contributions from economists to thinking about how best to design such offset markets. Our paper is designed to </w:t>
      </w:r>
      <w:r w:rsidR="0025044F" w:rsidRPr="003D75FB">
        <w:rPr>
          <w:sz w:val="24"/>
          <w:szCs w:val="24"/>
        </w:rPr>
        <w:t>contribute</w:t>
      </w:r>
      <w:r w:rsidRPr="003D75FB">
        <w:rPr>
          <w:sz w:val="24"/>
          <w:szCs w:val="24"/>
        </w:rPr>
        <w:t xml:space="preserve"> to t</w:t>
      </w:r>
      <w:r w:rsidR="0025044F">
        <w:rPr>
          <w:sz w:val="24"/>
          <w:szCs w:val="24"/>
        </w:rPr>
        <w:t>his</w:t>
      </w:r>
      <w:r w:rsidRPr="003D75FB">
        <w:rPr>
          <w:sz w:val="24"/>
          <w:szCs w:val="24"/>
        </w:rPr>
        <w:t xml:space="preserve"> gap in the literature. </w:t>
      </w:r>
      <w:r w:rsidR="00F17C8A" w:rsidRPr="003D75FB">
        <w:rPr>
          <w:sz w:val="24"/>
          <w:szCs w:val="24"/>
        </w:rPr>
        <w:t>O</w:t>
      </w:r>
      <w:r w:rsidR="00E53E36" w:rsidRPr="003D75FB">
        <w:rPr>
          <w:sz w:val="24"/>
          <w:szCs w:val="24"/>
        </w:rPr>
        <w:t xml:space="preserve">ne key </w:t>
      </w:r>
      <w:r w:rsidR="00F17C8A" w:rsidRPr="003D75FB">
        <w:rPr>
          <w:sz w:val="24"/>
          <w:szCs w:val="24"/>
        </w:rPr>
        <w:t xml:space="preserve">contribution </w:t>
      </w:r>
      <w:r w:rsidR="00E53E36" w:rsidRPr="003D75FB">
        <w:rPr>
          <w:sz w:val="24"/>
          <w:szCs w:val="24"/>
        </w:rPr>
        <w:t xml:space="preserve">of our paper </w:t>
      </w:r>
      <w:r w:rsidR="00F17C8A" w:rsidRPr="003D75FB">
        <w:rPr>
          <w:sz w:val="24"/>
          <w:szCs w:val="24"/>
        </w:rPr>
        <w:t xml:space="preserve">is </w:t>
      </w:r>
      <w:r w:rsidR="00F94F32">
        <w:rPr>
          <w:sz w:val="24"/>
          <w:szCs w:val="24"/>
        </w:rPr>
        <w:t xml:space="preserve">a modelling framework from which we can derive </w:t>
      </w:r>
      <w:r w:rsidR="00F17C8A" w:rsidRPr="003D75FB">
        <w:rPr>
          <w:sz w:val="24"/>
          <w:szCs w:val="24"/>
        </w:rPr>
        <w:t>spatially explicit supply and demand curves for biodiversity offsets</w:t>
      </w:r>
      <w:r w:rsidR="0025044F">
        <w:rPr>
          <w:sz w:val="24"/>
          <w:szCs w:val="24"/>
        </w:rPr>
        <w:t xml:space="preserve">. These allow </w:t>
      </w:r>
      <w:r w:rsidR="00F17C8A" w:rsidRPr="003D75FB">
        <w:rPr>
          <w:sz w:val="24"/>
          <w:szCs w:val="24"/>
        </w:rPr>
        <w:t xml:space="preserve">us to test how </w:t>
      </w:r>
      <w:r w:rsidRPr="003D75FB">
        <w:rPr>
          <w:sz w:val="24"/>
          <w:szCs w:val="24"/>
        </w:rPr>
        <w:t xml:space="preserve">changes to two </w:t>
      </w:r>
      <w:r w:rsidR="0025044F">
        <w:rPr>
          <w:sz w:val="24"/>
          <w:szCs w:val="24"/>
        </w:rPr>
        <w:t>offset market</w:t>
      </w:r>
      <w:r w:rsidR="00E53E36" w:rsidRPr="003D75FB">
        <w:rPr>
          <w:sz w:val="24"/>
          <w:szCs w:val="24"/>
        </w:rPr>
        <w:t xml:space="preserve"> </w:t>
      </w:r>
      <w:r w:rsidR="00F17C8A" w:rsidRPr="003D75FB">
        <w:rPr>
          <w:sz w:val="24"/>
          <w:szCs w:val="24"/>
        </w:rPr>
        <w:t>design parameters</w:t>
      </w:r>
      <w:r w:rsidR="0025044F">
        <w:rPr>
          <w:sz w:val="24"/>
          <w:szCs w:val="24"/>
        </w:rPr>
        <w:t>: what is traded (the ecological target) and where it is traded (the size of the market)</w:t>
      </w:r>
      <w:r w:rsidR="00EB3C71">
        <w:rPr>
          <w:sz w:val="24"/>
          <w:szCs w:val="24"/>
        </w:rPr>
        <w:t xml:space="preserve">, </w:t>
      </w:r>
      <w:r w:rsidR="00E540B8" w:rsidRPr="003D75FB">
        <w:rPr>
          <w:sz w:val="24"/>
          <w:szCs w:val="24"/>
        </w:rPr>
        <w:t>affect</w:t>
      </w:r>
      <w:r w:rsidR="00F17C8A" w:rsidRPr="003D75FB">
        <w:rPr>
          <w:sz w:val="24"/>
          <w:szCs w:val="24"/>
        </w:rPr>
        <w:t xml:space="preserve"> </w:t>
      </w:r>
      <w:r w:rsidR="00E53E36" w:rsidRPr="003D75FB">
        <w:rPr>
          <w:sz w:val="24"/>
          <w:szCs w:val="24"/>
        </w:rPr>
        <w:t xml:space="preserve">the functioning of </w:t>
      </w:r>
      <w:r w:rsidR="00F94F32">
        <w:rPr>
          <w:sz w:val="24"/>
          <w:szCs w:val="24"/>
        </w:rPr>
        <w:t>the</w:t>
      </w:r>
      <w:r w:rsidR="00E53E36" w:rsidRPr="003D75FB">
        <w:rPr>
          <w:sz w:val="24"/>
          <w:szCs w:val="24"/>
        </w:rPr>
        <w:t xml:space="preserve"> </w:t>
      </w:r>
      <w:r w:rsidR="00F17C8A" w:rsidRPr="003D75FB">
        <w:rPr>
          <w:sz w:val="24"/>
          <w:szCs w:val="24"/>
        </w:rPr>
        <w:t xml:space="preserve">market. </w:t>
      </w:r>
      <w:r w:rsidRPr="003D75FB">
        <w:rPr>
          <w:sz w:val="24"/>
          <w:szCs w:val="24"/>
        </w:rPr>
        <w:t>To do this, we develop and integrate ecological and economic models which encapsulate the spatial heterogeneity in the biodiversity potential of individual sites as well as spatial heterogeneity in supply and demand prices.</w:t>
      </w:r>
    </w:p>
    <w:p w14:paraId="6BAECB5C" w14:textId="151AC4F7" w:rsidR="00EB3C71" w:rsidRDefault="007D2D17">
      <w:pPr>
        <w:spacing w:line="480" w:lineRule="auto"/>
        <w:ind w:firstLine="0"/>
        <w:rPr>
          <w:sz w:val="24"/>
          <w:szCs w:val="24"/>
        </w:rPr>
      </w:pPr>
      <w:r w:rsidRPr="003D75FB">
        <w:rPr>
          <w:sz w:val="24"/>
          <w:szCs w:val="24"/>
        </w:rPr>
        <w:t>R</w:t>
      </w:r>
      <w:r w:rsidR="001551B7" w:rsidRPr="003D75FB">
        <w:rPr>
          <w:sz w:val="24"/>
          <w:szCs w:val="24"/>
        </w:rPr>
        <w:t>esults</w:t>
      </w:r>
      <w:r w:rsidR="00EF7C6F" w:rsidRPr="003D75FB">
        <w:rPr>
          <w:sz w:val="24"/>
          <w:szCs w:val="24"/>
        </w:rPr>
        <w:t xml:space="preserve"> </w:t>
      </w:r>
      <w:r w:rsidR="001551B7" w:rsidRPr="003D75FB">
        <w:rPr>
          <w:sz w:val="24"/>
          <w:szCs w:val="24"/>
        </w:rPr>
        <w:t xml:space="preserve">show that the choice of the ecological </w:t>
      </w:r>
      <w:r w:rsidR="00EB3C71">
        <w:rPr>
          <w:sz w:val="24"/>
          <w:szCs w:val="24"/>
        </w:rPr>
        <w:t>policy target</w:t>
      </w:r>
      <w:r w:rsidR="001551B7" w:rsidRPr="003D75FB">
        <w:rPr>
          <w:sz w:val="24"/>
          <w:szCs w:val="24"/>
        </w:rPr>
        <w:t xml:space="preserve"> has </w:t>
      </w:r>
      <w:r w:rsidR="00712941" w:rsidRPr="003D75FB">
        <w:rPr>
          <w:sz w:val="24"/>
          <w:szCs w:val="24"/>
        </w:rPr>
        <w:t xml:space="preserve">a </w:t>
      </w:r>
      <w:r w:rsidR="001551B7" w:rsidRPr="003D75FB">
        <w:rPr>
          <w:sz w:val="24"/>
          <w:szCs w:val="24"/>
        </w:rPr>
        <w:t>significant effect on the</w:t>
      </w:r>
      <w:r w:rsidR="00CE1B01" w:rsidRPr="003D75FB">
        <w:rPr>
          <w:sz w:val="24"/>
          <w:szCs w:val="24"/>
        </w:rPr>
        <w:t xml:space="preserve"> number of trades taking place</w:t>
      </w:r>
      <w:r w:rsidR="00422473" w:rsidRPr="003D75FB">
        <w:rPr>
          <w:sz w:val="24"/>
          <w:szCs w:val="24"/>
        </w:rPr>
        <w:t xml:space="preserve">, the amount of </w:t>
      </w:r>
      <w:r w:rsidR="00F94F32">
        <w:rPr>
          <w:sz w:val="24"/>
          <w:szCs w:val="24"/>
        </w:rPr>
        <w:t>new housing</w:t>
      </w:r>
      <w:r w:rsidR="00F94F32" w:rsidRPr="003D75FB">
        <w:rPr>
          <w:sz w:val="24"/>
          <w:szCs w:val="24"/>
        </w:rPr>
        <w:t xml:space="preserve"> </w:t>
      </w:r>
      <w:r w:rsidR="00422473" w:rsidRPr="003D75FB">
        <w:rPr>
          <w:sz w:val="24"/>
          <w:szCs w:val="24"/>
        </w:rPr>
        <w:t>development</w:t>
      </w:r>
      <w:r w:rsidR="00055303" w:rsidRPr="003D75FB">
        <w:rPr>
          <w:sz w:val="24"/>
          <w:szCs w:val="24"/>
        </w:rPr>
        <w:t>,</w:t>
      </w:r>
      <w:r w:rsidR="00CE1B01" w:rsidRPr="003D75FB">
        <w:rPr>
          <w:sz w:val="24"/>
          <w:szCs w:val="24"/>
        </w:rPr>
        <w:t xml:space="preserve"> </w:t>
      </w:r>
      <w:r w:rsidR="00F94F32">
        <w:rPr>
          <w:sz w:val="24"/>
          <w:szCs w:val="24"/>
        </w:rPr>
        <w:t xml:space="preserve">the </w:t>
      </w:r>
      <w:r w:rsidRPr="003D75FB">
        <w:rPr>
          <w:sz w:val="24"/>
          <w:szCs w:val="24"/>
        </w:rPr>
        <w:t>unintended ecological consequences</w:t>
      </w:r>
      <w:r w:rsidR="00F94F32">
        <w:rPr>
          <w:sz w:val="24"/>
          <w:szCs w:val="24"/>
        </w:rPr>
        <w:t xml:space="preserve"> on non-target species</w:t>
      </w:r>
      <w:r w:rsidRPr="003D75FB">
        <w:rPr>
          <w:sz w:val="24"/>
          <w:szCs w:val="24"/>
        </w:rPr>
        <w:t xml:space="preserve">, </w:t>
      </w:r>
      <w:r w:rsidR="00CE1B01" w:rsidRPr="003D75FB">
        <w:rPr>
          <w:sz w:val="24"/>
          <w:szCs w:val="24"/>
        </w:rPr>
        <w:t>and</w:t>
      </w:r>
      <w:r w:rsidR="001551B7" w:rsidRPr="003D75FB">
        <w:rPr>
          <w:sz w:val="24"/>
          <w:szCs w:val="24"/>
        </w:rPr>
        <w:t xml:space="preserve"> </w:t>
      </w:r>
      <w:r w:rsidR="00EF7C6F" w:rsidRPr="003D75FB">
        <w:rPr>
          <w:sz w:val="24"/>
          <w:szCs w:val="24"/>
        </w:rPr>
        <w:t>economic welfare</w:t>
      </w:r>
      <w:r w:rsidR="00CE1B01" w:rsidRPr="003D75FB">
        <w:rPr>
          <w:sz w:val="24"/>
          <w:szCs w:val="24"/>
        </w:rPr>
        <w:t>.</w:t>
      </w:r>
      <w:r w:rsidR="00422473" w:rsidRPr="003D75FB">
        <w:rPr>
          <w:sz w:val="24"/>
          <w:szCs w:val="24"/>
        </w:rPr>
        <w:t xml:space="preserve"> </w:t>
      </w:r>
      <w:r w:rsidR="003C2FD3" w:rsidRPr="003D75FB">
        <w:rPr>
          <w:sz w:val="24"/>
          <w:szCs w:val="24"/>
        </w:rPr>
        <w:t xml:space="preserve">Each of the three species considered as </w:t>
      </w:r>
      <w:r w:rsidR="00404AB9">
        <w:rPr>
          <w:sz w:val="24"/>
          <w:szCs w:val="24"/>
        </w:rPr>
        <w:t>no net loss t</w:t>
      </w:r>
      <w:r w:rsidR="003C2FD3" w:rsidRPr="003D75FB">
        <w:rPr>
          <w:sz w:val="24"/>
          <w:szCs w:val="24"/>
        </w:rPr>
        <w:t>argets favour different land parcels</w:t>
      </w:r>
      <w:r w:rsidR="00055303" w:rsidRPr="003D75FB">
        <w:rPr>
          <w:sz w:val="24"/>
          <w:szCs w:val="24"/>
        </w:rPr>
        <w:t>,</w:t>
      </w:r>
      <w:r w:rsidR="003C2FD3" w:rsidRPr="003D75FB">
        <w:rPr>
          <w:sz w:val="24"/>
          <w:szCs w:val="24"/>
        </w:rPr>
        <w:t xml:space="preserve"> as </w:t>
      </w:r>
      <w:r w:rsidR="00055303" w:rsidRPr="003D75FB">
        <w:rPr>
          <w:sz w:val="24"/>
          <w:szCs w:val="24"/>
        </w:rPr>
        <w:t xml:space="preserve">predicted </w:t>
      </w:r>
      <w:r w:rsidR="003C2FD3" w:rsidRPr="003D75FB">
        <w:rPr>
          <w:sz w:val="24"/>
          <w:szCs w:val="24"/>
        </w:rPr>
        <w:t xml:space="preserve">by the ecological model. From </w:t>
      </w:r>
      <w:r w:rsidR="00C4572C" w:rsidRPr="003D75FB">
        <w:rPr>
          <w:sz w:val="24"/>
          <w:szCs w:val="24"/>
        </w:rPr>
        <w:t xml:space="preserve">a </w:t>
      </w:r>
      <w:r w:rsidR="003C2FD3" w:rsidRPr="003D75FB">
        <w:rPr>
          <w:sz w:val="24"/>
          <w:szCs w:val="24"/>
        </w:rPr>
        <w:t>supply perspective</w:t>
      </w:r>
      <w:r w:rsidR="0022002F">
        <w:rPr>
          <w:sz w:val="24"/>
          <w:szCs w:val="24"/>
        </w:rPr>
        <w:t>,</w:t>
      </w:r>
      <w:r w:rsidR="003C2FD3" w:rsidRPr="003D75FB">
        <w:rPr>
          <w:sz w:val="24"/>
          <w:szCs w:val="24"/>
        </w:rPr>
        <w:t xml:space="preserve"> this means that each ecological target has a varying opportunity cost in terms of agricultural land foregone</w:t>
      </w:r>
      <w:r w:rsidRPr="003D75FB">
        <w:rPr>
          <w:sz w:val="24"/>
          <w:szCs w:val="24"/>
        </w:rPr>
        <w:t>. F</w:t>
      </w:r>
      <w:r w:rsidR="003C2FD3" w:rsidRPr="003D75FB">
        <w:rPr>
          <w:sz w:val="24"/>
          <w:szCs w:val="24"/>
        </w:rPr>
        <w:t>rom a demand perspective</w:t>
      </w:r>
      <w:r w:rsidRPr="003D75FB">
        <w:rPr>
          <w:sz w:val="24"/>
          <w:szCs w:val="24"/>
        </w:rPr>
        <w:t>,</w:t>
      </w:r>
      <w:r w:rsidR="003C2FD3" w:rsidRPr="003D75FB">
        <w:rPr>
          <w:sz w:val="24"/>
          <w:szCs w:val="24"/>
        </w:rPr>
        <w:t xml:space="preserve"> land parcels with development potential have varying permit requirements depend</w:t>
      </w:r>
      <w:r w:rsidR="00C4572C" w:rsidRPr="003D75FB">
        <w:rPr>
          <w:sz w:val="24"/>
          <w:szCs w:val="24"/>
        </w:rPr>
        <w:t>ing</w:t>
      </w:r>
      <w:r w:rsidR="003C2FD3" w:rsidRPr="003D75FB">
        <w:rPr>
          <w:sz w:val="24"/>
          <w:szCs w:val="24"/>
        </w:rPr>
        <w:t xml:space="preserve"> on which species is chosen as the </w:t>
      </w:r>
      <w:r w:rsidR="00404AB9">
        <w:rPr>
          <w:sz w:val="24"/>
          <w:szCs w:val="24"/>
        </w:rPr>
        <w:t>no net loss</w:t>
      </w:r>
      <w:r w:rsidR="00404AB9" w:rsidRPr="003D75FB">
        <w:rPr>
          <w:sz w:val="24"/>
          <w:szCs w:val="24"/>
        </w:rPr>
        <w:t xml:space="preserve"> </w:t>
      </w:r>
      <w:r w:rsidR="003C2FD3" w:rsidRPr="003D75FB">
        <w:rPr>
          <w:sz w:val="24"/>
          <w:szCs w:val="24"/>
        </w:rPr>
        <w:t>target</w:t>
      </w:r>
      <w:r w:rsidR="00F94F32">
        <w:rPr>
          <w:sz w:val="24"/>
          <w:szCs w:val="24"/>
        </w:rPr>
        <w:t>, whilst house builders’ maximum Willingness to Pay for permits varies spatially with housing values</w:t>
      </w:r>
      <w:r w:rsidR="003C2FD3" w:rsidRPr="003D75FB">
        <w:rPr>
          <w:sz w:val="24"/>
          <w:szCs w:val="24"/>
        </w:rPr>
        <w:t xml:space="preserve">. </w:t>
      </w:r>
    </w:p>
    <w:p w14:paraId="5520AD18" w14:textId="0240DCF0" w:rsidR="007D2D17" w:rsidRPr="003D75FB" w:rsidRDefault="007D2D17">
      <w:pPr>
        <w:spacing w:line="480" w:lineRule="auto"/>
        <w:ind w:firstLine="0"/>
        <w:rPr>
          <w:sz w:val="24"/>
          <w:szCs w:val="24"/>
        </w:rPr>
      </w:pPr>
      <w:r w:rsidRPr="003D75FB">
        <w:rPr>
          <w:sz w:val="24"/>
          <w:szCs w:val="24"/>
        </w:rPr>
        <w:t>U</w:t>
      </w:r>
      <w:r w:rsidR="003C2FD3" w:rsidRPr="003D75FB">
        <w:rPr>
          <w:sz w:val="24"/>
          <w:szCs w:val="24"/>
        </w:rPr>
        <w:t xml:space="preserve">sing the spatially derived supply and demand curves </w:t>
      </w:r>
      <w:r w:rsidR="00C4572C" w:rsidRPr="003D75FB">
        <w:rPr>
          <w:sz w:val="24"/>
          <w:szCs w:val="24"/>
        </w:rPr>
        <w:t xml:space="preserve">reveals </w:t>
      </w:r>
      <w:r w:rsidR="003C2FD3" w:rsidRPr="003D75FB">
        <w:rPr>
          <w:sz w:val="24"/>
          <w:szCs w:val="24"/>
        </w:rPr>
        <w:t xml:space="preserve">that the market does not </w:t>
      </w:r>
      <w:r w:rsidR="00C4572C" w:rsidRPr="003D75FB">
        <w:rPr>
          <w:sz w:val="24"/>
          <w:szCs w:val="24"/>
        </w:rPr>
        <w:t xml:space="preserve">always </w:t>
      </w:r>
      <w:r w:rsidR="003C2FD3" w:rsidRPr="003D75FB">
        <w:rPr>
          <w:sz w:val="24"/>
          <w:szCs w:val="24"/>
        </w:rPr>
        <w:t>re</w:t>
      </w:r>
      <w:r w:rsidR="00C4572C" w:rsidRPr="003D75FB">
        <w:rPr>
          <w:sz w:val="24"/>
          <w:szCs w:val="24"/>
        </w:rPr>
        <w:t>act according</w:t>
      </w:r>
      <w:r w:rsidR="003C2FD3" w:rsidRPr="003D75FB">
        <w:rPr>
          <w:sz w:val="24"/>
          <w:szCs w:val="24"/>
        </w:rPr>
        <w:t xml:space="preserve"> </w:t>
      </w:r>
      <w:r w:rsidR="00F94F32">
        <w:rPr>
          <w:sz w:val="24"/>
          <w:szCs w:val="24"/>
        </w:rPr>
        <w:t>what one might expect a priori</w:t>
      </w:r>
      <w:r w:rsidR="00E917F9" w:rsidRPr="003D75FB">
        <w:rPr>
          <w:sz w:val="24"/>
          <w:szCs w:val="24"/>
        </w:rPr>
        <w:t xml:space="preserve">. </w:t>
      </w:r>
      <w:bookmarkStart w:id="45" w:name="_Hlk45877239"/>
      <w:r w:rsidR="00EB3C71">
        <w:rPr>
          <w:sz w:val="24"/>
          <w:szCs w:val="24"/>
        </w:rPr>
        <w:t xml:space="preserve">The curlew policy target had the </w:t>
      </w:r>
      <w:r w:rsidR="003C2FD3" w:rsidRPr="003D75FB">
        <w:rPr>
          <w:sz w:val="24"/>
          <w:szCs w:val="24"/>
        </w:rPr>
        <w:t>lowest</w:t>
      </w:r>
      <w:r w:rsidR="00EF7C6F" w:rsidRPr="003D75FB">
        <w:rPr>
          <w:sz w:val="24"/>
          <w:szCs w:val="24"/>
        </w:rPr>
        <w:t xml:space="preserve"> </w:t>
      </w:r>
      <w:r w:rsidR="003B3596" w:rsidRPr="003D75FB">
        <w:rPr>
          <w:sz w:val="24"/>
          <w:szCs w:val="24"/>
        </w:rPr>
        <w:lastRenderedPageBreak/>
        <w:t xml:space="preserve">equilibrium </w:t>
      </w:r>
      <w:r w:rsidR="00422473" w:rsidRPr="003D75FB">
        <w:rPr>
          <w:sz w:val="24"/>
          <w:szCs w:val="24"/>
        </w:rPr>
        <w:t xml:space="preserve">offset </w:t>
      </w:r>
      <w:r w:rsidR="003B3596" w:rsidRPr="003D75FB">
        <w:rPr>
          <w:sz w:val="24"/>
          <w:szCs w:val="24"/>
        </w:rPr>
        <w:t xml:space="preserve">price </w:t>
      </w:r>
      <w:r w:rsidR="00F94F32">
        <w:rPr>
          <w:sz w:val="24"/>
          <w:szCs w:val="24"/>
        </w:rPr>
        <w:t>of</w:t>
      </w:r>
      <w:r w:rsidR="00422473" w:rsidRPr="003D75FB">
        <w:rPr>
          <w:sz w:val="24"/>
          <w:szCs w:val="24"/>
        </w:rPr>
        <w:t xml:space="preserve"> £9,972 per </w:t>
      </w:r>
      <w:r w:rsidR="00EB3C71">
        <w:rPr>
          <w:sz w:val="24"/>
          <w:szCs w:val="24"/>
        </w:rPr>
        <w:t xml:space="preserve">bird </w:t>
      </w:r>
      <w:r w:rsidR="00F94F32">
        <w:rPr>
          <w:sz w:val="24"/>
          <w:szCs w:val="24"/>
        </w:rPr>
        <w:t>yet</w:t>
      </w:r>
      <w:r w:rsidR="00EB3C71">
        <w:rPr>
          <w:sz w:val="24"/>
          <w:szCs w:val="24"/>
        </w:rPr>
        <w:t xml:space="preserve"> </w:t>
      </w:r>
      <w:r w:rsidR="003C2FD3" w:rsidRPr="003D75FB">
        <w:rPr>
          <w:sz w:val="24"/>
          <w:szCs w:val="24"/>
        </w:rPr>
        <w:t>resulted in the</w:t>
      </w:r>
      <w:r w:rsidR="00422473" w:rsidRPr="003D75FB">
        <w:rPr>
          <w:sz w:val="24"/>
          <w:szCs w:val="24"/>
        </w:rPr>
        <w:t xml:space="preserve"> </w:t>
      </w:r>
      <w:r w:rsidR="00422473" w:rsidRPr="003D75FB">
        <w:rPr>
          <w:i/>
          <w:iCs/>
          <w:sz w:val="24"/>
          <w:szCs w:val="24"/>
        </w:rPr>
        <w:t>fewest</w:t>
      </w:r>
      <w:r w:rsidR="00422473" w:rsidRPr="003D75FB">
        <w:rPr>
          <w:sz w:val="24"/>
          <w:szCs w:val="24"/>
        </w:rPr>
        <w:t xml:space="preserve"> number of trades taking place</w:t>
      </w:r>
      <w:r w:rsidR="003C2FD3" w:rsidRPr="003D75FB">
        <w:rPr>
          <w:sz w:val="24"/>
          <w:szCs w:val="24"/>
        </w:rPr>
        <w:t xml:space="preserve"> (10 trades and 108 land parcels developed)</w:t>
      </w:r>
      <w:r w:rsidR="00422473" w:rsidRPr="003D75FB">
        <w:rPr>
          <w:sz w:val="24"/>
          <w:szCs w:val="24"/>
        </w:rPr>
        <w:t xml:space="preserve">. In contrast, the </w:t>
      </w:r>
      <w:r w:rsidR="00404AB9">
        <w:rPr>
          <w:sz w:val="24"/>
          <w:szCs w:val="24"/>
        </w:rPr>
        <w:t>no net loss</w:t>
      </w:r>
      <w:r w:rsidR="003C2FD3" w:rsidRPr="003D75FB">
        <w:rPr>
          <w:sz w:val="24"/>
          <w:szCs w:val="24"/>
        </w:rPr>
        <w:t xml:space="preserve"> target which resulted in the costliest</w:t>
      </w:r>
      <w:r w:rsidR="00422473" w:rsidRPr="003D75FB">
        <w:rPr>
          <w:sz w:val="24"/>
          <w:szCs w:val="24"/>
        </w:rPr>
        <w:t xml:space="preserve"> </w:t>
      </w:r>
      <w:r w:rsidRPr="003D75FB">
        <w:rPr>
          <w:sz w:val="24"/>
          <w:szCs w:val="24"/>
        </w:rPr>
        <w:t xml:space="preserve">equilibrium </w:t>
      </w:r>
      <w:r w:rsidR="003C2FD3" w:rsidRPr="003D75FB">
        <w:rPr>
          <w:sz w:val="24"/>
          <w:szCs w:val="24"/>
        </w:rPr>
        <w:t>offset</w:t>
      </w:r>
      <w:r w:rsidRPr="003D75FB">
        <w:rPr>
          <w:sz w:val="24"/>
          <w:szCs w:val="24"/>
        </w:rPr>
        <w:t xml:space="preserve"> price</w:t>
      </w:r>
      <w:r w:rsidR="00422473" w:rsidRPr="003D75FB">
        <w:rPr>
          <w:sz w:val="24"/>
          <w:szCs w:val="24"/>
        </w:rPr>
        <w:t xml:space="preserve"> </w:t>
      </w:r>
      <w:r w:rsidR="003C2FD3" w:rsidRPr="003D75FB">
        <w:rPr>
          <w:sz w:val="24"/>
          <w:szCs w:val="24"/>
        </w:rPr>
        <w:t>(</w:t>
      </w:r>
      <w:r w:rsidR="00422473" w:rsidRPr="003D75FB">
        <w:rPr>
          <w:sz w:val="24"/>
          <w:szCs w:val="24"/>
        </w:rPr>
        <w:t>£21,979</w:t>
      </w:r>
      <w:r w:rsidR="003C2FD3" w:rsidRPr="003D75FB">
        <w:rPr>
          <w:sz w:val="24"/>
          <w:szCs w:val="24"/>
        </w:rPr>
        <w:t xml:space="preserve"> per oystercatcher) had the</w:t>
      </w:r>
      <w:r w:rsidR="00422473" w:rsidRPr="003D75FB">
        <w:rPr>
          <w:sz w:val="24"/>
          <w:szCs w:val="24"/>
        </w:rPr>
        <w:t xml:space="preserve"> highest number of trades (260) with 694 </w:t>
      </w:r>
      <w:r w:rsidR="003C2FD3" w:rsidRPr="003D75FB">
        <w:rPr>
          <w:sz w:val="24"/>
          <w:szCs w:val="24"/>
        </w:rPr>
        <w:t>land parcels developed</w:t>
      </w:r>
      <w:r w:rsidR="00422473" w:rsidRPr="003D75FB">
        <w:rPr>
          <w:sz w:val="24"/>
          <w:szCs w:val="24"/>
        </w:rPr>
        <w:t>.</w:t>
      </w:r>
      <w:r w:rsidR="00CC0D5E" w:rsidRPr="003D75FB">
        <w:rPr>
          <w:sz w:val="24"/>
          <w:szCs w:val="24"/>
        </w:rPr>
        <w:t xml:space="preserve"> B</w:t>
      </w:r>
      <w:r w:rsidR="00C95FB6" w:rsidRPr="003D75FB">
        <w:rPr>
          <w:sz w:val="24"/>
          <w:szCs w:val="24"/>
        </w:rPr>
        <w:t xml:space="preserve">ased on our comparative </w:t>
      </w:r>
      <w:r w:rsidR="00CC0D5E" w:rsidRPr="003D75FB">
        <w:rPr>
          <w:sz w:val="24"/>
          <w:szCs w:val="24"/>
        </w:rPr>
        <w:t>static</w:t>
      </w:r>
      <w:r w:rsidR="00C95FB6" w:rsidRPr="003D75FB">
        <w:rPr>
          <w:sz w:val="24"/>
          <w:szCs w:val="24"/>
        </w:rPr>
        <w:t xml:space="preserve"> analysis</w:t>
      </w:r>
      <w:r w:rsidR="00CC0D5E" w:rsidRPr="003D75FB">
        <w:rPr>
          <w:sz w:val="24"/>
          <w:szCs w:val="24"/>
        </w:rPr>
        <w:t>,</w:t>
      </w:r>
      <w:r w:rsidR="00C95FB6" w:rsidRPr="003D75FB">
        <w:rPr>
          <w:sz w:val="24"/>
          <w:szCs w:val="24"/>
        </w:rPr>
        <w:t xml:space="preserve"> </w:t>
      </w:r>
      <w:r w:rsidR="00D87056" w:rsidRPr="003D75FB">
        <w:rPr>
          <w:sz w:val="24"/>
          <w:szCs w:val="24"/>
        </w:rPr>
        <w:t xml:space="preserve">we </w:t>
      </w:r>
      <w:r w:rsidR="003B3596" w:rsidRPr="003D75FB">
        <w:rPr>
          <w:sz w:val="24"/>
          <w:szCs w:val="24"/>
        </w:rPr>
        <w:t>might</w:t>
      </w:r>
      <w:r w:rsidR="00D87056" w:rsidRPr="003D75FB">
        <w:rPr>
          <w:sz w:val="24"/>
          <w:szCs w:val="24"/>
        </w:rPr>
        <w:t xml:space="preserve"> have presumed that the species which offered the cheapest offsets would have led to the most development taking place as more developers would have been willing to purchase a cheaper offset.</w:t>
      </w:r>
      <w:r w:rsidR="00C95FB6" w:rsidRPr="003D75FB">
        <w:rPr>
          <w:sz w:val="24"/>
          <w:szCs w:val="24"/>
        </w:rPr>
        <w:t xml:space="preserve"> This follows </w:t>
      </w:r>
      <w:r w:rsidRPr="003D75FB">
        <w:rPr>
          <w:sz w:val="24"/>
          <w:szCs w:val="24"/>
        </w:rPr>
        <w:t>from an assumption</w:t>
      </w:r>
      <w:r w:rsidR="00C95FB6" w:rsidRPr="003D75FB">
        <w:rPr>
          <w:sz w:val="24"/>
          <w:szCs w:val="24"/>
        </w:rPr>
        <w:t xml:space="preserve"> that cheaper </w:t>
      </w:r>
      <w:r w:rsidR="00AF27E6" w:rsidRPr="003D75FB">
        <w:rPr>
          <w:sz w:val="24"/>
          <w:szCs w:val="24"/>
        </w:rPr>
        <w:t>credit</w:t>
      </w:r>
      <w:r w:rsidR="00C95FB6" w:rsidRPr="003D75FB">
        <w:rPr>
          <w:sz w:val="24"/>
          <w:szCs w:val="24"/>
        </w:rPr>
        <w:t xml:space="preserve"> prices would reduce opportunity costs for developers. </w:t>
      </w:r>
      <w:r w:rsidR="00D87056" w:rsidRPr="003D75FB">
        <w:rPr>
          <w:sz w:val="24"/>
          <w:szCs w:val="24"/>
        </w:rPr>
        <w:t xml:space="preserve">However, </w:t>
      </w:r>
      <w:r w:rsidR="00BE1DD7" w:rsidRPr="003D75FB">
        <w:rPr>
          <w:sz w:val="24"/>
          <w:szCs w:val="24"/>
        </w:rPr>
        <w:t xml:space="preserve">based on </w:t>
      </w:r>
      <w:r w:rsidR="00C95FB6" w:rsidRPr="003D75FB">
        <w:rPr>
          <w:sz w:val="24"/>
          <w:szCs w:val="24"/>
        </w:rPr>
        <w:t xml:space="preserve">our </w:t>
      </w:r>
      <w:r w:rsidR="00C95FB6" w:rsidRPr="003D75FB">
        <w:rPr>
          <w:i/>
          <w:sz w:val="24"/>
          <w:szCs w:val="24"/>
        </w:rPr>
        <w:t>integrated</w:t>
      </w:r>
      <w:r w:rsidR="00C95FB6" w:rsidRPr="003D75FB">
        <w:rPr>
          <w:sz w:val="24"/>
          <w:szCs w:val="24"/>
        </w:rPr>
        <w:t xml:space="preserve"> modelling </w:t>
      </w:r>
      <w:r w:rsidR="00BE1DD7" w:rsidRPr="003D75FB">
        <w:rPr>
          <w:sz w:val="24"/>
          <w:szCs w:val="24"/>
        </w:rPr>
        <w:t>t</w:t>
      </w:r>
      <w:r w:rsidR="00D87056" w:rsidRPr="003D75FB">
        <w:rPr>
          <w:sz w:val="24"/>
          <w:szCs w:val="24"/>
        </w:rPr>
        <w:t>his result is more nuanced: the greatest abundance of curlews and lapwings are found in the areas with the highest development values, and subsequently</w:t>
      </w:r>
      <w:r w:rsidR="0022002F">
        <w:rPr>
          <w:sz w:val="24"/>
          <w:szCs w:val="24"/>
        </w:rPr>
        <w:t>,</w:t>
      </w:r>
      <w:r w:rsidR="00D87056" w:rsidRPr="003D75FB">
        <w:rPr>
          <w:sz w:val="24"/>
          <w:szCs w:val="24"/>
        </w:rPr>
        <w:t xml:space="preserve"> a greater number of credits is required by the developer per </w:t>
      </w:r>
      <w:r w:rsidR="006F3BE5" w:rsidRPr="003D75FB">
        <w:rPr>
          <w:sz w:val="24"/>
          <w:szCs w:val="24"/>
        </w:rPr>
        <w:t>land parcel</w:t>
      </w:r>
      <w:r w:rsidRPr="003D75FB">
        <w:rPr>
          <w:sz w:val="24"/>
          <w:szCs w:val="24"/>
        </w:rPr>
        <w:t xml:space="preserve"> developed</w:t>
      </w:r>
      <w:r w:rsidR="00BE1DD7" w:rsidRPr="003D75FB">
        <w:rPr>
          <w:rStyle w:val="CommentReference"/>
          <w:sz w:val="24"/>
          <w:szCs w:val="24"/>
        </w:rPr>
        <w:t>.</w:t>
      </w:r>
      <w:r w:rsidR="00D87056" w:rsidRPr="003D75FB">
        <w:rPr>
          <w:sz w:val="24"/>
          <w:szCs w:val="24"/>
        </w:rPr>
        <w:t xml:space="preserve"> As such</w:t>
      </w:r>
      <w:r w:rsidR="00CA71E7" w:rsidRPr="003D75FB">
        <w:rPr>
          <w:sz w:val="24"/>
          <w:szCs w:val="24"/>
        </w:rPr>
        <w:t>, developers</w:t>
      </w:r>
      <w:r w:rsidR="00D87056" w:rsidRPr="003D75FB">
        <w:rPr>
          <w:sz w:val="24"/>
          <w:szCs w:val="24"/>
        </w:rPr>
        <w:t xml:space="preserve"> are willing to pay less per </w:t>
      </w:r>
      <w:r w:rsidR="00CA71E7" w:rsidRPr="003D75FB">
        <w:rPr>
          <w:sz w:val="24"/>
          <w:szCs w:val="24"/>
        </w:rPr>
        <w:t xml:space="preserve">offset </w:t>
      </w:r>
      <w:r w:rsidR="00D87056" w:rsidRPr="003D75FB">
        <w:rPr>
          <w:sz w:val="24"/>
          <w:szCs w:val="24"/>
        </w:rPr>
        <w:t xml:space="preserve">credit. </w:t>
      </w:r>
      <w:r w:rsidR="00BE1DD7" w:rsidRPr="003D75FB">
        <w:rPr>
          <w:sz w:val="24"/>
          <w:szCs w:val="24"/>
        </w:rPr>
        <w:t>Moreover</w:t>
      </w:r>
      <w:r w:rsidR="00D87056" w:rsidRPr="003D75FB">
        <w:rPr>
          <w:sz w:val="24"/>
          <w:szCs w:val="24"/>
        </w:rPr>
        <w:t>, the most favourable areas for lapwing and curlew supply are in areas where the value of agricultur</w:t>
      </w:r>
      <w:r w:rsidR="00F94F32">
        <w:rPr>
          <w:sz w:val="24"/>
          <w:szCs w:val="24"/>
        </w:rPr>
        <w:t>al output</w:t>
      </w:r>
      <w:r w:rsidR="00D87056" w:rsidRPr="003D75FB">
        <w:rPr>
          <w:sz w:val="24"/>
          <w:szCs w:val="24"/>
        </w:rPr>
        <w:t xml:space="preserve"> is higher</w:t>
      </w:r>
      <w:r w:rsidR="00BE1DD7" w:rsidRPr="003D75FB">
        <w:rPr>
          <w:sz w:val="24"/>
          <w:szCs w:val="24"/>
        </w:rPr>
        <w:t xml:space="preserve"> (</w:t>
      </w:r>
      <w:r w:rsidR="00F94F32">
        <w:rPr>
          <w:sz w:val="24"/>
          <w:szCs w:val="24"/>
        </w:rPr>
        <w:t>and so</w:t>
      </w:r>
      <w:r w:rsidR="00D87056" w:rsidRPr="003D75FB">
        <w:rPr>
          <w:sz w:val="24"/>
          <w:szCs w:val="24"/>
        </w:rPr>
        <w:t xml:space="preserve"> the opportunity cost </w:t>
      </w:r>
      <w:r w:rsidR="00F94F32">
        <w:rPr>
          <w:sz w:val="24"/>
          <w:szCs w:val="24"/>
        </w:rPr>
        <w:t xml:space="preserve">of creating credits </w:t>
      </w:r>
      <w:r w:rsidR="00D87056" w:rsidRPr="003D75FB">
        <w:rPr>
          <w:sz w:val="24"/>
          <w:szCs w:val="24"/>
        </w:rPr>
        <w:t>is higher</w:t>
      </w:r>
      <w:r w:rsidR="00BE1DD7" w:rsidRPr="003D75FB">
        <w:rPr>
          <w:sz w:val="24"/>
          <w:szCs w:val="24"/>
        </w:rPr>
        <w:t>),</w:t>
      </w:r>
      <w:r w:rsidR="00D87056" w:rsidRPr="003D75FB">
        <w:rPr>
          <w:sz w:val="24"/>
          <w:szCs w:val="24"/>
        </w:rPr>
        <w:t xml:space="preserve"> increasing the individual farmers</w:t>
      </w:r>
      <w:r w:rsidR="00712941" w:rsidRPr="003D75FB">
        <w:rPr>
          <w:sz w:val="24"/>
          <w:szCs w:val="24"/>
        </w:rPr>
        <w:t>'</w:t>
      </w:r>
      <w:r w:rsidR="00D87056" w:rsidRPr="003D75FB">
        <w:rPr>
          <w:sz w:val="24"/>
          <w:szCs w:val="24"/>
        </w:rPr>
        <w:t xml:space="preserve"> unit cost of offset provision. There are very few farmers who offer offsets to the market below the maximum willingness to pay of the housing developer. </w:t>
      </w:r>
      <w:r w:rsidR="00BE1DD7" w:rsidRPr="003D75FB">
        <w:rPr>
          <w:sz w:val="24"/>
          <w:szCs w:val="24"/>
        </w:rPr>
        <w:t>T</w:t>
      </w:r>
      <w:r w:rsidR="00FC1D99" w:rsidRPr="003D75FB">
        <w:rPr>
          <w:sz w:val="24"/>
          <w:szCs w:val="24"/>
        </w:rPr>
        <w:t xml:space="preserve">he market is </w:t>
      </w:r>
      <w:r w:rsidR="00CA71E7" w:rsidRPr="003D75FB">
        <w:rPr>
          <w:sz w:val="24"/>
          <w:szCs w:val="24"/>
        </w:rPr>
        <w:t>“</w:t>
      </w:r>
      <w:r w:rsidR="00FC1D99" w:rsidRPr="003D75FB">
        <w:rPr>
          <w:sz w:val="24"/>
          <w:szCs w:val="24"/>
        </w:rPr>
        <w:t>constrained</w:t>
      </w:r>
      <w:r w:rsidR="00CA71E7" w:rsidRPr="003D75FB">
        <w:rPr>
          <w:sz w:val="24"/>
          <w:szCs w:val="24"/>
        </w:rPr>
        <w:t>,”</w:t>
      </w:r>
      <w:r w:rsidR="00FC1D99" w:rsidRPr="003D75FB">
        <w:rPr>
          <w:sz w:val="24"/>
          <w:szCs w:val="24"/>
        </w:rPr>
        <w:t xml:space="preserve"> </w:t>
      </w:r>
      <w:r w:rsidR="00CA71E7" w:rsidRPr="003D75FB">
        <w:rPr>
          <w:sz w:val="24"/>
          <w:szCs w:val="24"/>
        </w:rPr>
        <w:t>impos</w:t>
      </w:r>
      <w:r w:rsidR="00BE1DD7" w:rsidRPr="003D75FB">
        <w:rPr>
          <w:sz w:val="24"/>
          <w:szCs w:val="24"/>
        </w:rPr>
        <w:t>ing</w:t>
      </w:r>
      <w:r w:rsidR="00CA71E7" w:rsidRPr="003D75FB">
        <w:rPr>
          <w:sz w:val="24"/>
          <w:szCs w:val="24"/>
        </w:rPr>
        <w:t xml:space="preserve"> a downward pressure on the offset </w:t>
      </w:r>
      <w:r w:rsidR="00FC1D99" w:rsidRPr="003D75FB">
        <w:rPr>
          <w:sz w:val="24"/>
          <w:szCs w:val="24"/>
        </w:rPr>
        <w:t xml:space="preserve">price to </w:t>
      </w:r>
      <w:r w:rsidR="00712941" w:rsidRPr="003D75FB">
        <w:rPr>
          <w:sz w:val="24"/>
          <w:szCs w:val="24"/>
        </w:rPr>
        <w:t xml:space="preserve">a </w:t>
      </w:r>
      <w:r w:rsidR="00FC1D99" w:rsidRPr="003D75FB">
        <w:rPr>
          <w:sz w:val="24"/>
          <w:szCs w:val="24"/>
        </w:rPr>
        <w:t xml:space="preserve">level below what many suppliers would be willing to accept. </w:t>
      </w:r>
    </w:p>
    <w:p w14:paraId="598F5EA4" w14:textId="6D50D456" w:rsidR="00D87056" w:rsidRDefault="00FC1D99" w:rsidP="00EB3C71">
      <w:pPr>
        <w:spacing w:line="480" w:lineRule="auto"/>
        <w:ind w:firstLine="0"/>
        <w:rPr>
          <w:sz w:val="24"/>
          <w:szCs w:val="24"/>
        </w:rPr>
      </w:pPr>
      <w:r w:rsidRPr="003D75FB">
        <w:rPr>
          <w:sz w:val="24"/>
          <w:szCs w:val="24"/>
        </w:rPr>
        <w:t xml:space="preserve">In contrast, oystercatchers are recorded at lower abundances in the areas of high housing value, meaning developers are required to spend less on offsetting per </w:t>
      </w:r>
      <w:r w:rsidR="001A70A9" w:rsidRPr="003D75FB">
        <w:rPr>
          <w:sz w:val="24"/>
          <w:szCs w:val="24"/>
        </w:rPr>
        <w:t>parcel</w:t>
      </w:r>
      <w:r w:rsidRPr="003D75FB">
        <w:rPr>
          <w:sz w:val="24"/>
          <w:szCs w:val="24"/>
        </w:rPr>
        <w:t xml:space="preserve">, increasing their maximum willingness to pay for a single offset and thus encouraging more farmers to supply oystercatcher offsets. In addition, under the </w:t>
      </w:r>
      <w:r w:rsidR="003B3596" w:rsidRPr="003D75FB">
        <w:rPr>
          <w:sz w:val="24"/>
          <w:szCs w:val="24"/>
        </w:rPr>
        <w:t>full market size</w:t>
      </w:r>
      <w:r w:rsidRPr="003D75FB">
        <w:rPr>
          <w:sz w:val="24"/>
          <w:szCs w:val="24"/>
        </w:rPr>
        <w:t xml:space="preserve"> scenario, all oystercatcher offsets are </w:t>
      </w:r>
      <w:r w:rsidR="007D2D17" w:rsidRPr="003D75FB">
        <w:rPr>
          <w:sz w:val="24"/>
          <w:szCs w:val="24"/>
        </w:rPr>
        <w:t xml:space="preserve">created </w:t>
      </w:r>
      <w:r w:rsidRPr="003D75FB">
        <w:rPr>
          <w:sz w:val="24"/>
          <w:szCs w:val="24"/>
        </w:rPr>
        <w:t xml:space="preserve">at the coastal margin where the value of agricultural land is low but the potential for the number of new offsets to be </w:t>
      </w:r>
      <w:r w:rsidR="007D2D17" w:rsidRPr="003D75FB">
        <w:rPr>
          <w:sz w:val="24"/>
          <w:szCs w:val="24"/>
        </w:rPr>
        <w:t>generated</w:t>
      </w:r>
      <w:r w:rsidRPr="003D75FB">
        <w:rPr>
          <w:sz w:val="24"/>
          <w:szCs w:val="24"/>
        </w:rPr>
        <w:t xml:space="preserve"> is high</w:t>
      </w:r>
      <w:r w:rsidR="00BE1DD7" w:rsidRPr="003D75FB">
        <w:rPr>
          <w:sz w:val="24"/>
          <w:szCs w:val="24"/>
        </w:rPr>
        <w:t>.</w:t>
      </w:r>
      <w:r w:rsidRPr="003D75FB">
        <w:rPr>
          <w:sz w:val="24"/>
          <w:szCs w:val="24"/>
        </w:rPr>
        <w:t xml:space="preserve"> </w:t>
      </w:r>
      <w:r w:rsidR="00BE1DD7" w:rsidRPr="003D75FB">
        <w:rPr>
          <w:sz w:val="24"/>
          <w:szCs w:val="24"/>
        </w:rPr>
        <w:t>T</w:t>
      </w:r>
      <w:r w:rsidRPr="003D75FB">
        <w:rPr>
          <w:sz w:val="24"/>
          <w:szCs w:val="24"/>
        </w:rPr>
        <w:t>h</w:t>
      </w:r>
      <w:r w:rsidR="00BE1DD7" w:rsidRPr="003D75FB">
        <w:rPr>
          <w:sz w:val="24"/>
          <w:szCs w:val="24"/>
        </w:rPr>
        <w:t>i</w:t>
      </w:r>
      <w:r w:rsidRPr="003D75FB">
        <w:rPr>
          <w:sz w:val="24"/>
          <w:szCs w:val="24"/>
        </w:rPr>
        <w:t xml:space="preserve">s </w:t>
      </w:r>
      <w:r w:rsidR="007D2D17" w:rsidRPr="003D75FB">
        <w:rPr>
          <w:sz w:val="24"/>
          <w:szCs w:val="24"/>
        </w:rPr>
        <w:t>influences</w:t>
      </w:r>
      <w:r w:rsidRPr="003D75FB">
        <w:rPr>
          <w:sz w:val="24"/>
          <w:szCs w:val="24"/>
        </w:rPr>
        <w:t xml:space="preserve"> the farmers’ willingness to accept </w:t>
      </w:r>
      <w:r w:rsidR="00F94F32">
        <w:rPr>
          <w:sz w:val="24"/>
          <w:szCs w:val="24"/>
        </w:rPr>
        <w:t xml:space="preserve">payment for </w:t>
      </w:r>
      <w:r w:rsidRPr="003D75FB">
        <w:rPr>
          <w:sz w:val="24"/>
          <w:szCs w:val="24"/>
        </w:rPr>
        <w:t xml:space="preserve">switching from agriculture to offset </w:t>
      </w:r>
      <w:r w:rsidR="00BE1DD7" w:rsidRPr="003D75FB">
        <w:rPr>
          <w:sz w:val="24"/>
          <w:szCs w:val="24"/>
        </w:rPr>
        <w:t>generation</w:t>
      </w:r>
      <w:r w:rsidRPr="003D75FB">
        <w:rPr>
          <w:sz w:val="24"/>
          <w:szCs w:val="24"/>
        </w:rPr>
        <w:t xml:space="preserve">. </w:t>
      </w:r>
    </w:p>
    <w:bookmarkEnd w:id="45"/>
    <w:p w14:paraId="7D859B76" w14:textId="63C5527F" w:rsidR="00FC1D99" w:rsidRPr="003D75FB" w:rsidRDefault="00EB3C71">
      <w:pPr>
        <w:spacing w:line="480" w:lineRule="auto"/>
        <w:ind w:firstLine="0"/>
        <w:rPr>
          <w:sz w:val="24"/>
          <w:szCs w:val="24"/>
        </w:rPr>
      </w:pPr>
      <w:r>
        <w:rPr>
          <w:sz w:val="24"/>
          <w:szCs w:val="24"/>
        </w:rPr>
        <w:lastRenderedPageBreak/>
        <w:t xml:space="preserve">Our results also add further evidence to the argument </w:t>
      </w:r>
      <w:r w:rsidR="00F94F32">
        <w:rPr>
          <w:sz w:val="24"/>
          <w:szCs w:val="24"/>
        </w:rPr>
        <w:t xml:space="preserve">deciding </w:t>
      </w:r>
      <w:r>
        <w:rPr>
          <w:sz w:val="24"/>
          <w:szCs w:val="24"/>
        </w:rPr>
        <w:t xml:space="preserve">what unit of biodiversity to trade is inherently complex. For each of our models, we focus on ensuring </w:t>
      </w:r>
      <w:r w:rsidR="00FC1D99" w:rsidRPr="003D75FB">
        <w:rPr>
          <w:sz w:val="24"/>
          <w:szCs w:val="24"/>
        </w:rPr>
        <w:t>no net loss of the target species</w:t>
      </w:r>
      <w:r>
        <w:rPr>
          <w:sz w:val="24"/>
          <w:szCs w:val="24"/>
        </w:rPr>
        <w:t xml:space="preserve"> and this condition is always met. However, </w:t>
      </w:r>
      <w:r w:rsidR="00FC1D99" w:rsidRPr="003D75FB">
        <w:rPr>
          <w:sz w:val="24"/>
          <w:szCs w:val="24"/>
        </w:rPr>
        <w:t xml:space="preserve">we </w:t>
      </w:r>
      <w:r>
        <w:rPr>
          <w:sz w:val="24"/>
          <w:szCs w:val="24"/>
        </w:rPr>
        <w:t>also</w:t>
      </w:r>
      <w:r w:rsidR="00FC1D99" w:rsidRPr="003D75FB">
        <w:rPr>
          <w:sz w:val="24"/>
          <w:szCs w:val="24"/>
        </w:rPr>
        <w:t xml:space="preserve"> analyse the impact on the othe</w:t>
      </w:r>
      <w:r>
        <w:rPr>
          <w:sz w:val="24"/>
          <w:szCs w:val="24"/>
        </w:rPr>
        <w:t>r two species. Across all three policy targets</w:t>
      </w:r>
      <w:r w:rsidR="0022002F">
        <w:rPr>
          <w:sz w:val="24"/>
          <w:szCs w:val="24"/>
        </w:rPr>
        <w:t>,</w:t>
      </w:r>
      <w:r>
        <w:rPr>
          <w:sz w:val="24"/>
          <w:szCs w:val="24"/>
        </w:rPr>
        <w:t xml:space="preserve"> we</w:t>
      </w:r>
      <w:r w:rsidR="00FC1D99" w:rsidRPr="003D75FB">
        <w:rPr>
          <w:sz w:val="24"/>
          <w:szCs w:val="24"/>
        </w:rPr>
        <w:t xml:space="preserve"> see a net loss in the </w:t>
      </w:r>
      <w:r>
        <w:rPr>
          <w:sz w:val="24"/>
          <w:szCs w:val="24"/>
        </w:rPr>
        <w:t xml:space="preserve">bird species not protected by </w:t>
      </w:r>
      <w:r w:rsidR="00F94F32">
        <w:rPr>
          <w:sz w:val="24"/>
          <w:szCs w:val="24"/>
        </w:rPr>
        <w:t>the metric adopted</w:t>
      </w:r>
      <w:r>
        <w:rPr>
          <w:sz w:val="24"/>
          <w:szCs w:val="24"/>
        </w:rPr>
        <w:t xml:space="preserve">. </w:t>
      </w:r>
      <w:r w:rsidR="002641FD" w:rsidRPr="003D75FB">
        <w:rPr>
          <w:sz w:val="24"/>
          <w:szCs w:val="24"/>
        </w:rPr>
        <w:t xml:space="preserve">This </w:t>
      </w:r>
      <w:r w:rsidR="00F94F32">
        <w:rPr>
          <w:sz w:val="24"/>
          <w:szCs w:val="24"/>
        </w:rPr>
        <w:t>follows from the fact</w:t>
      </w:r>
      <w:r w:rsidR="002641FD" w:rsidRPr="003D75FB">
        <w:rPr>
          <w:sz w:val="24"/>
          <w:szCs w:val="24"/>
        </w:rPr>
        <w:t xml:space="preserve"> that </w:t>
      </w:r>
      <w:r w:rsidR="00F94F32">
        <w:rPr>
          <w:sz w:val="24"/>
          <w:szCs w:val="24"/>
        </w:rPr>
        <w:t xml:space="preserve">the </w:t>
      </w:r>
      <w:r>
        <w:rPr>
          <w:sz w:val="24"/>
          <w:szCs w:val="24"/>
        </w:rPr>
        <w:t xml:space="preserve">three species </w:t>
      </w:r>
      <w:r w:rsidR="002641FD" w:rsidRPr="003D75FB">
        <w:rPr>
          <w:sz w:val="24"/>
          <w:szCs w:val="24"/>
        </w:rPr>
        <w:t xml:space="preserve">have </w:t>
      </w:r>
      <w:r>
        <w:rPr>
          <w:sz w:val="24"/>
          <w:szCs w:val="24"/>
        </w:rPr>
        <w:t>differ</w:t>
      </w:r>
      <w:r w:rsidR="0022002F">
        <w:rPr>
          <w:sz w:val="24"/>
          <w:szCs w:val="24"/>
        </w:rPr>
        <w:t>ent</w:t>
      </w:r>
      <w:r>
        <w:rPr>
          <w:sz w:val="24"/>
          <w:szCs w:val="24"/>
        </w:rPr>
        <w:t xml:space="preserve"> habitat requirements. </w:t>
      </w:r>
      <w:r w:rsidR="002641FD" w:rsidRPr="003D75FB">
        <w:rPr>
          <w:sz w:val="24"/>
          <w:szCs w:val="24"/>
        </w:rPr>
        <w:t xml:space="preserve"> </w:t>
      </w:r>
      <w:r w:rsidR="00431F2A" w:rsidRPr="003D75FB">
        <w:rPr>
          <w:sz w:val="24"/>
          <w:szCs w:val="24"/>
        </w:rPr>
        <w:t>D</w:t>
      </w:r>
      <w:r w:rsidR="002641FD" w:rsidRPr="003D75FB">
        <w:rPr>
          <w:sz w:val="24"/>
          <w:szCs w:val="24"/>
        </w:rPr>
        <w:t xml:space="preserve">eveloping a market </w:t>
      </w:r>
      <w:r w:rsidR="00712941" w:rsidRPr="003D75FB">
        <w:rPr>
          <w:sz w:val="24"/>
          <w:szCs w:val="24"/>
        </w:rPr>
        <w:t>that</w:t>
      </w:r>
      <w:r w:rsidR="002641FD" w:rsidRPr="003D75FB">
        <w:rPr>
          <w:sz w:val="24"/>
          <w:szCs w:val="24"/>
        </w:rPr>
        <w:t xml:space="preserve"> would ensure no net loss of these three species </w:t>
      </w:r>
      <w:r w:rsidR="002641FD" w:rsidRPr="003D75FB">
        <w:rPr>
          <w:i/>
          <w:sz w:val="24"/>
          <w:szCs w:val="24"/>
        </w:rPr>
        <w:t>simultaneously</w:t>
      </w:r>
      <w:r w:rsidR="002641FD" w:rsidRPr="003D75FB">
        <w:rPr>
          <w:sz w:val="24"/>
          <w:szCs w:val="24"/>
        </w:rPr>
        <w:t xml:space="preserve"> would</w:t>
      </w:r>
      <w:r w:rsidR="00DD6AB2" w:rsidRPr="003D75FB">
        <w:rPr>
          <w:sz w:val="24"/>
          <w:szCs w:val="24"/>
        </w:rPr>
        <w:t>, therefore,</w:t>
      </w:r>
      <w:r w:rsidR="00431F2A" w:rsidRPr="003D75FB">
        <w:rPr>
          <w:sz w:val="24"/>
          <w:szCs w:val="24"/>
        </w:rPr>
        <w:t xml:space="preserve"> be </w:t>
      </w:r>
      <w:r w:rsidR="002641FD" w:rsidRPr="003D75FB">
        <w:rPr>
          <w:sz w:val="24"/>
          <w:szCs w:val="24"/>
        </w:rPr>
        <w:t xml:space="preserve">more complex and likely depress the level of new </w:t>
      </w:r>
      <w:r w:rsidR="007D2D17" w:rsidRPr="003D75FB">
        <w:rPr>
          <w:sz w:val="24"/>
          <w:szCs w:val="24"/>
        </w:rPr>
        <w:t xml:space="preserve">housing </w:t>
      </w:r>
      <w:r w:rsidR="002641FD" w:rsidRPr="003D75FB">
        <w:rPr>
          <w:sz w:val="24"/>
          <w:szCs w:val="24"/>
        </w:rPr>
        <w:t xml:space="preserve">development, </w:t>
      </w:r>
      <w:r w:rsidR="00431F2A" w:rsidRPr="003D75FB">
        <w:rPr>
          <w:sz w:val="24"/>
          <w:szCs w:val="24"/>
        </w:rPr>
        <w:t xml:space="preserve">although </w:t>
      </w:r>
      <w:r w:rsidR="002641FD" w:rsidRPr="003D75FB">
        <w:rPr>
          <w:sz w:val="24"/>
          <w:szCs w:val="24"/>
        </w:rPr>
        <w:t xml:space="preserve">this would be </w:t>
      </w:r>
      <w:r w:rsidR="00431F2A" w:rsidRPr="003D75FB">
        <w:rPr>
          <w:sz w:val="24"/>
          <w:szCs w:val="24"/>
        </w:rPr>
        <w:t xml:space="preserve">ecologically </w:t>
      </w:r>
      <w:r w:rsidR="002641FD" w:rsidRPr="003D75FB">
        <w:rPr>
          <w:sz w:val="24"/>
          <w:szCs w:val="24"/>
        </w:rPr>
        <w:t>more beneficial.</w:t>
      </w:r>
      <w:r>
        <w:rPr>
          <w:sz w:val="24"/>
          <w:szCs w:val="24"/>
        </w:rPr>
        <w:t xml:space="preserve"> </w:t>
      </w:r>
      <w:r w:rsidR="00431F2A" w:rsidRPr="003D75FB">
        <w:rPr>
          <w:sz w:val="24"/>
          <w:szCs w:val="24"/>
        </w:rPr>
        <w:t>S</w:t>
      </w:r>
      <w:r w:rsidR="00FC1D99" w:rsidRPr="003D75FB">
        <w:rPr>
          <w:sz w:val="24"/>
          <w:szCs w:val="24"/>
        </w:rPr>
        <w:t xml:space="preserve">imple single species metrics lend themselves to simple trading </w:t>
      </w:r>
      <w:r w:rsidR="00C95FB6" w:rsidRPr="003D75FB">
        <w:rPr>
          <w:sz w:val="24"/>
          <w:szCs w:val="24"/>
        </w:rPr>
        <w:t>rules</w:t>
      </w:r>
      <w:r w:rsidR="00F94F32">
        <w:rPr>
          <w:sz w:val="24"/>
          <w:szCs w:val="24"/>
        </w:rPr>
        <w:t>, and thus lower transactions costs,</w:t>
      </w:r>
      <w:r w:rsidR="00C95FB6" w:rsidRPr="003D75FB">
        <w:rPr>
          <w:sz w:val="24"/>
          <w:szCs w:val="24"/>
        </w:rPr>
        <w:t xml:space="preserve"> but</w:t>
      </w:r>
      <w:r w:rsidR="00FC1D99" w:rsidRPr="003D75FB">
        <w:rPr>
          <w:sz w:val="24"/>
          <w:szCs w:val="24"/>
        </w:rPr>
        <w:t xml:space="preserve"> </w:t>
      </w:r>
      <w:r w:rsidR="00E93F7C" w:rsidRPr="003D75FB">
        <w:rPr>
          <w:sz w:val="24"/>
          <w:szCs w:val="24"/>
        </w:rPr>
        <w:t xml:space="preserve">can </w:t>
      </w:r>
      <w:r w:rsidR="00FC1D99" w:rsidRPr="003D75FB">
        <w:rPr>
          <w:sz w:val="24"/>
          <w:szCs w:val="24"/>
        </w:rPr>
        <w:t xml:space="preserve">result in negative impacts on other measures of biodiversity. </w:t>
      </w:r>
    </w:p>
    <w:p w14:paraId="6A67B633" w14:textId="42ED9726" w:rsidR="00CC0D5E" w:rsidRDefault="009F4754" w:rsidP="00C95F85">
      <w:pPr>
        <w:spacing w:line="480" w:lineRule="auto"/>
        <w:ind w:firstLine="0"/>
        <w:rPr>
          <w:sz w:val="24"/>
          <w:szCs w:val="24"/>
        </w:rPr>
      </w:pPr>
      <w:r w:rsidRPr="003D75FB">
        <w:rPr>
          <w:sz w:val="24"/>
          <w:szCs w:val="24"/>
        </w:rPr>
        <w:t>In terms of economic welfare,</w:t>
      </w:r>
      <w:r w:rsidR="00EB3C71">
        <w:rPr>
          <w:sz w:val="24"/>
          <w:szCs w:val="24"/>
        </w:rPr>
        <w:t xml:space="preserve"> results show</w:t>
      </w:r>
      <w:r w:rsidRPr="003D75FB">
        <w:rPr>
          <w:sz w:val="24"/>
          <w:szCs w:val="24"/>
        </w:rPr>
        <w:t xml:space="preserve"> t</w:t>
      </w:r>
      <w:r w:rsidR="00CC0D5E" w:rsidRPr="003D75FB">
        <w:rPr>
          <w:sz w:val="24"/>
          <w:szCs w:val="24"/>
        </w:rPr>
        <w:t xml:space="preserve">here is </w:t>
      </w:r>
      <w:r w:rsidR="007D2D17" w:rsidRPr="003D75FB">
        <w:rPr>
          <w:sz w:val="24"/>
          <w:szCs w:val="24"/>
        </w:rPr>
        <w:t xml:space="preserve">a </w:t>
      </w:r>
      <w:r w:rsidRPr="003D75FB">
        <w:rPr>
          <w:sz w:val="24"/>
          <w:szCs w:val="24"/>
        </w:rPr>
        <w:t xml:space="preserve">systematically </w:t>
      </w:r>
      <w:r w:rsidR="00CC0D5E" w:rsidRPr="003D75FB">
        <w:rPr>
          <w:sz w:val="24"/>
          <w:szCs w:val="24"/>
        </w:rPr>
        <w:t xml:space="preserve">large difference between consumer and producer surplus. Consumer surplus is consistently greater across the three </w:t>
      </w:r>
      <w:r w:rsidR="00EB3C71">
        <w:rPr>
          <w:sz w:val="24"/>
          <w:szCs w:val="24"/>
        </w:rPr>
        <w:t>policy targets</w:t>
      </w:r>
      <w:r w:rsidR="00CC0D5E" w:rsidRPr="003D75FB">
        <w:rPr>
          <w:sz w:val="24"/>
          <w:szCs w:val="24"/>
        </w:rPr>
        <w:t xml:space="preserve">, indicating that the market benefits housing developers more than farmers. This has an interesting relevance given the current state of biodiversity offset discussions within the UK policy context. The current plans are backed heavily by housing developers, with many even </w:t>
      </w:r>
      <w:proofErr w:type="gramStart"/>
      <w:r w:rsidR="00CC0D5E" w:rsidRPr="003D75FB">
        <w:rPr>
          <w:sz w:val="24"/>
          <w:szCs w:val="24"/>
        </w:rPr>
        <w:t>keen</w:t>
      </w:r>
      <w:proofErr w:type="gramEnd"/>
      <w:r w:rsidR="00CC0D5E" w:rsidRPr="003D75FB">
        <w:rPr>
          <w:sz w:val="24"/>
          <w:szCs w:val="24"/>
        </w:rPr>
        <w:t xml:space="preserve"> to adopt a “net gain agenda”</w:t>
      </w:r>
      <w:r w:rsidR="00C95F85">
        <w:rPr>
          <w:sz w:val="24"/>
          <w:szCs w:val="24"/>
        </w:rPr>
        <w:t xml:space="preserve">. This </w:t>
      </w:r>
      <w:r w:rsidR="00C95F85" w:rsidRPr="00C95F85">
        <w:rPr>
          <w:sz w:val="24"/>
          <w:szCs w:val="24"/>
        </w:rPr>
        <w:t>approach to development that aims to leave the natural environment in a measurably better state than beforehand</w:t>
      </w:r>
      <w:r w:rsidR="00C95F85">
        <w:rPr>
          <w:sz w:val="24"/>
          <w:szCs w:val="24"/>
        </w:rPr>
        <w:t xml:space="preserve"> (HM Government</w:t>
      </w:r>
      <w:r w:rsidR="00070107">
        <w:rPr>
          <w:sz w:val="24"/>
          <w:szCs w:val="24"/>
        </w:rPr>
        <w:t>,</w:t>
      </w:r>
      <w:r w:rsidR="00C95F85">
        <w:rPr>
          <w:sz w:val="24"/>
          <w:szCs w:val="24"/>
        </w:rPr>
        <w:t xml:space="preserve"> 2018).</w:t>
      </w:r>
      <w:r w:rsidR="00CC0D5E" w:rsidRPr="003D75FB">
        <w:rPr>
          <w:sz w:val="24"/>
          <w:szCs w:val="24"/>
        </w:rPr>
        <w:t xml:space="preserve"> However, there is a significant lack of farmers</w:t>
      </w:r>
      <w:r w:rsidRPr="003D75FB">
        <w:rPr>
          <w:sz w:val="24"/>
          <w:szCs w:val="24"/>
        </w:rPr>
        <w:t>/</w:t>
      </w:r>
      <w:r w:rsidR="00CC0D5E" w:rsidRPr="003D75FB">
        <w:rPr>
          <w:sz w:val="24"/>
          <w:szCs w:val="24"/>
        </w:rPr>
        <w:t xml:space="preserve">landowners willing to take part in the planning process or engage in the biodiversity offset pilot schemes </w:t>
      </w:r>
      <w:r w:rsidR="00CC0D5E" w:rsidRPr="003D75FB">
        <w:rPr>
          <w:sz w:val="24"/>
          <w:szCs w:val="24"/>
        </w:rPr>
        <w:fldChar w:fldCharType="begin" w:fldLock="1"/>
      </w:r>
      <w:r w:rsidR="00CC0D5E" w:rsidRPr="003D75FB">
        <w:rPr>
          <w:sz w:val="24"/>
          <w:szCs w:val="24"/>
        </w:rPr>
        <w:instrText>ADDIN CSL_CITATION {"citationItems":[{"id":"ITEM-1","itemData":{"DOI":"10.1016/j.ecoser.2015.01.009","ISSN":"22120416","abstract":"Biodiversity offsetting (BDO) is presented as capable of mitigating development-related harm to populations of species while simultaneously enhancing economic development. The technique involves constructing such harm as a result of market failures, which can be resolved through market solutions. BDO is contentious, attracting outspoken proponents and opponents in equal measure. We examine competing perspectives of interested non-governmental actors through a structured discourse analysis, using qualitative data coding, of 24 written evidence submissions to the UK Parliament's Environmental Audit Committee's 2013 Inquiry into Biodiversity Offsetting in England. Nuanced positions and areas of agreement notwithstanding, we find that there is a discernible oppositional pattern producing core polarities between organisations favouring and resisting BDO. In interpreting these oppositional dynamics we observe that it is unlikely that this impasse can be resolved since although the debate is framed in terms of differences of view regarding the effectiveness or desirability of specific technical aspects of BDO policy, these differences arise from fundamentally divergent value framings. Struggles over offsetting involve irresolvable value struggles, and negotiations over the assumed (ir)rationality of biodiversity offsetting are thus located firmly within political and ideological arenas.","author":[{"dropping-particle":"","family":"Sullivan","given":"S.","non-dropping-particle":"","parse-names":false,"suffix":""},{"dropping-particle":"","family":"Hannis","given":"M.","non-dropping-particle":"","parse-names":false,"suffix":""}],"container-title":"Ecosystem Services","id":"ITEM-1","issued":{"date-parts":[["2015","10","1"]]},"page":"162-173","publisher":"Elsevier","title":"Nets and frames, losses and gains: Value struggles in engagements with biodiversity offsetting policy in England","type":"article-journal","volume":"15"},"uris":["http://www.mendeley.com/documents/?uuid=5f212941-b517-36b7-9c81-cfe77fb15b5f"]}],"mendeley":{"formattedCitation":"(Sullivan and Hannis 2015)","plainTextFormattedCitation":"(Sullivan and Hannis 2015)","previouslyFormattedCitation":"(Sullivan and Hannis 2015)"},"properties":{"noteIndex":0},"schema":"https://github.com/citation-style-language/schema/raw/master/csl-citation.json"}</w:instrText>
      </w:r>
      <w:r w:rsidR="00CC0D5E" w:rsidRPr="003D75FB">
        <w:rPr>
          <w:sz w:val="24"/>
          <w:szCs w:val="24"/>
        </w:rPr>
        <w:fldChar w:fldCharType="separate"/>
      </w:r>
      <w:r w:rsidR="00CC0D5E" w:rsidRPr="003D75FB">
        <w:rPr>
          <w:noProof/>
          <w:sz w:val="24"/>
          <w:szCs w:val="24"/>
        </w:rPr>
        <w:t>(Sullivan and Hannis</w:t>
      </w:r>
      <w:r w:rsidR="00070107">
        <w:rPr>
          <w:noProof/>
          <w:sz w:val="24"/>
          <w:szCs w:val="24"/>
        </w:rPr>
        <w:t>,</w:t>
      </w:r>
      <w:r w:rsidR="00CC0D5E" w:rsidRPr="003D75FB">
        <w:rPr>
          <w:noProof/>
          <w:sz w:val="24"/>
          <w:szCs w:val="24"/>
        </w:rPr>
        <w:t xml:space="preserve"> 2015)</w:t>
      </w:r>
      <w:r w:rsidR="00CC0D5E" w:rsidRPr="003D75FB">
        <w:rPr>
          <w:sz w:val="24"/>
          <w:szCs w:val="24"/>
        </w:rPr>
        <w:fldChar w:fldCharType="end"/>
      </w:r>
      <w:r w:rsidR="00CC0D5E" w:rsidRPr="003D75FB">
        <w:rPr>
          <w:sz w:val="24"/>
          <w:szCs w:val="24"/>
        </w:rPr>
        <w:t xml:space="preserve">. At present, the current incentives offered by biodiversity offsetting are not strong enough for these entities to begin to engage with the policy process. </w:t>
      </w:r>
    </w:p>
    <w:p w14:paraId="36CE95F0" w14:textId="36B37D6D" w:rsidR="00EB3C71" w:rsidRDefault="00026F69">
      <w:pPr>
        <w:spacing w:line="480" w:lineRule="auto"/>
        <w:ind w:firstLine="0"/>
        <w:rPr>
          <w:sz w:val="24"/>
          <w:szCs w:val="24"/>
        </w:rPr>
      </w:pPr>
      <w:r>
        <w:rPr>
          <w:sz w:val="24"/>
          <w:szCs w:val="24"/>
        </w:rPr>
        <w:t xml:space="preserve">Our analysis also considered how changing the geographical market region </w:t>
      </w:r>
      <w:r w:rsidR="0022002F">
        <w:rPr>
          <w:sz w:val="24"/>
          <w:szCs w:val="24"/>
        </w:rPr>
        <w:t>a</w:t>
      </w:r>
      <w:r>
        <w:rPr>
          <w:sz w:val="24"/>
          <w:szCs w:val="24"/>
        </w:rPr>
        <w:t xml:space="preserve">ffects economic and ecological outcomes. </w:t>
      </w:r>
      <w:r w:rsidR="007A7099" w:rsidRPr="003D75FB">
        <w:rPr>
          <w:sz w:val="24"/>
          <w:szCs w:val="24"/>
        </w:rPr>
        <w:t xml:space="preserve">In general, </w:t>
      </w:r>
      <w:r w:rsidR="00EB3C71">
        <w:rPr>
          <w:sz w:val="24"/>
          <w:szCs w:val="24"/>
        </w:rPr>
        <w:t>efficient</w:t>
      </w:r>
      <w:r w:rsidR="007A7099" w:rsidRPr="003D75FB">
        <w:rPr>
          <w:sz w:val="24"/>
          <w:szCs w:val="24"/>
        </w:rPr>
        <w:t xml:space="preserve"> markets are those featuring a </w:t>
      </w:r>
      <w:r w:rsidR="007D2D17" w:rsidRPr="003D75FB">
        <w:rPr>
          <w:sz w:val="24"/>
          <w:szCs w:val="24"/>
        </w:rPr>
        <w:t>high</w:t>
      </w:r>
      <w:r w:rsidR="007A7099" w:rsidRPr="003D75FB">
        <w:rPr>
          <w:sz w:val="24"/>
          <w:szCs w:val="24"/>
        </w:rPr>
        <w:t xml:space="preserve"> number of participants </w:t>
      </w:r>
      <w:r w:rsidR="00D57670">
        <w:rPr>
          <w:sz w:val="24"/>
          <w:szCs w:val="24"/>
        </w:rPr>
        <w:t>in order to</w:t>
      </w:r>
      <w:r w:rsidR="00D57670" w:rsidRPr="003D75FB">
        <w:rPr>
          <w:sz w:val="24"/>
          <w:szCs w:val="24"/>
        </w:rPr>
        <w:t xml:space="preserve"> </w:t>
      </w:r>
      <w:r w:rsidR="007A7099" w:rsidRPr="003D75FB">
        <w:rPr>
          <w:sz w:val="24"/>
          <w:szCs w:val="24"/>
        </w:rPr>
        <w:t xml:space="preserve">stimulate trading and enhance market liquidity. Such markets would </w:t>
      </w:r>
      <w:r w:rsidR="007A7099" w:rsidRPr="003D75FB">
        <w:rPr>
          <w:sz w:val="24"/>
          <w:szCs w:val="24"/>
        </w:rPr>
        <w:lastRenderedPageBreak/>
        <w:t xml:space="preserve">likely feature </w:t>
      </w:r>
      <w:proofErr w:type="gramStart"/>
      <w:r w:rsidR="007A7099" w:rsidRPr="003D75FB">
        <w:rPr>
          <w:sz w:val="24"/>
          <w:szCs w:val="24"/>
        </w:rPr>
        <w:t>less</w:t>
      </w:r>
      <w:proofErr w:type="gramEnd"/>
      <w:r w:rsidR="007A7099" w:rsidRPr="003D75FB">
        <w:rPr>
          <w:sz w:val="24"/>
          <w:szCs w:val="24"/>
        </w:rPr>
        <w:t xml:space="preserve"> volatile prices </w:t>
      </w:r>
      <w:r w:rsidR="007D2D17" w:rsidRPr="003D75FB">
        <w:rPr>
          <w:sz w:val="24"/>
          <w:szCs w:val="24"/>
        </w:rPr>
        <w:t xml:space="preserve">than thin markets, </w:t>
      </w:r>
      <w:r w:rsidR="007A7099" w:rsidRPr="003D75FB">
        <w:rPr>
          <w:sz w:val="24"/>
          <w:szCs w:val="24"/>
        </w:rPr>
        <w:t>reducing price uncertainty</w:t>
      </w:r>
      <w:r w:rsidR="007D2D17" w:rsidRPr="003D75FB">
        <w:rPr>
          <w:sz w:val="24"/>
          <w:szCs w:val="24"/>
        </w:rPr>
        <w:t xml:space="preserve"> in a manner</w:t>
      </w:r>
      <w:r w:rsidR="007A7099" w:rsidRPr="003D75FB">
        <w:rPr>
          <w:sz w:val="24"/>
          <w:szCs w:val="24"/>
        </w:rPr>
        <w:t xml:space="preserve"> conducive to more investment in conservation (</w:t>
      </w:r>
      <w:proofErr w:type="spellStart"/>
      <w:r w:rsidR="007A7099" w:rsidRPr="003D75FB">
        <w:rPr>
          <w:sz w:val="24"/>
          <w:szCs w:val="24"/>
        </w:rPr>
        <w:t>Wissel</w:t>
      </w:r>
      <w:proofErr w:type="spellEnd"/>
      <w:r w:rsidR="007A7099" w:rsidRPr="003D75FB">
        <w:rPr>
          <w:sz w:val="24"/>
          <w:szCs w:val="24"/>
        </w:rPr>
        <w:t xml:space="preserve"> and </w:t>
      </w:r>
      <w:proofErr w:type="spellStart"/>
      <w:r w:rsidR="007A7099" w:rsidRPr="003D75FB">
        <w:rPr>
          <w:sz w:val="24"/>
          <w:szCs w:val="24"/>
        </w:rPr>
        <w:t>Wätzold</w:t>
      </w:r>
      <w:proofErr w:type="spellEnd"/>
      <w:r w:rsidR="007A7099" w:rsidRPr="003D75FB">
        <w:rPr>
          <w:sz w:val="24"/>
          <w:szCs w:val="24"/>
        </w:rPr>
        <w:t xml:space="preserve">, 2010). Our theoretical model predicts that an increase in the number of sellers would increase the </w:t>
      </w:r>
      <w:r w:rsidR="0022002F">
        <w:rPr>
          <w:sz w:val="24"/>
          <w:szCs w:val="24"/>
        </w:rPr>
        <w:t>number</w:t>
      </w:r>
      <w:r w:rsidR="007A7099" w:rsidRPr="003D75FB">
        <w:rPr>
          <w:sz w:val="24"/>
          <w:szCs w:val="24"/>
        </w:rPr>
        <w:t xml:space="preserve"> of hectares that generate offsets, resulting in downward pressure on the equilibrium credit price. In contrast, the equilibrium price would increase if demand would be enhanced through an increase in the number of buyers. </w:t>
      </w:r>
    </w:p>
    <w:p w14:paraId="23615CE6" w14:textId="6315D260" w:rsidR="00EB3C71" w:rsidRDefault="007A7099">
      <w:pPr>
        <w:spacing w:line="480" w:lineRule="auto"/>
        <w:ind w:firstLine="0"/>
        <w:rPr>
          <w:sz w:val="24"/>
          <w:szCs w:val="24"/>
        </w:rPr>
      </w:pPr>
      <w:r w:rsidRPr="003D75FB">
        <w:rPr>
          <w:sz w:val="24"/>
          <w:szCs w:val="24"/>
        </w:rPr>
        <w:t>In our empirical model</w:t>
      </w:r>
      <w:r w:rsidR="0022002F">
        <w:rPr>
          <w:sz w:val="24"/>
          <w:szCs w:val="24"/>
        </w:rPr>
        <w:t>,</w:t>
      </w:r>
      <w:r w:rsidRPr="003D75FB">
        <w:rPr>
          <w:sz w:val="24"/>
          <w:szCs w:val="24"/>
        </w:rPr>
        <w:t xml:space="preserve"> we can only adjust the number of potential sellers by changing the market boundaries. However, by doing this we change the spatial heterogeneity embedded in </w:t>
      </w:r>
      <w:r w:rsidR="007D2D17" w:rsidRPr="003D75FB">
        <w:rPr>
          <w:sz w:val="24"/>
          <w:szCs w:val="24"/>
        </w:rPr>
        <w:t xml:space="preserve">both </w:t>
      </w:r>
      <w:r w:rsidRPr="003D75FB">
        <w:rPr>
          <w:sz w:val="24"/>
          <w:szCs w:val="24"/>
        </w:rPr>
        <w:t xml:space="preserve">the supply and demand curves. This leads to a counter-intuitive </w:t>
      </w:r>
      <w:r w:rsidR="007D2D17" w:rsidRPr="003D75FB">
        <w:rPr>
          <w:sz w:val="24"/>
          <w:szCs w:val="24"/>
        </w:rPr>
        <w:t xml:space="preserve">empirical </w:t>
      </w:r>
      <w:r w:rsidRPr="003D75FB">
        <w:rPr>
          <w:sz w:val="24"/>
          <w:szCs w:val="24"/>
        </w:rPr>
        <w:t>result when we</w:t>
      </w:r>
      <w:r w:rsidR="00026F69">
        <w:rPr>
          <w:sz w:val="24"/>
          <w:szCs w:val="24"/>
        </w:rPr>
        <w:t xml:space="preserve"> repeat our analysis over three restricted trading regions (referred to as Planning areas). </w:t>
      </w:r>
      <w:r w:rsidR="00371F19" w:rsidRPr="003D75FB">
        <w:rPr>
          <w:sz w:val="24"/>
          <w:szCs w:val="24"/>
        </w:rPr>
        <w:t xml:space="preserve"> T</w:t>
      </w:r>
      <w:r w:rsidRPr="003D75FB">
        <w:rPr>
          <w:sz w:val="24"/>
          <w:szCs w:val="24"/>
        </w:rPr>
        <w:t xml:space="preserve">he </w:t>
      </w:r>
      <w:r w:rsidR="00026F69">
        <w:rPr>
          <w:sz w:val="24"/>
          <w:szCs w:val="24"/>
        </w:rPr>
        <w:t>smallest region for trading</w:t>
      </w:r>
      <w:r w:rsidR="00371F19" w:rsidRPr="003D75FB">
        <w:rPr>
          <w:sz w:val="24"/>
          <w:szCs w:val="24"/>
        </w:rPr>
        <w:t xml:space="preserve"> (Planning area 1)</w:t>
      </w:r>
      <w:r w:rsidRPr="003D75FB">
        <w:rPr>
          <w:sz w:val="24"/>
          <w:szCs w:val="24"/>
        </w:rPr>
        <w:t xml:space="preserve"> had the lowest equilibrium price offset credit. This </w:t>
      </w:r>
      <w:r w:rsidR="00026F69">
        <w:rPr>
          <w:sz w:val="24"/>
          <w:szCs w:val="24"/>
        </w:rPr>
        <w:t>region</w:t>
      </w:r>
      <w:r w:rsidRPr="003D75FB">
        <w:rPr>
          <w:sz w:val="24"/>
          <w:szCs w:val="24"/>
        </w:rPr>
        <w:t xml:space="preserve"> only contain</w:t>
      </w:r>
      <w:r w:rsidR="00EB3C71">
        <w:rPr>
          <w:sz w:val="24"/>
          <w:szCs w:val="24"/>
        </w:rPr>
        <w:t>ed</w:t>
      </w:r>
      <w:r w:rsidRPr="003D75FB">
        <w:rPr>
          <w:sz w:val="24"/>
          <w:szCs w:val="24"/>
        </w:rPr>
        <w:t xml:space="preserve"> two offset supply sites, which, however, offer</w:t>
      </w:r>
      <w:r w:rsidR="00EB3C71">
        <w:rPr>
          <w:sz w:val="24"/>
          <w:szCs w:val="24"/>
        </w:rPr>
        <w:t>ed</w:t>
      </w:r>
      <w:r w:rsidRPr="003D75FB">
        <w:rPr>
          <w:sz w:val="24"/>
          <w:szCs w:val="24"/>
        </w:rPr>
        <w:t xml:space="preserve"> a high number of credits due to the </w:t>
      </w:r>
      <w:r w:rsidR="007D2D17" w:rsidRPr="003D75FB">
        <w:rPr>
          <w:sz w:val="24"/>
          <w:szCs w:val="24"/>
        </w:rPr>
        <w:t xml:space="preserve">high </w:t>
      </w:r>
      <w:r w:rsidRPr="003D75FB">
        <w:rPr>
          <w:sz w:val="24"/>
          <w:szCs w:val="24"/>
        </w:rPr>
        <w:t>ecological productivity of the two land parcels</w:t>
      </w:r>
      <w:r w:rsidR="007D2D17" w:rsidRPr="003D75FB">
        <w:rPr>
          <w:sz w:val="24"/>
          <w:szCs w:val="24"/>
        </w:rPr>
        <w:t xml:space="preserve"> (that is, changing </w:t>
      </w:r>
      <w:r w:rsidR="00EB3C71">
        <w:rPr>
          <w:sz w:val="24"/>
          <w:szCs w:val="24"/>
        </w:rPr>
        <w:t xml:space="preserve">the </w:t>
      </w:r>
      <w:r w:rsidR="007D2D17" w:rsidRPr="003D75FB">
        <w:rPr>
          <w:sz w:val="24"/>
          <w:szCs w:val="24"/>
        </w:rPr>
        <w:t>land management to grassland produce</w:t>
      </w:r>
      <w:r w:rsidR="00EB3C71">
        <w:rPr>
          <w:sz w:val="24"/>
          <w:szCs w:val="24"/>
        </w:rPr>
        <w:t>d</w:t>
      </w:r>
      <w:r w:rsidR="007D2D17" w:rsidRPr="003D75FB">
        <w:rPr>
          <w:sz w:val="24"/>
          <w:szCs w:val="24"/>
        </w:rPr>
        <w:t xml:space="preserve"> a large predicted rise in target species abundance)</w:t>
      </w:r>
      <w:r w:rsidRPr="003D75FB">
        <w:rPr>
          <w:sz w:val="24"/>
          <w:szCs w:val="24"/>
        </w:rPr>
        <w:t xml:space="preserve">. Since credits are supplied </w:t>
      </w:r>
      <w:r w:rsidR="007D2D17" w:rsidRPr="003D75FB">
        <w:rPr>
          <w:sz w:val="24"/>
          <w:szCs w:val="24"/>
        </w:rPr>
        <w:t xml:space="preserve">relatively </w:t>
      </w:r>
      <w:r w:rsidRPr="003D75FB">
        <w:rPr>
          <w:sz w:val="24"/>
          <w:szCs w:val="24"/>
        </w:rPr>
        <w:t xml:space="preserve">cheaply due to the low opportunity costs of the land, the total amount of development increases within this area (for new development not requiring offsets) due to spatial heterogeneity in land value for development. That is, land value in the region is low, thus depressing the developers’ maximum willingness to pay for an offset. As such, </w:t>
      </w:r>
      <w:r w:rsidR="00026F69">
        <w:rPr>
          <w:sz w:val="24"/>
          <w:szCs w:val="24"/>
        </w:rPr>
        <w:t xml:space="preserve">when trading could take place across the whole case study area un-restricted, and the market equilibrium offset price was higher, </w:t>
      </w:r>
      <w:r w:rsidR="0022002F">
        <w:rPr>
          <w:sz w:val="24"/>
          <w:szCs w:val="24"/>
        </w:rPr>
        <w:t xml:space="preserve">the </w:t>
      </w:r>
      <w:r w:rsidRPr="003D75FB">
        <w:rPr>
          <w:sz w:val="24"/>
          <w:szCs w:val="24"/>
        </w:rPr>
        <w:t>development would not take place in the same locations since developers would instead choose more profitable land parcels.</w:t>
      </w:r>
      <w:r w:rsidR="00371F19" w:rsidRPr="003D75FB">
        <w:rPr>
          <w:sz w:val="24"/>
          <w:szCs w:val="24"/>
        </w:rPr>
        <w:t xml:space="preserve"> </w:t>
      </w:r>
    </w:p>
    <w:p w14:paraId="6F0346E4" w14:textId="47680E07" w:rsidR="00EB3C71" w:rsidRDefault="00371F19">
      <w:pPr>
        <w:spacing w:line="480" w:lineRule="auto"/>
        <w:ind w:firstLine="0"/>
        <w:rPr>
          <w:sz w:val="24"/>
          <w:szCs w:val="24"/>
        </w:rPr>
      </w:pPr>
      <w:r w:rsidRPr="003D75FB">
        <w:rPr>
          <w:sz w:val="24"/>
          <w:szCs w:val="24"/>
        </w:rPr>
        <w:t>In contrast, for Planning areas 2 and 3, the credit price</w:t>
      </w:r>
      <w:r w:rsidR="00592FA4">
        <w:rPr>
          <w:sz w:val="24"/>
          <w:szCs w:val="24"/>
        </w:rPr>
        <w:t xml:space="preserve">s are greater than the </w:t>
      </w:r>
      <w:r w:rsidR="00026F69">
        <w:rPr>
          <w:sz w:val="24"/>
          <w:szCs w:val="24"/>
        </w:rPr>
        <w:t xml:space="preserve">unrestricted trading scenario </w:t>
      </w:r>
      <w:r w:rsidRPr="003D75FB">
        <w:rPr>
          <w:sz w:val="24"/>
          <w:szCs w:val="24"/>
        </w:rPr>
        <w:t>market equilibrium price of (£26,000 and £29,000 per offset respectively</w:t>
      </w:r>
      <w:r w:rsidR="00592FA4">
        <w:rPr>
          <w:sz w:val="24"/>
          <w:szCs w:val="24"/>
        </w:rPr>
        <w:t>)</w:t>
      </w:r>
      <w:r w:rsidRPr="003D75FB">
        <w:rPr>
          <w:sz w:val="24"/>
          <w:szCs w:val="24"/>
        </w:rPr>
        <w:t xml:space="preserve">. In these two </w:t>
      </w:r>
      <w:r w:rsidR="00026F69">
        <w:rPr>
          <w:sz w:val="24"/>
          <w:szCs w:val="24"/>
        </w:rPr>
        <w:t>regions</w:t>
      </w:r>
      <w:r w:rsidRPr="003D75FB">
        <w:rPr>
          <w:sz w:val="24"/>
          <w:szCs w:val="24"/>
        </w:rPr>
        <w:t xml:space="preserve"> where the credit price increases, demand for new development falls, consistent </w:t>
      </w:r>
      <w:r w:rsidRPr="003D75FB">
        <w:rPr>
          <w:sz w:val="24"/>
          <w:szCs w:val="24"/>
        </w:rPr>
        <w:lastRenderedPageBreak/>
        <w:t xml:space="preserve">with the theoretical prediction. Spatially this is due to these areas no longer having access to the cheapest offset supply sites. This is particularly evident in Planning area 3 where new offset suppliers enter the market as a result of an increase in the </w:t>
      </w:r>
      <w:r w:rsidR="00D57670">
        <w:rPr>
          <w:sz w:val="24"/>
          <w:szCs w:val="24"/>
        </w:rPr>
        <w:t xml:space="preserve">equilibrium </w:t>
      </w:r>
      <w:r w:rsidRPr="003D75FB">
        <w:rPr>
          <w:sz w:val="24"/>
          <w:szCs w:val="24"/>
        </w:rPr>
        <w:t>offset supply price.</w:t>
      </w:r>
      <w:r w:rsidR="00D57670">
        <w:rPr>
          <w:sz w:val="24"/>
          <w:szCs w:val="24"/>
        </w:rPr>
        <w:t xml:space="preserve"> </w:t>
      </w:r>
      <w:r w:rsidR="007A7099" w:rsidRPr="003D75FB">
        <w:rPr>
          <w:sz w:val="24"/>
          <w:szCs w:val="24"/>
        </w:rPr>
        <w:t xml:space="preserve">Ecologically it appears that configuring smaller </w:t>
      </w:r>
      <w:r w:rsidR="00026F69">
        <w:rPr>
          <w:sz w:val="24"/>
          <w:szCs w:val="24"/>
        </w:rPr>
        <w:t>trading regions is more beneficial</w:t>
      </w:r>
      <w:r w:rsidR="00EB3C71">
        <w:rPr>
          <w:sz w:val="24"/>
          <w:szCs w:val="24"/>
        </w:rPr>
        <w:t>,</w:t>
      </w:r>
      <w:r w:rsidRPr="003D75FB">
        <w:rPr>
          <w:sz w:val="24"/>
          <w:szCs w:val="24"/>
        </w:rPr>
        <w:t xml:space="preserve"> as the losses in </w:t>
      </w:r>
      <w:r w:rsidR="00EB3C71">
        <w:rPr>
          <w:sz w:val="24"/>
          <w:szCs w:val="24"/>
        </w:rPr>
        <w:t>the non-target species</w:t>
      </w:r>
      <w:r w:rsidRPr="003D75FB">
        <w:rPr>
          <w:sz w:val="24"/>
          <w:szCs w:val="24"/>
        </w:rPr>
        <w:t xml:space="preserve"> are smaller than the</w:t>
      </w:r>
      <w:r w:rsidR="007A7099" w:rsidRPr="003D75FB">
        <w:rPr>
          <w:sz w:val="24"/>
          <w:szCs w:val="24"/>
        </w:rPr>
        <w:t xml:space="preserve"> full market scenario. This is a result of the decline in new development due to the increase in credit price in two of the </w:t>
      </w:r>
      <w:r w:rsidR="00026F69">
        <w:rPr>
          <w:sz w:val="24"/>
          <w:szCs w:val="24"/>
        </w:rPr>
        <w:t>restricted planning regions</w:t>
      </w:r>
      <w:r w:rsidR="007A7099" w:rsidRPr="003D75FB">
        <w:rPr>
          <w:sz w:val="24"/>
          <w:szCs w:val="24"/>
        </w:rPr>
        <w:t xml:space="preserve">. </w:t>
      </w:r>
    </w:p>
    <w:p w14:paraId="27B0B055" w14:textId="30FEBE99" w:rsidR="007A7099" w:rsidRPr="003D75FB" w:rsidRDefault="00EB3C71">
      <w:pPr>
        <w:spacing w:line="480" w:lineRule="auto"/>
        <w:ind w:firstLine="0"/>
        <w:rPr>
          <w:sz w:val="24"/>
          <w:szCs w:val="24"/>
        </w:rPr>
      </w:pPr>
      <w:r>
        <w:rPr>
          <w:sz w:val="24"/>
          <w:szCs w:val="24"/>
        </w:rPr>
        <w:t>An</w:t>
      </w:r>
      <w:r w:rsidR="00D57670">
        <w:rPr>
          <w:sz w:val="24"/>
          <w:szCs w:val="24"/>
        </w:rPr>
        <w:t>other</w:t>
      </w:r>
      <w:r>
        <w:rPr>
          <w:sz w:val="24"/>
          <w:szCs w:val="24"/>
        </w:rPr>
        <w:t xml:space="preserve"> ecological concern of </w:t>
      </w:r>
      <w:r w:rsidR="00026F69">
        <w:rPr>
          <w:sz w:val="24"/>
          <w:szCs w:val="24"/>
        </w:rPr>
        <w:t xml:space="preserve">trading taking place across the full case study area </w:t>
      </w:r>
      <w:r>
        <w:rPr>
          <w:sz w:val="24"/>
          <w:szCs w:val="24"/>
        </w:rPr>
        <w:t xml:space="preserve">is the spatial differences between the location of newly created offset sites and areas of land lost to development. </w:t>
      </w:r>
      <w:r w:rsidR="007A7099" w:rsidRPr="003D75FB">
        <w:rPr>
          <w:sz w:val="24"/>
          <w:szCs w:val="24"/>
        </w:rPr>
        <w:t xml:space="preserve"> </w:t>
      </w:r>
      <w:r>
        <w:rPr>
          <w:sz w:val="24"/>
          <w:szCs w:val="24"/>
        </w:rPr>
        <w:t>For example, under the oystercatcher policy target, d</w:t>
      </w:r>
      <w:r w:rsidR="007A7099" w:rsidRPr="003D75FB">
        <w:rPr>
          <w:sz w:val="24"/>
          <w:szCs w:val="24"/>
        </w:rPr>
        <w:t xml:space="preserve">evelopment takes place in upland regions where oystercatchers breed in the spring and summer months, but offset sites are created along the coastal margin, a favourable overwintering habitat. A benefit of </w:t>
      </w:r>
      <w:r w:rsidR="00D57670">
        <w:rPr>
          <w:sz w:val="24"/>
          <w:szCs w:val="24"/>
        </w:rPr>
        <w:t xml:space="preserve">more </w:t>
      </w:r>
      <w:proofErr w:type="gramStart"/>
      <w:r w:rsidR="00D57670">
        <w:rPr>
          <w:sz w:val="24"/>
          <w:szCs w:val="24"/>
        </w:rPr>
        <w:t>spatially-</w:t>
      </w:r>
      <w:r w:rsidR="00026F69">
        <w:rPr>
          <w:sz w:val="24"/>
          <w:szCs w:val="24"/>
        </w:rPr>
        <w:t>restricted</w:t>
      </w:r>
      <w:proofErr w:type="gramEnd"/>
      <w:r w:rsidR="00026F69">
        <w:rPr>
          <w:sz w:val="24"/>
          <w:szCs w:val="24"/>
        </w:rPr>
        <w:t xml:space="preserve"> markets </w:t>
      </w:r>
      <w:r>
        <w:rPr>
          <w:sz w:val="24"/>
          <w:szCs w:val="24"/>
        </w:rPr>
        <w:t xml:space="preserve">is </w:t>
      </w:r>
      <w:r w:rsidR="007A7099" w:rsidRPr="003D75FB">
        <w:rPr>
          <w:sz w:val="24"/>
          <w:szCs w:val="24"/>
        </w:rPr>
        <w:t xml:space="preserve">that </w:t>
      </w:r>
      <w:r w:rsidR="00D57670">
        <w:rPr>
          <w:sz w:val="24"/>
          <w:szCs w:val="24"/>
        </w:rPr>
        <w:t>this</w:t>
      </w:r>
      <w:r w:rsidR="007A7099" w:rsidRPr="003D75FB">
        <w:rPr>
          <w:sz w:val="24"/>
          <w:szCs w:val="24"/>
        </w:rPr>
        <w:t xml:space="preserve"> forces the creation of more expensive offset sites inland</w:t>
      </w:r>
      <w:r>
        <w:rPr>
          <w:sz w:val="24"/>
          <w:szCs w:val="24"/>
        </w:rPr>
        <w:t xml:space="preserve"> (creating potential breeding habitat)</w:t>
      </w:r>
      <w:r w:rsidR="007A7099" w:rsidRPr="003D75FB">
        <w:rPr>
          <w:sz w:val="24"/>
          <w:szCs w:val="24"/>
        </w:rPr>
        <w:t xml:space="preserve">. If </w:t>
      </w:r>
      <w:r w:rsidR="00026F69">
        <w:rPr>
          <w:sz w:val="24"/>
          <w:szCs w:val="24"/>
        </w:rPr>
        <w:t>unrestricted trading</w:t>
      </w:r>
      <w:r w:rsidR="007A7099" w:rsidRPr="003D75FB">
        <w:rPr>
          <w:sz w:val="24"/>
          <w:szCs w:val="24"/>
        </w:rPr>
        <w:t xml:space="preserve"> was preferred</w:t>
      </w:r>
      <w:r w:rsidR="00026F69">
        <w:rPr>
          <w:sz w:val="24"/>
          <w:szCs w:val="24"/>
        </w:rPr>
        <w:t xml:space="preserve"> across the whole case study area</w:t>
      </w:r>
      <w:r w:rsidR="007A7099" w:rsidRPr="003D75FB">
        <w:rPr>
          <w:sz w:val="24"/>
          <w:szCs w:val="24"/>
        </w:rPr>
        <w:t>, a trading rule where only spring /summer habitat could be traded for newly created spring /summer habitat</w:t>
      </w:r>
      <w:r w:rsidR="0097656A" w:rsidRPr="003D75FB">
        <w:rPr>
          <w:sz w:val="24"/>
          <w:szCs w:val="24"/>
        </w:rPr>
        <w:t xml:space="preserve"> could be specified</w:t>
      </w:r>
      <w:r w:rsidR="007A7099" w:rsidRPr="003D75FB">
        <w:rPr>
          <w:sz w:val="24"/>
          <w:szCs w:val="24"/>
        </w:rPr>
        <w:t>. This likely reduces the total amount of new development due to higher credit prices.</w:t>
      </w:r>
    </w:p>
    <w:p w14:paraId="606ED85A" w14:textId="588D2C5A" w:rsidR="00EB3C71" w:rsidRDefault="00DA6B78" w:rsidP="00EB3C71">
      <w:pPr>
        <w:spacing w:line="480" w:lineRule="auto"/>
        <w:ind w:firstLine="0"/>
        <w:rPr>
          <w:sz w:val="24"/>
          <w:szCs w:val="24"/>
        </w:rPr>
      </w:pPr>
      <w:r w:rsidRPr="003D75FB">
        <w:rPr>
          <w:sz w:val="24"/>
          <w:szCs w:val="24"/>
        </w:rPr>
        <w:t>We would also like to note</w:t>
      </w:r>
      <w:r w:rsidR="00FA0D04" w:rsidRPr="003D75FB">
        <w:rPr>
          <w:sz w:val="24"/>
          <w:szCs w:val="24"/>
        </w:rPr>
        <w:t xml:space="preserve"> some limitations in the model and its application. </w:t>
      </w:r>
      <w:bookmarkStart w:id="46" w:name="_Hlk48890071"/>
      <w:r w:rsidR="00FA0D04" w:rsidRPr="003D75FB">
        <w:rPr>
          <w:sz w:val="24"/>
          <w:szCs w:val="24"/>
        </w:rPr>
        <w:t xml:space="preserve">Firstly, our model does not consider intertemporal dynamics regarding the ecological and economic aspects of the market. </w:t>
      </w:r>
      <w:r w:rsidRPr="003D75FB">
        <w:rPr>
          <w:sz w:val="24"/>
          <w:szCs w:val="24"/>
        </w:rPr>
        <w:t xml:space="preserve">In our </w:t>
      </w:r>
      <w:r w:rsidR="00FA0D04" w:rsidRPr="003D75FB">
        <w:rPr>
          <w:sz w:val="24"/>
          <w:szCs w:val="24"/>
        </w:rPr>
        <w:t>modelling approach</w:t>
      </w:r>
      <w:r w:rsidR="0022002F">
        <w:rPr>
          <w:sz w:val="24"/>
          <w:szCs w:val="24"/>
        </w:rPr>
        <w:t>,</w:t>
      </w:r>
      <w:r w:rsidR="00FA0D04" w:rsidRPr="003D75FB">
        <w:rPr>
          <w:sz w:val="24"/>
          <w:szCs w:val="24"/>
        </w:rPr>
        <w:t xml:space="preserve"> we chose to model two states: current land use where no offsetting took place and a second state where all offsetting take</w:t>
      </w:r>
      <w:r w:rsidRPr="003D75FB">
        <w:rPr>
          <w:sz w:val="24"/>
          <w:szCs w:val="24"/>
        </w:rPr>
        <w:t>s</w:t>
      </w:r>
      <w:r w:rsidR="00FA0D04" w:rsidRPr="003D75FB">
        <w:rPr>
          <w:sz w:val="24"/>
          <w:szCs w:val="24"/>
        </w:rPr>
        <w:t xml:space="preserve"> place up to </w:t>
      </w:r>
      <w:r w:rsidRPr="003D75FB">
        <w:rPr>
          <w:sz w:val="24"/>
          <w:szCs w:val="24"/>
        </w:rPr>
        <w:t xml:space="preserve">where </w:t>
      </w:r>
      <w:r w:rsidR="00FA0D04" w:rsidRPr="003D75FB">
        <w:rPr>
          <w:sz w:val="24"/>
          <w:szCs w:val="24"/>
        </w:rPr>
        <w:t xml:space="preserve">the market </w:t>
      </w:r>
      <w:r w:rsidRPr="003D75FB">
        <w:rPr>
          <w:sz w:val="24"/>
          <w:szCs w:val="24"/>
        </w:rPr>
        <w:t xml:space="preserve">reaches an </w:t>
      </w:r>
      <w:r w:rsidR="00FA0D04" w:rsidRPr="003D75FB">
        <w:rPr>
          <w:sz w:val="24"/>
          <w:szCs w:val="24"/>
        </w:rPr>
        <w:t>equilibrium. From an ecological viewpoint</w:t>
      </w:r>
      <w:r w:rsidR="0022002F">
        <w:rPr>
          <w:sz w:val="24"/>
          <w:szCs w:val="24"/>
        </w:rPr>
        <w:t>,</w:t>
      </w:r>
      <w:r w:rsidR="00FA0D04" w:rsidRPr="003D75FB">
        <w:rPr>
          <w:sz w:val="24"/>
          <w:szCs w:val="24"/>
        </w:rPr>
        <w:t xml:space="preserve"> this does not consider dynamics and time lags in the generation of the offset credits related to the target species</w:t>
      </w:r>
      <w:r w:rsidRPr="003D75FB">
        <w:rPr>
          <w:sz w:val="24"/>
          <w:szCs w:val="24"/>
        </w:rPr>
        <w:t>,</w:t>
      </w:r>
      <w:r w:rsidR="00FA0D04" w:rsidRPr="003D75FB">
        <w:rPr>
          <w:sz w:val="24"/>
          <w:szCs w:val="24"/>
        </w:rPr>
        <w:t xml:space="preserve"> which is a key concern of ecologists regarding offsetting </w:t>
      </w:r>
      <w:r w:rsidR="00FA0D04" w:rsidRPr="003D75FB">
        <w:rPr>
          <w:sz w:val="24"/>
          <w:szCs w:val="24"/>
        </w:rPr>
        <w:fldChar w:fldCharType="begin" w:fldLock="1"/>
      </w:r>
      <w:r w:rsidR="00FA0D04" w:rsidRPr="003D75FB">
        <w:rPr>
          <w:sz w:val="24"/>
          <w:szCs w:val="24"/>
        </w:rPr>
        <w:instrText>ADDIN CSL_CITATION {"citationItems":[{"id":"ITEM-1","itemData":{"DOI":"10.1111/j.1442-8903.2007.00328.x","ISSN":"14427001","abstract":"Offsets (also known as mitigation banks, compensatory habitat, set-asides) is a policy instrument recently introduced in several States in Australia to permit some land clearing while striving for no net loss in the extent and condition of native vegetation overall. Offsetting is criticized with respect to the amount of gain required to compensate for losses from clearing, the equivalence of losses and gains, the time lag between losses and gains and a poor record of compliance. Despite these criticisms, we conclude that offsetting is a useful policy instrument while governments continue to permit some clearing of native vegetation. However, offsets will only contribute to no net loss if (i) clearing is restricted to vegetation that is simplified enough so that its functions can be restored elsewhere with confidence or clearing is restricted to vegetation that is unlikely to persist and is not practicable to restore irrespective of clearing; (ii) any temporary loss in habitat between clearing and the maturation of an offset, or differences between the habitat lost from clearing and gained through an offset, does not represent significant risk to a species, population or ecosystem process; (iii) there will be gains of sufficient magnitude on the offset site to compensate for losses from clearing; (iv) best practice adaptive management is applied to offsets; (v) offsets are in place for at least the same duration as the impacts from clearing; and (vi) there is adequate compliance. Land clearing with offsets outside these parameters is inconsistent with 'no net loss'. © 2007 The Authors Journal compilation © 2007 Ecological Society of Australia.","author":[{"dropping-particle":"","family":"Gibbons","given":"Philip","non-dropping-particle":"","parse-names":false,"suffix":""},{"dropping-particle":"","family":"Lindenmayer","given":"David B.","non-dropping-particle":"","parse-names":false,"suffix":""}],"container-title":"Ecological Management and Restoration","id":"ITEM-1","issue":"1","issued":{"date-parts":[["2007","4"]]},"page":"26-31","title":"Offsets for land clearing: No net loss or the tail wagging the dog?: Comment","type":"article","volume":"8"},"uris":["http://www.mendeley.com/documents/?uuid=00572970-77e7-352a-9939-bc95078345be"]},{"id":"ITEM-2","itemData":{"DOI":"10.1016/j.biocon.2012.06.003","ISSN":"00063207","abstract":"The science and practice of ecological restoration are increasingly being called upon to compensate for the loss of biodiversity values caused by development projects. Biodiversity offsetting-compensating for losses of biodiversity at an impact site by generating ecologically equivalent gains elsewhere-therefore places substantial faith in the ability of restoration to recover lost biodiversity. Furthermore, the increase in offset-led restoration multiplies the consequences of failure to restore, since the promise of effective restoration may increase the chance that damage to biodiversity is permitted. But what evidence exists that restoration science and practice can reliably, or even feasibly, achieve the goal of 'no net loss' of biodiversity, and under what circumstances are successes and failures more likely? Using recent reviews of the restoration ecology literature, we examine the effectiveness of restoration as an approach for offsetting biodiversity loss, and conclude that many of the expectations set by current offset policy for ecological restoration remain unsupported by evidence. We introduce a conceptual model that illustrates three factors that limit the technical success of offsets: time lags, uncertainty and measurability of the value being offset. These factors can be managed to some extent through sound offset policy design that incorporates active adaptive management, time discounting, explicit accounting for uncertainty, and biodiversity banking. Nevertheless, the domain within which restoration can deliver 'no net loss' offsets remains small. A narrowing of the gap between the expectations set by offset policies and the practice of offsetting is urgently required and we urge the development of stronger links between restoration ecologists and those who make policies that are reliant upon restoration science. © 2012 Elsevier Ltd.","author":[{"dropping-particle":"","family":"Maron","given":"Martine","non-dropping-particle":"","parse-names":false,"suffix":""},{"dropping-particle":"","family":"Hobbs","given":"Richard J.","non-dropping-particle":"","parse-names":false,"suffix":""},{"dropping-particle":"","family":"Moilanen","given":"Atte","non-dropping-particle":"","parse-names":false,"suffix":""},{"dropping-particle":"","family":"Matthews","given":"Jeffrey W.","non-dropping-particle":"","parse-names":false,"suffix":""},{"dropping-particle":"","family":"Christie","given":"Kimberly","non-dropping-particle":"","parse-names":false,"suffix":""},{"dropping-particle":"","family":"Gardner","given":"Toby A.","non-dropping-particle":"","parse-names":false,"suffix":""},{"dropping-particle":"","family":"Keith","given":"David A.","non-dropping-particle":"","parse-names":false,"suffix":""},{"dropping-particle":"","family":"Lindenmayer","given":"David B.","non-dropping-particle":"","parse-names":false,"suffix":""},{"dropping-particle":"","family":"McAlpine","given":"Clive A.","non-dropping-particle":"","parse-names":false,"suffix":""}],"container-title":"Biological Conservation","id":"ITEM-2","issued":{"date-parts":[["2012","10"]]},"page":"141-148","title":"Faustian bargains? Restoration realities in the context of biodiversity offset policies","type":"article-journal","volume":"155"},"uris":["http://www.mendeley.com/documents/?uuid=55dfb082-1265-391b-bbfe-270cc6ccf859"]}],"mendeley":{"formattedCitation":"(Gibbons and Lindenmayer 2007; Maron et al. 2012)","plainTextFormattedCitation":"(Gibbons and Lindenmayer 2007; Maron et al. 2012)","previouslyFormattedCitation":"(Gibbons and Lindenmayer 2007; Maron et al. 2012)"},"properties":{"noteIndex":0},"schema":"https://github.com/citation-style-language/schema/raw/master/csl-citation.json"}</w:instrText>
      </w:r>
      <w:r w:rsidR="00FA0D04" w:rsidRPr="003D75FB">
        <w:rPr>
          <w:sz w:val="24"/>
          <w:szCs w:val="24"/>
        </w:rPr>
        <w:fldChar w:fldCharType="separate"/>
      </w:r>
      <w:r w:rsidR="00FA0D04" w:rsidRPr="003D75FB">
        <w:rPr>
          <w:noProof/>
          <w:sz w:val="24"/>
          <w:szCs w:val="24"/>
        </w:rPr>
        <w:t>(Gibbons and Lindenmayer</w:t>
      </w:r>
      <w:r w:rsidR="00070107">
        <w:rPr>
          <w:noProof/>
          <w:sz w:val="24"/>
          <w:szCs w:val="24"/>
        </w:rPr>
        <w:t>,</w:t>
      </w:r>
      <w:r w:rsidR="00FA0D04" w:rsidRPr="003D75FB">
        <w:rPr>
          <w:noProof/>
          <w:sz w:val="24"/>
          <w:szCs w:val="24"/>
        </w:rPr>
        <w:t xml:space="preserve"> 2007; Maron et al</w:t>
      </w:r>
      <w:r w:rsidR="00070107">
        <w:rPr>
          <w:noProof/>
          <w:sz w:val="24"/>
          <w:szCs w:val="24"/>
        </w:rPr>
        <w:t>,</w:t>
      </w:r>
      <w:r w:rsidR="00FA0D04" w:rsidRPr="003D75FB">
        <w:rPr>
          <w:noProof/>
          <w:sz w:val="24"/>
          <w:szCs w:val="24"/>
        </w:rPr>
        <w:t xml:space="preserve"> 2012)</w:t>
      </w:r>
      <w:r w:rsidR="00FA0D04" w:rsidRPr="003D75FB">
        <w:rPr>
          <w:sz w:val="24"/>
          <w:szCs w:val="24"/>
        </w:rPr>
        <w:fldChar w:fldCharType="end"/>
      </w:r>
      <w:r w:rsidR="00FA0D04" w:rsidRPr="003D75FB">
        <w:rPr>
          <w:sz w:val="24"/>
          <w:szCs w:val="24"/>
        </w:rPr>
        <w:t>. As recommended in Needham et al</w:t>
      </w:r>
      <w:r w:rsidR="001B568E">
        <w:rPr>
          <w:sz w:val="24"/>
          <w:szCs w:val="24"/>
        </w:rPr>
        <w:t>,</w:t>
      </w:r>
      <w:r w:rsidR="00FA0D04" w:rsidRPr="003D75FB">
        <w:rPr>
          <w:sz w:val="24"/>
          <w:szCs w:val="24"/>
        </w:rPr>
        <w:t xml:space="preserve"> (2019), if offset markets are to be developed then </w:t>
      </w:r>
      <w:r w:rsidR="00FA0D04" w:rsidRPr="003D75FB">
        <w:rPr>
          <w:sz w:val="24"/>
          <w:szCs w:val="24"/>
        </w:rPr>
        <w:lastRenderedPageBreak/>
        <w:t>we would recommend the use of “banked credits” where trading can only take place once the credits have been certified as providing a</w:t>
      </w:r>
      <w:r w:rsidR="00DD6AB2" w:rsidRPr="003D75FB">
        <w:rPr>
          <w:sz w:val="24"/>
          <w:szCs w:val="24"/>
        </w:rPr>
        <w:t xml:space="preserve">n increase </w:t>
      </w:r>
      <w:r w:rsidR="00FA0D04" w:rsidRPr="003D75FB">
        <w:rPr>
          <w:sz w:val="24"/>
          <w:szCs w:val="24"/>
        </w:rPr>
        <w:t xml:space="preserve">in the target species, which seeks to overcome some of the problems associated with uncertainty in restoration. </w:t>
      </w:r>
      <w:bookmarkEnd w:id="46"/>
    </w:p>
    <w:p w14:paraId="0A21E91C" w14:textId="659CE521" w:rsidR="00F17C8A" w:rsidRPr="003D75FB" w:rsidRDefault="00FA0D04">
      <w:pPr>
        <w:spacing w:line="480" w:lineRule="auto"/>
        <w:ind w:firstLine="0"/>
        <w:rPr>
          <w:sz w:val="24"/>
          <w:szCs w:val="24"/>
        </w:rPr>
      </w:pPr>
      <w:r w:rsidRPr="003D75FB">
        <w:rPr>
          <w:sz w:val="24"/>
          <w:szCs w:val="24"/>
        </w:rPr>
        <w:t>From an economics perspective, we do not consider dynamics associated with land value changes associated with new housing development. The rental value of land may decrease once a threshold of development on neighbouring land p</w:t>
      </w:r>
      <w:r w:rsidR="00371F19" w:rsidRPr="003D75FB">
        <w:rPr>
          <w:sz w:val="24"/>
          <w:szCs w:val="24"/>
        </w:rPr>
        <w:t>arcels</w:t>
      </w:r>
      <w:r w:rsidRPr="003D75FB">
        <w:rPr>
          <w:sz w:val="24"/>
          <w:szCs w:val="24"/>
        </w:rPr>
        <w:t xml:space="preserve"> has been reached, thus reducing potential profits </w:t>
      </w:r>
      <w:r w:rsidR="004264A1" w:rsidRPr="003D75FB">
        <w:rPr>
          <w:sz w:val="24"/>
          <w:szCs w:val="24"/>
        </w:rPr>
        <w:t>for</w:t>
      </w:r>
      <w:r w:rsidRPr="003D75FB">
        <w:rPr>
          <w:sz w:val="24"/>
          <w:szCs w:val="24"/>
        </w:rPr>
        <w:t xml:space="preserve"> developers and reducing the </w:t>
      </w:r>
      <w:r w:rsidR="00D57670">
        <w:rPr>
          <w:sz w:val="24"/>
          <w:szCs w:val="24"/>
        </w:rPr>
        <w:t>derived demand</w:t>
      </w:r>
      <w:r w:rsidR="00D57670" w:rsidRPr="003D75FB">
        <w:rPr>
          <w:sz w:val="24"/>
          <w:szCs w:val="24"/>
        </w:rPr>
        <w:t xml:space="preserve"> </w:t>
      </w:r>
      <w:r w:rsidRPr="003D75FB">
        <w:rPr>
          <w:sz w:val="24"/>
          <w:szCs w:val="24"/>
        </w:rPr>
        <w:t xml:space="preserve">for </w:t>
      </w:r>
      <w:r w:rsidR="00AF27E6" w:rsidRPr="003D75FB">
        <w:rPr>
          <w:sz w:val="24"/>
          <w:szCs w:val="24"/>
        </w:rPr>
        <w:t>credits</w:t>
      </w:r>
      <w:r w:rsidRPr="003D75FB">
        <w:rPr>
          <w:sz w:val="24"/>
          <w:szCs w:val="24"/>
        </w:rPr>
        <w:t xml:space="preserve">. We also assume that once land has been secured for </w:t>
      </w:r>
      <w:r w:rsidR="004264A1" w:rsidRPr="003D75FB">
        <w:rPr>
          <w:sz w:val="24"/>
          <w:szCs w:val="24"/>
        </w:rPr>
        <w:t xml:space="preserve">through </w:t>
      </w:r>
      <w:r w:rsidRPr="003D75FB">
        <w:rPr>
          <w:sz w:val="24"/>
          <w:szCs w:val="24"/>
        </w:rPr>
        <w:t>a</w:t>
      </w:r>
      <w:r w:rsidR="004264A1" w:rsidRPr="003D75FB">
        <w:rPr>
          <w:sz w:val="24"/>
          <w:szCs w:val="24"/>
        </w:rPr>
        <w:t>n</w:t>
      </w:r>
      <w:r w:rsidRPr="003D75FB">
        <w:rPr>
          <w:sz w:val="24"/>
          <w:szCs w:val="24"/>
        </w:rPr>
        <w:t xml:space="preserve"> offset it cannot be changed into </w:t>
      </w:r>
      <w:r w:rsidR="0022002F">
        <w:rPr>
          <w:sz w:val="24"/>
          <w:szCs w:val="24"/>
        </w:rPr>
        <w:t xml:space="preserve">a </w:t>
      </w:r>
      <w:r w:rsidRPr="003D75FB">
        <w:rPr>
          <w:sz w:val="24"/>
          <w:szCs w:val="24"/>
        </w:rPr>
        <w:t xml:space="preserve">different land use, </w:t>
      </w:r>
      <w:r w:rsidR="004264A1" w:rsidRPr="003D75FB">
        <w:rPr>
          <w:sz w:val="24"/>
          <w:szCs w:val="24"/>
        </w:rPr>
        <w:t xml:space="preserve">i.e., </w:t>
      </w:r>
      <w:r w:rsidRPr="003D75FB">
        <w:rPr>
          <w:sz w:val="24"/>
          <w:szCs w:val="24"/>
        </w:rPr>
        <w:t>it is protected in perpetuity</w:t>
      </w:r>
      <w:r w:rsidR="004264A1" w:rsidRPr="003D75FB">
        <w:rPr>
          <w:sz w:val="24"/>
          <w:szCs w:val="24"/>
        </w:rPr>
        <w:t>.</w:t>
      </w:r>
      <w:r w:rsidRPr="003D75FB">
        <w:rPr>
          <w:sz w:val="24"/>
          <w:szCs w:val="24"/>
        </w:rPr>
        <w:t xml:space="preserve"> </w:t>
      </w:r>
      <w:r w:rsidR="004264A1" w:rsidRPr="003D75FB">
        <w:rPr>
          <w:sz w:val="24"/>
          <w:szCs w:val="24"/>
        </w:rPr>
        <w:t>E</w:t>
      </w:r>
      <w:r w:rsidRPr="003D75FB">
        <w:rPr>
          <w:sz w:val="24"/>
          <w:szCs w:val="24"/>
        </w:rPr>
        <w:t>vidence from the UK biodiversity offset pilots show</w:t>
      </w:r>
      <w:r w:rsidR="0022002F">
        <w:rPr>
          <w:sz w:val="24"/>
          <w:szCs w:val="24"/>
        </w:rPr>
        <w:t>s</w:t>
      </w:r>
      <w:r w:rsidRPr="003D75FB">
        <w:rPr>
          <w:sz w:val="24"/>
          <w:szCs w:val="24"/>
        </w:rPr>
        <w:t xml:space="preserve"> that landowners are strongly opposed to this policy, </w:t>
      </w:r>
      <w:r w:rsidR="00F17C8A" w:rsidRPr="003D75FB">
        <w:rPr>
          <w:sz w:val="24"/>
          <w:szCs w:val="24"/>
        </w:rPr>
        <w:t>preferring a 10 year time horizon</w:t>
      </w:r>
      <w:r w:rsidR="00D57670">
        <w:rPr>
          <w:sz w:val="24"/>
          <w:szCs w:val="24"/>
        </w:rPr>
        <w:t xml:space="preserve"> for offset contracts</w:t>
      </w:r>
      <w:r w:rsidR="00F17C8A" w:rsidRPr="003D75FB">
        <w:rPr>
          <w:sz w:val="24"/>
          <w:szCs w:val="24"/>
        </w:rPr>
        <w:t xml:space="preserve"> (</w:t>
      </w:r>
      <w:proofErr w:type="spellStart"/>
      <w:r w:rsidR="00F17C8A" w:rsidRPr="003D75FB">
        <w:rPr>
          <w:sz w:val="24"/>
          <w:szCs w:val="24"/>
        </w:rPr>
        <w:fldChar w:fldCharType="begin" w:fldLock="1"/>
      </w:r>
      <w:r w:rsidR="00F17C8A" w:rsidRPr="003D75FB">
        <w:rPr>
          <w:sz w:val="24"/>
          <w:szCs w:val="24"/>
        </w:rPr>
        <w:instrText>ADDIN CSL_CITATION {"citationItems":[{"id":"ITEM-1","itemData":{"ISBN":"9780956954572","author":[{"dropping-particle":"","family":"Hannis","given":"Mike","non-dropping-particle":"","parse-names":false,"suffix":""},{"dropping-particle":"","family":"Sullivan","given":"Sian","non-dropping-particle":"","parse-names":false,"suffix":""}],"id":"ITEM-1","issued":{"date-parts":[["0"]]},"title":"Offsetting Nature? Habitat Banking and Biodiversity Offsets in the English Land Use Planning System","type":"book"},"uris":["http://www.mendeley.com/documents/?uuid=7f869ce2-40d8-3945-ad30-535798672a0e"]}],"mendeley":{"formattedCitation":"(Hannis and Sullivan n.d.)","manualFormatting":"Hannis and Sullivan 2015)","plainTextFormattedCitation":"(Hannis and Sullivan n.d.)"},"properties":{"noteIndex":0},"schema":"https://github.com/citation-style-language/schema/raw/master/csl-citation.json"}</w:instrText>
      </w:r>
      <w:r w:rsidR="00F17C8A" w:rsidRPr="003D75FB">
        <w:rPr>
          <w:sz w:val="24"/>
          <w:szCs w:val="24"/>
        </w:rPr>
        <w:fldChar w:fldCharType="separate"/>
      </w:r>
      <w:r w:rsidR="00F17C8A" w:rsidRPr="003D75FB">
        <w:rPr>
          <w:noProof/>
          <w:sz w:val="24"/>
          <w:szCs w:val="24"/>
        </w:rPr>
        <w:t>Hannis</w:t>
      </w:r>
      <w:proofErr w:type="spellEnd"/>
      <w:r w:rsidR="00F17C8A" w:rsidRPr="003D75FB">
        <w:rPr>
          <w:noProof/>
          <w:sz w:val="24"/>
          <w:szCs w:val="24"/>
        </w:rPr>
        <w:t xml:space="preserve"> and Sullivan</w:t>
      </w:r>
      <w:r w:rsidR="00070107">
        <w:rPr>
          <w:noProof/>
          <w:sz w:val="24"/>
          <w:szCs w:val="24"/>
        </w:rPr>
        <w:t>,</w:t>
      </w:r>
      <w:r w:rsidR="00F17C8A" w:rsidRPr="003D75FB">
        <w:rPr>
          <w:noProof/>
          <w:sz w:val="24"/>
          <w:szCs w:val="24"/>
        </w:rPr>
        <w:t xml:space="preserve"> 2015)</w:t>
      </w:r>
      <w:r w:rsidR="00F17C8A" w:rsidRPr="003D75FB">
        <w:rPr>
          <w:sz w:val="24"/>
          <w:szCs w:val="24"/>
        </w:rPr>
        <w:fldChar w:fldCharType="end"/>
      </w:r>
      <w:r w:rsidR="00F17C8A" w:rsidRPr="003D75FB">
        <w:rPr>
          <w:sz w:val="24"/>
          <w:szCs w:val="24"/>
        </w:rPr>
        <w:t xml:space="preserve">. This would likely lead to </w:t>
      </w:r>
      <w:r w:rsidR="00404AB9">
        <w:rPr>
          <w:sz w:val="24"/>
          <w:szCs w:val="24"/>
        </w:rPr>
        <w:t>a net loss</w:t>
      </w:r>
      <w:r w:rsidR="00F17C8A" w:rsidRPr="003D75FB">
        <w:rPr>
          <w:sz w:val="24"/>
          <w:szCs w:val="24"/>
        </w:rPr>
        <w:t xml:space="preserve"> of the ecological target over </w:t>
      </w:r>
      <w:r w:rsidR="00070107" w:rsidRPr="003D75FB">
        <w:rPr>
          <w:sz w:val="24"/>
          <w:szCs w:val="24"/>
        </w:rPr>
        <w:t>time</w:t>
      </w:r>
      <w:r w:rsidR="00070107">
        <w:rPr>
          <w:sz w:val="24"/>
          <w:szCs w:val="24"/>
        </w:rPr>
        <w:t xml:space="preserve"> and</w:t>
      </w:r>
      <w:r w:rsidR="00F17C8A" w:rsidRPr="003D75FB">
        <w:rPr>
          <w:sz w:val="24"/>
          <w:szCs w:val="24"/>
        </w:rPr>
        <w:t xml:space="preserve"> undermines the potential of offset markets to deliver biodiversity protection. Stronger incentives would need to be offered to landowners </w:t>
      </w:r>
      <w:r w:rsidR="00371F19" w:rsidRPr="003D75FB">
        <w:rPr>
          <w:sz w:val="24"/>
          <w:szCs w:val="24"/>
        </w:rPr>
        <w:t xml:space="preserve">to encourage them to set aside their land permanently. </w:t>
      </w:r>
    </w:p>
    <w:p w14:paraId="3E8E941E" w14:textId="0D0ED94E" w:rsidR="00026F69" w:rsidRDefault="00F17C8A">
      <w:pPr>
        <w:spacing w:line="480" w:lineRule="auto"/>
        <w:ind w:firstLine="0"/>
        <w:rPr>
          <w:sz w:val="24"/>
          <w:szCs w:val="24"/>
        </w:rPr>
      </w:pPr>
      <w:r w:rsidRPr="003D75FB">
        <w:rPr>
          <w:sz w:val="24"/>
          <w:szCs w:val="24"/>
        </w:rPr>
        <w:t xml:space="preserve">The </w:t>
      </w:r>
      <w:r w:rsidR="0097656A" w:rsidRPr="003D75FB">
        <w:rPr>
          <w:sz w:val="24"/>
          <w:szCs w:val="24"/>
        </w:rPr>
        <w:t xml:space="preserve">supply prices </w:t>
      </w:r>
      <w:r w:rsidRPr="003D75FB">
        <w:rPr>
          <w:sz w:val="24"/>
          <w:szCs w:val="24"/>
        </w:rPr>
        <w:t xml:space="preserve">of </w:t>
      </w:r>
      <w:r w:rsidR="0097656A" w:rsidRPr="003D75FB">
        <w:rPr>
          <w:sz w:val="24"/>
          <w:szCs w:val="24"/>
        </w:rPr>
        <w:t>offsets</w:t>
      </w:r>
      <w:r w:rsidRPr="003D75FB">
        <w:rPr>
          <w:sz w:val="24"/>
          <w:szCs w:val="24"/>
        </w:rPr>
        <w:t xml:space="preserve"> were determined solely by agricultural gross margin data. We acknowledge that this approach does not consider the social implications of offset developments, for example, loss of locally important offset areas and access to green spaces. This is an aspect of offsetting that is being discussed in greater detail in the literature, particularly with respect to offsetting in developing countries </w:t>
      </w:r>
      <w:r w:rsidRPr="003D75FB">
        <w:rPr>
          <w:sz w:val="24"/>
          <w:szCs w:val="24"/>
        </w:rPr>
        <w:fldChar w:fldCharType="begin" w:fldLock="1"/>
      </w:r>
      <w:r w:rsidRPr="003D75FB">
        <w:rPr>
          <w:sz w:val="24"/>
          <w:szCs w:val="24"/>
        </w:rPr>
        <w:instrText>ADDIN CSL_CITATION {"citationItems":[{"id":"ITEM-1","itemData":{"DOI":"10.1111/cobi.13184","ISSN":"15231739","abstract":"Governments, businesses, and lenders worldwide are adopting an objective of no net loss (NNL) of biodiversity that is often partly achieved through biodiversity offsetting within a hierarchy of mitigation actions. Offsets aim to balance residual losses of biodiversity caused by development in one location with commensurate gains at another. Although ecological challenges to achieve NNL are debated, the associated gains and losses for local stakeholders have received less attention. International best practice calls for offsets to make people no worse off than before implementation of the project, but there is a lack of clarity concerning how to achieve this with regard to people's use and nonuse values for biodiversity, especially given the inevitable trade-offs when compensating biodiversity losses with gains elsewhere. This is particularly challenging for countries where poor people depend on natural resources. Badly planned offsets can exacerbate poverty, and development and offset impacts can vary across spatial-temporal scales and by location, gender, and livelihood. We conceptualize the no-worse-off principle in the context of NNL of biodiversity, by exploring for whom and how the principle can be achieved. Changes in the spatial and temporal distribution of biodiversity-related social impacts of a development and its associated offset can lead to social inequity and negatively impact people's well-being. The level of aggregation (regional, village, interest group, household, and individual) at which these social impacts are measured and balanced can again exacerbate inequity in a system. We propose that a determination that people are no worse off, and preferably better off, after a development and biodiversity offset project than they were before the project should be based on the perceptions of project-affected people (assessed at an appropriate level of aggregation); that their well-being associated with biodiversity losses and gains should be at least as good as it was before the project; and that this level of well-being should be maintained throughout the project life cycle. Employing this principle could help ensure people are no worse off as a result of interventions to achieve biodiversity NNL.","author":[{"dropping-particle":"","family":"Griffiths","given":"Victoria F.","non-dropping-particle":"","parse-names":false,"suffix":""},{"dropping-particle":"","family":"Bull","given":"Joseph W.","non-dropping-particle":"","parse-names":false,"suffix":""},{"dropping-particle":"","family":"Baker","given":"Julia","non-dropping-particle":"","parse-names":false,"suffix":""},{"dropping-particle":"","family":"Milner-Gulland","given":"E. J.","non-dropping-particle":"","parse-names":false,"suffix":""}],"container-title":"Conservation Biology","id":"ITEM-1","issue":"1","issued":{"date-parts":[["2019","2","1"]]},"page":"76-87","publisher":"Blackwell Publishing Inc.","title":"No net loss for people and biodiversity","type":"article-journal","volume":"33"},"uris":["http://www.mendeley.com/documents/?uuid=86bd822d-793d-364d-acbc-4a13025ee875"]}],"mendeley":{"formattedCitation":"(Griffiths et al. 2019)","plainTextFormattedCitation":"(Griffiths et al. 2019)","previouslyFormattedCitation":"(Griffiths et al. 2019)"},"properties":{"noteIndex":0},"schema":"https://github.com/citation-style-language/schema/raw/master/csl-citation.json"}</w:instrText>
      </w:r>
      <w:r w:rsidRPr="003D75FB">
        <w:rPr>
          <w:sz w:val="24"/>
          <w:szCs w:val="24"/>
        </w:rPr>
        <w:fldChar w:fldCharType="separate"/>
      </w:r>
      <w:r w:rsidRPr="003D75FB">
        <w:rPr>
          <w:noProof/>
          <w:sz w:val="24"/>
          <w:szCs w:val="24"/>
        </w:rPr>
        <w:t>(Griffiths et al</w:t>
      </w:r>
      <w:r w:rsidR="00070107">
        <w:rPr>
          <w:noProof/>
          <w:sz w:val="24"/>
          <w:szCs w:val="24"/>
        </w:rPr>
        <w:t>,</w:t>
      </w:r>
      <w:r w:rsidRPr="003D75FB">
        <w:rPr>
          <w:noProof/>
          <w:sz w:val="24"/>
          <w:szCs w:val="24"/>
        </w:rPr>
        <w:t xml:space="preserve"> 2019)</w:t>
      </w:r>
      <w:r w:rsidRPr="003D75FB">
        <w:rPr>
          <w:sz w:val="24"/>
          <w:szCs w:val="24"/>
        </w:rPr>
        <w:fldChar w:fldCharType="end"/>
      </w:r>
      <w:r w:rsidRPr="003D75FB">
        <w:rPr>
          <w:sz w:val="24"/>
          <w:szCs w:val="24"/>
        </w:rPr>
        <w:t>.</w:t>
      </w:r>
      <w:r w:rsidR="0097656A" w:rsidRPr="003D75FB">
        <w:rPr>
          <w:sz w:val="24"/>
          <w:szCs w:val="24"/>
        </w:rPr>
        <w:t xml:space="preserve"> </w:t>
      </w:r>
      <w:r w:rsidR="00026F69">
        <w:rPr>
          <w:sz w:val="24"/>
          <w:szCs w:val="24"/>
        </w:rPr>
        <w:t>We also recognise that there were many alternative land management strategies which could have been pursued within the modelling framework to generate biodiversity offset credits. The restoration of heather and heather grassland and saltmarsh which would have been expected to deliver greater increases in the target species than changing agricultural land</w:t>
      </w:r>
      <w:r w:rsidR="00D57670">
        <w:rPr>
          <w:sz w:val="24"/>
          <w:szCs w:val="24"/>
        </w:rPr>
        <w:t xml:space="preserve"> use</w:t>
      </w:r>
      <w:r w:rsidR="00026F69">
        <w:rPr>
          <w:sz w:val="24"/>
          <w:szCs w:val="24"/>
        </w:rPr>
        <w:t xml:space="preserve"> to improved grassland</w:t>
      </w:r>
      <w:r w:rsidR="00D57670">
        <w:rPr>
          <w:sz w:val="24"/>
          <w:szCs w:val="24"/>
        </w:rPr>
        <w:t xml:space="preserve"> in order to create credits</w:t>
      </w:r>
      <w:r w:rsidR="00026F69">
        <w:rPr>
          <w:sz w:val="24"/>
          <w:szCs w:val="24"/>
        </w:rPr>
        <w:t xml:space="preserve">. We note that the restoration of certain habitats would incur restoration </w:t>
      </w:r>
      <w:r w:rsidR="00026F69">
        <w:rPr>
          <w:sz w:val="24"/>
          <w:szCs w:val="24"/>
        </w:rPr>
        <w:lastRenderedPageBreak/>
        <w:t xml:space="preserve">costs for the </w:t>
      </w:r>
      <w:proofErr w:type="gramStart"/>
      <w:r w:rsidR="00026F69">
        <w:rPr>
          <w:sz w:val="24"/>
          <w:szCs w:val="24"/>
        </w:rPr>
        <w:t>farmer</w:t>
      </w:r>
      <w:proofErr w:type="gramEnd"/>
      <w:r w:rsidR="00026F69">
        <w:rPr>
          <w:sz w:val="24"/>
          <w:szCs w:val="24"/>
        </w:rPr>
        <w:t xml:space="preserve"> and these would need to be captured in the credit price, thus changing the market equilibrium and subsequently the resulting economic and ecological impacts. This is something we would recommend pursuing in further work. </w:t>
      </w:r>
    </w:p>
    <w:p w14:paraId="39C6DE6E" w14:textId="320FB8C9" w:rsidR="00F17C8A" w:rsidRPr="003D75FB" w:rsidRDefault="004264A1" w:rsidP="003D75FB">
      <w:pPr>
        <w:spacing w:line="480" w:lineRule="auto"/>
        <w:ind w:firstLine="0"/>
        <w:rPr>
          <w:sz w:val="24"/>
          <w:szCs w:val="24"/>
        </w:rPr>
      </w:pPr>
      <w:r w:rsidRPr="003D75FB">
        <w:rPr>
          <w:sz w:val="24"/>
          <w:szCs w:val="24"/>
        </w:rPr>
        <w:t>W</w:t>
      </w:r>
      <w:r w:rsidR="00F17C8A" w:rsidRPr="003D75FB">
        <w:rPr>
          <w:sz w:val="24"/>
          <w:szCs w:val="24"/>
        </w:rPr>
        <w:t xml:space="preserve">e </w:t>
      </w:r>
      <w:r w:rsidRPr="003D75FB">
        <w:rPr>
          <w:sz w:val="24"/>
          <w:szCs w:val="24"/>
        </w:rPr>
        <w:t xml:space="preserve">also </w:t>
      </w:r>
      <w:r w:rsidR="0097656A" w:rsidRPr="003D75FB">
        <w:rPr>
          <w:sz w:val="24"/>
          <w:szCs w:val="24"/>
        </w:rPr>
        <w:t>assumed</w:t>
      </w:r>
      <w:r w:rsidRPr="003D75FB">
        <w:rPr>
          <w:sz w:val="24"/>
          <w:szCs w:val="24"/>
        </w:rPr>
        <w:t xml:space="preserve"> </w:t>
      </w:r>
      <w:r w:rsidR="00F17C8A" w:rsidRPr="003D75FB">
        <w:rPr>
          <w:sz w:val="24"/>
          <w:szCs w:val="24"/>
        </w:rPr>
        <w:t xml:space="preserve">that trading was mandatory across the whole case study region, with any development impact on the ecological metric requiring an offset. This </w:t>
      </w:r>
      <w:proofErr w:type="gramStart"/>
      <w:r w:rsidR="00F17C8A" w:rsidRPr="003D75FB">
        <w:rPr>
          <w:sz w:val="24"/>
          <w:szCs w:val="24"/>
        </w:rPr>
        <w:t>is in contrast to</w:t>
      </w:r>
      <w:proofErr w:type="gramEnd"/>
      <w:r w:rsidR="00F17C8A" w:rsidRPr="003D75FB">
        <w:rPr>
          <w:sz w:val="24"/>
          <w:szCs w:val="24"/>
        </w:rPr>
        <w:t xml:space="preserve"> current offset schemes globally where the purchasing of offsets is often undertaken voluntarily by developers, who can also choose to undertake offsetting in the form of compensatory mitigation directly rather than purchasing offsets through a market. This has been shown to reduce the demand for third-party </w:t>
      </w:r>
      <w:r w:rsidRPr="003D75FB">
        <w:rPr>
          <w:sz w:val="24"/>
          <w:szCs w:val="24"/>
        </w:rPr>
        <w:t xml:space="preserve">generated </w:t>
      </w:r>
      <w:r w:rsidR="00F17C8A" w:rsidRPr="003D75FB">
        <w:rPr>
          <w:sz w:val="24"/>
          <w:szCs w:val="24"/>
        </w:rPr>
        <w:t>offsets</w:t>
      </w:r>
      <w:r w:rsidRPr="003D75FB">
        <w:rPr>
          <w:sz w:val="24"/>
          <w:szCs w:val="24"/>
        </w:rPr>
        <w:t>. This</w:t>
      </w:r>
      <w:r w:rsidR="00F17C8A" w:rsidRPr="003D75FB">
        <w:rPr>
          <w:sz w:val="24"/>
          <w:szCs w:val="24"/>
        </w:rPr>
        <w:t xml:space="preserve"> </w:t>
      </w:r>
      <w:r w:rsidRPr="003D75FB">
        <w:rPr>
          <w:sz w:val="24"/>
          <w:szCs w:val="24"/>
        </w:rPr>
        <w:t xml:space="preserve">not only </w:t>
      </w:r>
      <w:r w:rsidR="00F17C8A" w:rsidRPr="003D75FB">
        <w:rPr>
          <w:sz w:val="24"/>
          <w:szCs w:val="24"/>
        </w:rPr>
        <w:t>su</w:t>
      </w:r>
      <w:r w:rsidR="00DD6AB2" w:rsidRPr="003D75FB">
        <w:rPr>
          <w:sz w:val="24"/>
          <w:szCs w:val="24"/>
        </w:rPr>
        <w:t>p</w:t>
      </w:r>
      <w:r w:rsidR="00F17C8A" w:rsidRPr="003D75FB">
        <w:rPr>
          <w:sz w:val="24"/>
          <w:szCs w:val="24"/>
        </w:rPr>
        <w:t>press</w:t>
      </w:r>
      <w:r w:rsidRPr="003D75FB">
        <w:rPr>
          <w:sz w:val="24"/>
          <w:szCs w:val="24"/>
        </w:rPr>
        <w:t>es</w:t>
      </w:r>
      <w:r w:rsidR="00F17C8A" w:rsidRPr="003D75FB">
        <w:rPr>
          <w:sz w:val="24"/>
          <w:szCs w:val="24"/>
        </w:rPr>
        <w:t xml:space="preserve"> the development of an offset trading scheme but in many cases </w:t>
      </w:r>
      <w:r w:rsidRPr="003D75FB">
        <w:rPr>
          <w:sz w:val="24"/>
          <w:szCs w:val="24"/>
        </w:rPr>
        <w:t xml:space="preserve">also </w:t>
      </w:r>
      <w:r w:rsidR="00F17C8A" w:rsidRPr="003D75FB">
        <w:rPr>
          <w:sz w:val="24"/>
          <w:szCs w:val="24"/>
        </w:rPr>
        <w:t>leads to lower quality restoration actions than those which would have been undertaken through a</w:t>
      </w:r>
      <w:r w:rsidR="0097656A" w:rsidRPr="003D75FB">
        <w:rPr>
          <w:sz w:val="24"/>
          <w:szCs w:val="24"/>
        </w:rPr>
        <w:t xml:space="preserve"> regulated</w:t>
      </w:r>
      <w:r w:rsidR="00F17C8A" w:rsidRPr="003D75FB">
        <w:rPr>
          <w:sz w:val="24"/>
          <w:szCs w:val="24"/>
        </w:rPr>
        <w:t xml:space="preserve"> offset supplier</w:t>
      </w:r>
      <w:r w:rsidR="0097656A" w:rsidRPr="003D75FB">
        <w:rPr>
          <w:sz w:val="24"/>
          <w:szCs w:val="24"/>
        </w:rPr>
        <w:t xml:space="preserve"> such as an offset bank</w:t>
      </w:r>
      <w:r w:rsidR="00F17C8A" w:rsidRPr="003D75FB">
        <w:rPr>
          <w:sz w:val="24"/>
          <w:szCs w:val="24"/>
        </w:rPr>
        <w:t xml:space="preserve"> </w:t>
      </w:r>
      <w:r w:rsidR="00F17C8A" w:rsidRPr="003D75FB">
        <w:rPr>
          <w:sz w:val="24"/>
          <w:szCs w:val="24"/>
        </w:rPr>
        <w:fldChar w:fldCharType="begin" w:fldLock="1"/>
      </w:r>
      <w:r w:rsidR="00F17C8A" w:rsidRPr="003D75FB">
        <w:rPr>
          <w:sz w:val="24"/>
          <w:szCs w:val="24"/>
        </w:rPr>
        <w:instrText>ADDIN CSL_CITATION {"citationItems":[{"id":"ITEM-1","itemData":{"DOI":"10.1016/S0048-9697(99)00315-0","ISSN":"00489697","abstract":"The Endangered Species Act has fostered considerable controversy surrounding its regulation of privately owned endangered species habitat. Private landowners believe that the law wrongly requires them to bear the burden of providing endangered species habitat on their property. At the same time, conservation of privately owned habitat is critical to the conservation of most endangered species. In order to resolve endangered species conflicts on private lands, the US Fish and Wildlife Service has been promoting the use of 'habitat conservation plans' which allow some loss of endangered species habitat in exchange for activities which minimize and mitigate for the loss. These plans have come under increasing criticism from environmentalists and conservation biologists who argue that the plans are contributing to the continued loss of endangered species habitat. This paper proposes that mitigation banking of endangered species habitat may provide a useful tool to resolve endangered species conflicts on private lands while concurrently advancing the recovery of endangered species. Mitigation banking would allow landowners seeking a permit to destroy endangered species habitat to mitigate the loss by buying mitigation credits from other private landowners who restore and/or protect suitable habitat. Mitigation banking has the potential to increase mitigation alternatives for the regulated community while providing a needed economic incentive for other landowners to restore and protect important habitats. From an ecological perspective, mitigation banking could allow for the exchange of fragmented habitats with little long range viability for habitats that are strategically located and can contribute to species' recovery. The paper concludes with a discussion of several questions that need further analysis in considering banking of endangered species habitat.","author":[{"dropping-particle":"","family":"Bonnie","given":"Robert","non-dropping-particle":"","parse-names":false,"suffix":""}],"container-title":"Science of the Total Environment","id":"ITEM-1","issue":"1-3","issued":{"date-parts":[["1999","10","18"]]},"page":"11-19","title":"Endangered species mitigation banking: Promoting recovery through habitat conservation planning under the Endangered Species Act","type":"article-journal","volume":"240"},"uris":["http://www.mendeley.com/documents/?uuid=2cfc22a6-eb58-3140-8e68-9ae3875cc72d"]},{"id":"ITEM-2","itemData":{"DOI":"10.1111/j.1755-263X.2010.00110.x","ISSN":"1755263X","author":[{"dropping-particle":"","family":"Bekessy","given":"Sarah A.","non-dropping-particle":"","parse-names":false,"suffix":""},{"dropping-particle":"","family":"Wintle","given":"Brendan A.","non-dropping-particle":"","parse-names":false,"suffix":""},{"dropping-particle":"","family":"Lindenmayer","given":"David B.","non-dropping-particle":"","parse-names":false,"suffix":""},{"dropping-particle":"","family":"Mccarthy","given":"Michael A.","non-dropping-particle":"","parse-names":false,"suffix":""},{"dropping-particle":"","family":"Colyvan","given":"Mark","non-dropping-particle":"","parse-names":false,"suffix":""},{"dropping-particle":"","family":"Burgman","given":"Mark A.","non-dropping-particle":"","parse-names":false,"suffix":""},{"dropping-particle":"","family":"Possingham","given":"Hugh P.","non-dropping-particle":"","parse-names":false,"suffix":""}],"container-title":"Conservation Letters","id":"ITEM-2","issue":"3","issued":{"date-parts":[["2010","6"]]},"page":"151-158","title":"The biodiversity bank cannot be a lending bank","type":"article-journal","volume":"3"},"uris":["http://www.mendeley.com/documents/?uuid=a30903cc-9beb-346f-8030-e593e92df270"]}],"mendeley":{"formattedCitation":"(Bonnie 1999; Bekessy et al. 2010)","plainTextFormattedCitation":"(Bonnie 1999; Bekessy et al. 2010)","previouslyFormattedCitation":"(Bonnie 1999; Bekessy et al. 2010)"},"properties":{"noteIndex":0},"schema":"https://github.com/citation-style-language/schema/raw/master/csl-citation.json"}</w:instrText>
      </w:r>
      <w:r w:rsidR="00F17C8A" w:rsidRPr="003D75FB">
        <w:rPr>
          <w:sz w:val="24"/>
          <w:szCs w:val="24"/>
        </w:rPr>
        <w:fldChar w:fldCharType="separate"/>
      </w:r>
      <w:r w:rsidR="00F17C8A" w:rsidRPr="003D75FB">
        <w:rPr>
          <w:noProof/>
          <w:sz w:val="24"/>
          <w:szCs w:val="24"/>
        </w:rPr>
        <w:t>(Bonnie 1999; Bekessy et al</w:t>
      </w:r>
      <w:r w:rsidR="00070107">
        <w:rPr>
          <w:noProof/>
          <w:sz w:val="24"/>
          <w:szCs w:val="24"/>
        </w:rPr>
        <w:t>,</w:t>
      </w:r>
      <w:r w:rsidR="00F17C8A" w:rsidRPr="003D75FB">
        <w:rPr>
          <w:noProof/>
          <w:sz w:val="24"/>
          <w:szCs w:val="24"/>
        </w:rPr>
        <w:t xml:space="preserve"> 2010)</w:t>
      </w:r>
      <w:r w:rsidR="00F17C8A" w:rsidRPr="003D75FB">
        <w:rPr>
          <w:sz w:val="24"/>
          <w:szCs w:val="24"/>
        </w:rPr>
        <w:fldChar w:fldCharType="end"/>
      </w:r>
      <w:r w:rsidR="00F17C8A" w:rsidRPr="003D75FB">
        <w:rPr>
          <w:sz w:val="24"/>
          <w:szCs w:val="24"/>
        </w:rPr>
        <w:t xml:space="preserve">. </w:t>
      </w:r>
    </w:p>
    <w:p w14:paraId="32E82E55" w14:textId="384A2958" w:rsidR="00D57670" w:rsidRDefault="00FA0D04" w:rsidP="00592FA4">
      <w:pPr>
        <w:spacing w:line="480" w:lineRule="auto"/>
        <w:ind w:firstLine="0"/>
        <w:rPr>
          <w:b/>
          <w:bCs/>
          <w:sz w:val="24"/>
          <w:szCs w:val="24"/>
        </w:rPr>
      </w:pPr>
      <w:r w:rsidRPr="003D75FB">
        <w:rPr>
          <w:sz w:val="24"/>
          <w:szCs w:val="24"/>
        </w:rPr>
        <w:t xml:space="preserve">The analytical framework here could be used to further study various design parameters within biodiversity offset markets. For example, different ecological metrics could be used, such as no net loss of habitats or an overall measure of species richness; temporal relationships could be explored through the use of a dynamic model </w:t>
      </w:r>
      <w:r w:rsidR="004264A1" w:rsidRPr="003D75FB">
        <w:rPr>
          <w:sz w:val="24"/>
          <w:szCs w:val="24"/>
        </w:rPr>
        <w:t xml:space="preserve">that </w:t>
      </w:r>
      <w:r w:rsidRPr="003D75FB">
        <w:rPr>
          <w:sz w:val="24"/>
          <w:szCs w:val="24"/>
        </w:rPr>
        <w:t xml:space="preserve">allows for feedbacks in the system to account </w:t>
      </w:r>
      <w:r w:rsidR="004264A1" w:rsidRPr="003D75FB">
        <w:rPr>
          <w:sz w:val="24"/>
          <w:szCs w:val="24"/>
        </w:rPr>
        <w:t xml:space="preserve">for </w:t>
      </w:r>
      <w:r w:rsidRPr="003D75FB">
        <w:rPr>
          <w:sz w:val="24"/>
          <w:szCs w:val="24"/>
        </w:rPr>
        <w:t xml:space="preserve">impacts on surrounding land parcels when adjacent parcels are either developed or </w:t>
      </w:r>
      <w:r w:rsidR="004264A1" w:rsidRPr="003D75FB">
        <w:rPr>
          <w:sz w:val="24"/>
          <w:szCs w:val="24"/>
        </w:rPr>
        <w:t xml:space="preserve">certain </w:t>
      </w:r>
      <w:r w:rsidRPr="003D75FB">
        <w:rPr>
          <w:sz w:val="24"/>
          <w:szCs w:val="24"/>
        </w:rPr>
        <w:t xml:space="preserve">land management practices </w:t>
      </w:r>
      <w:r w:rsidR="004264A1" w:rsidRPr="003D75FB">
        <w:rPr>
          <w:sz w:val="24"/>
          <w:szCs w:val="24"/>
        </w:rPr>
        <w:t xml:space="preserve">are </w:t>
      </w:r>
      <w:r w:rsidRPr="003D75FB">
        <w:rPr>
          <w:sz w:val="24"/>
          <w:szCs w:val="24"/>
        </w:rPr>
        <w:t xml:space="preserve">changed. </w:t>
      </w:r>
    </w:p>
    <w:p w14:paraId="1CE12E60" w14:textId="4863C889" w:rsidR="0005248D" w:rsidRPr="003D75FB" w:rsidRDefault="0005248D" w:rsidP="00FB2A9A">
      <w:pPr>
        <w:pStyle w:val="Heading1"/>
      </w:pPr>
      <w:r w:rsidRPr="003D75FB">
        <w:t xml:space="preserve">Conclusions </w:t>
      </w:r>
    </w:p>
    <w:p w14:paraId="20DB3D99" w14:textId="6BA5A1A4" w:rsidR="00CC0D5E" w:rsidRPr="003D75FB" w:rsidRDefault="001551B7" w:rsidP="003D75FB">
      <w:pPr>
        <w:spacing w:line="480" w:lineRule="auto"/>
        <w:ind w:firstLine="0"/>
        <w:rPr>
          <w:sz w:val="24"/>
          <w:szCs w:val="24"/>
        </w:rPr>
      </w:pPr>
      <w:r w:rsidRPr="003D75FB">
        <w:rPr>
          <w:sz w:val="24"/>
          <w:szCs w:val="24"/>
        </w:rPr>
        <w:t>This study provide</w:t>
      </w:r>
      <w:r w:rsidR="0097656A" w:rsidRPr="003D75FB">
        <w:rPr>
          <w:sz w:val="24"/>
          <w:szCs w:val="24"/>
        </w:rPr>
        <w:t>s</w:t>
      </w:r>
      <w:r w:rsidRPr="003D75FB">
        <w:rPr>
          <w:sz w:val="24"/>
          <w:szCs w:val="24"/>
        </w:rPr>
        <w:t xml:space="preserve"> a novel analysis of biodiversity offset markets, integrating ecological species abundance modelling with economic modelling of market outcomes.</w:t>
      </w:r>
      <w:r w:rsidR="00CF25D2" w:rsidRPr="003D75FB">
        <w:rPr>
          <w:sz w:val="24"/>
          <w:szCs w:val="24"/>
        </w:rPr>
        <w:t xml:space="preserve"> </w:t>
      </w:r>
      <w:r w:rsidR="00D018C4" w:rsidRPr="003D75FB">
        <w:rPr>
          <w:sz w:val="24"/>
          <w:szCs w:val="24"/>
        </w:rPr>
        <w:t xml:space="preserve">Our paper has provided evidence on the </w:t>
      </w:r>
      <w:r w:rsidR="0005248D" w:rsidRPr="003D75FB">
        <w:rPr>
          <w:sz w:val="24"/>
          <w:szCs w:val="24"/>
        </w:rPr>
        <w:t xml:space="preserve">importance of </w:t>
      </w:r>
      <w:r w:rsidR="00E2250C">
        <w:rPr>
          <w:sz w:val="24"/>
          <w:szCs w:val="24"/>
        </w:rPr>
        <w:t xml:space="preserve">the </w:t>
      </w:r>
      <w:r w:rsidR="0005248D" w:rsidRPr="003D75FB">
        <w:rPr>
          <w:sz w:val="24"/>
          <w:szCs w:val="24"/>
        </w:rPr>
        <w:t xml:space="preserve">choice </w:t>
      </w:r>
      <w:r w:rsidR="00D018C4" w:rsidRPr="003D75FB">
        <w:rPr>
          <w:sz w:val="24"/>
          <w:szCs w:val="24"/>
        </w:rPr>
        <w:t xml:space="preserve">of the </w:t>
      </w:r>
      <w:r w:rsidR="00FB3A30" w:rsidRPr="003D75FB">
        <w:rPr>
          <w:sz w:val="24"/>
          <w:szCs w:val="24"/>
        </w:rPr>
        <w:t>ecological metric for trading</w:t>
      </w:r>
      <w:r w:rsidR="00D018C4" w:rsidRPr="003D75FB">
        <w:rPr>
          <w:sz w:val="24"/>
          <w:szCs w:val="24"/>
        </w:rPr>
        <w:t xml:space="preserve">, as determined by the policy target, and </w:t>
      </w:r>
      <w:r w:rsidR="0097656A" w:rsidRPr="003D75FB">
        <w:rPr>
          <w:sz w:val="24"/>
          <w:szCs w:val="24"/>
        </w:rPr>
        <w:t xml:space="preserve">of </w:t>
      </w:r>
      <w:r w:rsidR="00D018C4" w:rsidRPr="003D75FB">
        <w:rPr>
          <w:sz w:val="24"/>
          <w:szCs w:val="24"/>
        </w:rPr>
        <w:t>the size of the market for trading</w:t>
      </w:r>
      <w:r w:rsidR="0097656A" w:rsidRPr="003D75FB">
        <w:rPr>
          <w:sz w:val="24"/>
          <w:szCs w:val="24"/>
        </w:rPr>
        <w:t>, in terms of</w:t>
      </w:r>
      <w:r w:rsidR="00D018C4" w:rsidRPr="003D75FB">
        <w:rPr>
          <w:sz w:val="24"/>
          <w:szCs w:val="24"/>
        </w:rPr>
        <w:t xml:space="preserve"> the </w:t>
      </w:r>
      <w:r w:rsidR="00D018C4" w:rsidRPr="003D75FB">
        <w:rPr>
          <w:sz w:val="24"/>
          <w:szCs w:val="24"/>
        </w:rPr>
        <w:lastRenderedPageBreak/>
        <w:t xml:space="preserve">development of a biodiversity offset market. </w:t>
      </w:r>
      <w:r w:rsidR="00CC0D5E" w:rsidRPr="003D75FB">
        <w:rPr>
          <w:sz w:val="24"/>
          <w:szCs w:val="24"/>
        </w:rPr>
        <w:t xml:space="preserve">Empirical modelling of </w:t>
      </w:r>
      <w:r w:rsidR="0097656A" w:rsidRPr="003D75FB">
        <w:rPr>
          <w:sz w:val="24"/>
          <w:szCs w:val="24"/>
        </w:rPr>
        <w:t>such</w:t>
      </w:r>
      <w:r w:rsidR="00CC0D5E" w:rsidRPr="003D75FB">
        <w:rPr>
          <w:sz w:val="24"/>
          <w:szCs w:val="24"/>
        </w:rPr>
        <w:t xml:space="preserve"> offset market</w:t>
      </w:r>
      <w:r w:rsidR="0097656A" w:rsidRPr="003D75FB">
        <w:rPr>
          <w:sz w:val="24"/>
          <w:szCs w:val="24"/>
        </w:rPr>
        <w:t>s</w:t>
      </w:r>
      <w:r w:rsidR="00CC0D5E" w:rsidRPr="003D75FB">
        <w:rPr>
          <w:sz w:val="24"/>
          <w:szCs w:val="24"/>
        </w:rPr>
        <w:t xml:space="preserve"> has shown that altering these two design parameters does not necessarily affect the market in expected ways. T</w:t>
      </w:r>
      <w:r w:rsidR="00D018C4" w:rsidRPr="003D75FB">
        <w:rPr>
          <w:sz w:val="24"/>
          <w:szCs w:val="24"/>
        </w:rPr>
        <w:t xml:space="preserve">he choice of metric </w:t>
      </w:r>
      <w:r w:rsidR="00995252" w:rsidRPr="003D75FB">
        <w:rPr>
          <w:sz w:val="24"/>
          <w:szCs w:val="24"/>
        </w:rPr>
        <w:t>a</w:t>
      </w:r>
      <w:r w:rsidR="00D018C4" w:rsidRPr="003D75FB">
        <w:rPr>
          <w:sz w:val="24"/>
          <w:szCs w:val="24"/>
        </w:rPr>
        <w:t>ffects both the scale and distribution of new development</w:t>
      </w:r>
      <w:r w:rsidR="00CC0D5E" w:rsidRPr="003D75FB">
        <w:rPr>
          <w:sz w:val="24"/>
          <w:szCs w:val="24"/>
        </w:rPr>
        <w:t>,</w:t>
      </w:r>
      <w:r w:rsidR="00D018C4" w:rsidRPr="003D75FB">
        <w:rPr>
          <w:sz w:val="24"/>
          <w:szCs w:val="24"/>
        </w:rPr>
        <w:t xml:space="preserve"> </w:t>
      </w:r>
      <w:r w:rsidR="00DF49E7" w:rsidRPr="003D75FB">
        <w:rPr>
          <w:sz w:val="24"/>
          <w:szCs w:val="24"/>
        </w:rPr>
        <w:t xml:space="preserve">as well as </w:t>
      </w:r>
      <w:r w:rsidR="00D018C4" w:rsidRPr="003D75FB">
        <w:rPr>
          <w:sz w:val="24"/>
          <w:szCs w:val="24"/>
        </w:rPr>
        <w:t>the ecological gains and losses</w:t>
      </w:r>
      <w:r w:rsidR="00DF49E7" w:rsidRPr="003D75FB">
        <w:rPr>
          <w:sz w:val="24"/>
          <w:szCs w:val="24"/>
        </w:rPr>
        <w:t>, which</w:t>
      </w:r>
      <w:r w:rsidR="00D018C4" w:rsidRPr="003D75FB">
        <w:rPr>
          <w:sz w:val="24"/>
          <w:szCs w:val="24"/>
        </w:rPr>
        <w:t xml:space="preserve"> differed significantly between our three </w:t>
      </w:r>
      <w:r w:rsidR="00404AB9">
        <w:rPr>
          <w:sz w:val="24"/>
          <w:szCs w:val="24"/>
        </w:rPr>
        <w:t>no net loss</w:t>
      </w:r>
      <w:r w:rsidR="00404AB9" w:rsidRPr="003D75FB">
        <w:rPr>
          <w:sz w:val="24"/>
          <w:szCs w:val="24"/>
        </w:rPr>
        <w:t xml:space="preserve"> </w:t>
      </w:r>
      <w:r w:rsidR="00D018C4" w:rsidRPr="003D75FB">
        <w:rPr>
          <w:sz w:val="24"/>
          <w:szCs w:val="24"/>
        </w:rPr>
        <w:t xml:space="preserve">target species. </w:t>
      </w:r>
      <w:r w:rsidR="00CC0D5E" w:rsidRPr="003D75FB">
        <w:rPr>
          <w:sz w:val="24"/>
          <w:szCs w:val="24"/>
        </w:rPr>
        <w:t>This adds further evidence to the argument that defining a credit for biodiversity offset trading is inherently complex. In addition, the cheapest offset credit lead</w:t>
      </w:r>
      <w:r w:rsidR="0022002F">
        <w:rPr>
          <w:sz w:val="24"/>
          <w:szCs w:val="24"/>
        </w:rPr>
        <w:t>s</w:t>
      </w:r>
      <w:r w:rsidR="00CC0D5E" w:rsidRPr="003D75FB">
        <w:rPr>
          <w:sz w:val="24"/>
          <w:szCs w:val="24"/>
        </w:rPr>
        <w:t xml:space="preserve"> to the lowest amount of new development, and conversely</w:t>
      </w:r>
      <w:r w:rsidR="0022002F">
        <w:rPr>
          <w:sz w:val="24"/>
          <w:szCs w:val="24"/>
        </w:rPr>
        <w:t>,</w:t>
      </w:r>
      <w:r w:rsidR="00CC0D5E" w:rsidRPr="003D75FB">
        <w:rPr>
          <w:sz w:val="24"/>
          <w:szCs w:val="24"/>
        </w:rPr>
        <w:t xml:space="preserve"> the most expensive credits </w:t>
      </w:r>
      <w:r w:rsidR="0097656A" w:rsidRPr="003D75FB">
        <w:rPr>
          <w:sz w:val="24"/>
          <w:szCs w:val="24"/>
        </w:rPr>
        <w:t>were associated with</w:t>
      </w:r>
      <w:r w:rsidR="00CC0D5E" w:rsidRPr="003D75FB">
        <w:rPr>
          <w:sz w:val="24"/>
          <w:szCs w:val="24"/>
        </w:rPr>
        <w:t xml:space="preserve"> the greatest amount of new development. </w:t>
      </w:r>
    </w:p>
    <w:p w14:paraId="1AAC4825" w14:textId="1FBA75B1" w:rsidR="00D57670" w:rsidRDefault="00CC0D5E">
      <w:pPr>
        <w:spacing w:line="480" w:lineRule="auto"/>
        <w:ind w:firstLine="0"/>
        <w:rPr>
          <w:sz w:val="24"/>
          <w:szCs w:val="24"/>
        </w:rPr>
      </w:pPr>
      <w:r w:rsidRPr="003D75FB">
        <w:rPr>
          <w:sz w:val="24"/>
          <w:szCs w:val="24"/>
        </w:rPr>
        <w:t xml:space="preserve">Regarding market size, </w:t>
      </w:r>
      <w:r w:rsidR="00D018C4" w:rsidRPr="003D75FB">
        <w:rPr>
          <w:sz w:val="24"/>
          <w:szCs w:val="24"/>
        </w:rPr>
        <w:t xml:space="preserve">we show that a </w:t>
      </w:r>
      <w:r w:rsidRPr="003D75FB">
        <w:rPr>
          <w:sz w:val="24"/>
          <w:szCs w:val="24"/>
        </w:rPr>
        <w:t>large</w:t>
      </w:r>
      <w:r w:rsidR="0097656A" w:rsidRPr="003D75FB">
        <w:rPr>
          <w:sz w:val="24"/>
          <w:szCs w:val="24"/>
        </w:rPr>
        <w:t>r</w:t>
      </w:r>
      <w:r w:rsidRPr="003D75FB">
        <w:rPr>
          <w:sz w:val="24"/>
          <w:szCs w:val="24"/>
        </w:rPr>
        <w:t xml:space="preserve"> geographic region for trading benefits developers. This </w:t>
      </w:r>
      <w:r w:rsidR="00D57670">
        <w:rPr>
          <w:sz w:val="24"/>
          <w:szCs w:val="24"/>
        </w:rPr>
        <w:t xml:space="preserve">greater </w:t>
      </w:r>
      <w:r w:rsidRPr="003D75FB">
        <w:rPr>
          <w:sz w:val="24"/>
          <w:szCs w:val="24"/>
        </w:rPr>
        <w:t xml:space="preserve">scale allows each developer </w:t>
      </w:r>
      <w:r w:rsidR="00D018C4" w:rsidRPr="003D75FB">
        <w:rPr>
          <w:sz w:val="24"/>
          <w:szCs w:val="24"/>
        </w:rPr>
        <w:t xml:space="preserve">to </w:t>
      </w:r>
      <w:r w:rsidRPr="003D75FB">
        <w:rPr>
          <w:sz w:val="24"/>
          <w:szCs w:val="24"/>
        </w:rPr>
        <w:t xml:space="preserve">access the cheapest offset supply sites. </w:t>
      </w:r>
      <w:r w:rsidR="00026F69">
        <w:rPr>
          <w:sz w:val="24"/>
          <w:szCs w:val="24"/>
        </w:rPr>
        <w:t xml:space="preserve">Restricting trading to only being allowed to take place within a smaller </w:t>
      </w:r>
      <w:r w:rsidR="00D57670">
        <w:rPr>
          <w:sz w:val="24"/>
          <w:szCs w:val="24"/>
        </w:rPr>
        <w:t xml:space="preserve">planning </w:t>
      </w:r>
      <w:r w:rsidR="00026F69">
        <w:rPr>
          <w:sz w:val="24"/>
          <w:szCs w:val="24"/>
        </w:rPr>
        <w:t xml:space="preserve">region </w:t>
      </w:r>
      <w:r w:rsidRPr="003D75FB">
        <w:rPr>
          <w:sz w:val="24"/>
          <w:szCs w:val="24"/>
        </w:rPr>
        <w:t>constrains developers</w:t>
      </w:r>
      <w:r w:rsidR="00D57670">
        <w:rPr>
          <w:sz w:val="24"/>
          <w:szCs w:val="24"/>
        </w:rPr>
        <w:t>’</w:t>
      </w:r>
      <w:r w:rsidRPr="003D75FB">
        <w:rPr>
          <w:sz w:val="24"/>
          <w:szCs w:val="24"/>
        </w:rPr>
        <w:t xml:space="preserve"> </w:t>
      </w:r>
      <w:r w:rsidR="00D57670">
        <w:rPr>
          <w:sz w:val="24"/>
          <w:szCs w:val="24"/>
        </w:rPr>
        <w:t xml:space="preserve">ability </w:t>
      </w:r>
      <w:r w:rsidR="00DD6AB2" w:rsidRPr="003D75FB">
        <w:rPr>
          <w:sz w:val="24"/>
          <w:szCs w:val="24"/>
        </w:rPr>
        <w:t xml:space="preserve">to </w:t>
      </w:r>
      <w:r w:rsidRPr="003D75FB">
        <w:rPr>
          <w:sz w:val="24"/>
          <w:szCs w:val="24"/>
        </w:rPr>
        <w:t>access to the cheapest offsets</w:t>
      </w:r>
      <w:r w:rsidR="0097656A" w:rsidRPr="003D75FB">
        <w:rPr>
          <w:sz w:val="24"/>
          <w:szCs w:val="24"/>
        </w:rPr>
        <w:t xml:space="preserve"> </w:t>
      </w:r>
      <w:r w:rsidRPr="003D75FB">
        <w:rPr>
          <w:sz w:val="24"/>
          <w:szCs w:val="24"/>
        </w:rPr>
        <w:t xml:space="preserve">and </w:t>
      </w:r>
      <w:r w:rsidR="00D57670">
        <w:rPr>
          <w:sz w:val="24"/>
          <w:szCs w:val="24"/>
        </w:rPr>
        <w:t>exerts</w:t>
      </w:r>
      <w:r w:rsidRPr="003D75FB">
        <w:rPr>
          <w:sz w:val="24"/>
          <w:szCs w:val="24"/>
        </w:rPr>
        <w:t xml:space="preserve"> downward pressure on new development. </w:t>
      </w:r>
      <w:r w:rsidR="00070107" w:rsidRPr="003D75FB">
        <w:rPr>
          <w:sz w:val="24"/>
          <w:szCs w:val="24"/>
        </w:rPr>
        <w:t xml:space="preserve">However, </w:t>
      </w:r>
      <w:r w:rsidR="00070107">
        <w:rPr>
          <w:sz w:val="24"/>
          <w:szCs w:val="24"/>
        </w:rPr>
        <w:t>restricting</w:t>
      </w:r>
      <w:r w:rsidR="00026F69">
        <w:rPr>
          <w:sz w:val="24"/>
          <w:szCs w:val="24"/>
        </w:rPr>
        <w:t xml:space="preserve"> trading to smaller areas </w:t>
      </w:r>
      <w:r w:rsidR="0097656A" w:rsidRPr="003D75FB">
        <w:rPr>
          <w:sz w:val="24"/>
          <w:szCs w:val="24"/>
        </w:rPr>
        <w:t>has ecological</w:t>
      </w:r>
      <w:r w:rsidR="00026F69">
        <w:rPr>
          <w:sz w:val="24"/>
          <w:szCs w:val="24"/>
        </w:rPr>
        <w:t xml:space="preserve"> benefits</w:t>
      </w:r>
      <w:r w:rsidR="0097656A" w:rsidRPr="003D75FB">
        <w:rPr>
          <w:sz w:val="24"/>
          <w:szCs w:val="24"/>
        </w:rPr>
        <w:t xml:space="preserve"> for both target and non-target species, and a policy designer would need to balance these against the economic impacts of </w:t>
      </w:r>
      <w:r w:rsidR="00026F69">
        <w:rPr>
          <w:sz w:val="24"/>
          <w:szCs w:val="24"/>
        </w:rPr>
        <w:t>restricting trading</w:t>
      </w:r>
      <w:r w:rsidR="0097656A" w:rsidRPr="003D75FB">
        <w:rPr>
          <w:sz w:val="24"/>
          <w:szCs w:val="24"/>
        </w:rPr>
        <w:t xml:space="preserve"> in deciding whether</w:t>
      </w:r>
      <w:r w:rsidR="00026F69">
        <w:rPr>
          <w:sz w:val="24"/>
          <w:szCs w:val="24"/>
        </w:rPr>
        <w:t>,</w:t>
      </w:r>
      <w:r w:rsidR="0097656A" w:rsidRPr="003D75FB">
        <w:rPr>
          <w:sz w:val="24"/>
          <w:szCs w:val="24"/>
        </w:rPr>
        <w:t xml:space="preserve"> and how</w:t>
      </w:r>
      <w:r w:rsidR="00026F69">
        <w:rPr>
          <w:sz w:val="24"/>
          <w:szCs w:val="24"/>
        </w:rPr>
        <w:t>,</w:t>
      </w:r>
      <w:r w:rsidR="0097656A" w:rsidRPr="003D75FB">
        <w:rPr>
          <w:sz w:val="24"/>
          <w:szCs w:val="24"/>
        </w:rPr>
        <w:t xml:space="preserve"> to segment an offset market</w:t>
      </w:r>
      <w:r w:rsidR="00D57670">
        <w:rPr>
          <w:sz w:val="24"/>
          <w:szCs w:val="24"/>
        </w:rPr>
        <w:t>.</w:t>
      </w:r>
    </w:p>
    <w:p w14:paraId="6C36A03A" w14:textId="7D5A85DA" w:rsidR="00CC0D5E" w:rsidRPr="00145D77" w:rsidRDefault="00145D77" w:rsidP="00C95F85">
      <w:pPr>
        <w:spacing w:line="480" w:lineRule="auto"/>
        <w:ind w:firstLine="0"/>
        <w:rPr>
          <w:sz w:val="24"/>
          <w:szCs w:val="24"/>
        </w:rPr>
      </w:pPr>
      <w:r w:rsidRPr="00145D77">
        <w:rPr>
          <w:sz w:val="24"/>
          <w:szCs w:val="24"/>
        </w:rPr>
        <w:t xml:space="preserve">Whilst the results that emerge from our modelling on equilibrium prices, surplus changes, ecological impacts and housing development are of course specific to the case study area considered, some generalizable messages are also available. The first is that the outcomes of a market in biodiversity offsets seem to depend crucially on the spatial correlation of ecological potential, the opportunity costs of offset creation, and housing land values. In our study, what seem as “counter-intuitive” results largely emerge from a specific spatial correlation pattern of these variables. Second, changing market design parameters such as market size, ecological metric and trading rules are not likely to have equivalently signed implications for ecological </w:t>
      </w:r>
      <w:r w:rsidRPr="00145D77">
        <w:rPr>
          <w:sz w:val="24"/>
          <w:szCs w:val="24"/>
        </w:rPr>
        <w:lastRenderedPageBreak/>
        <w:t xml:space="preserve">and economic outcome measures. Changes which improve ecological outcomes may well worsen economic outcomes. Thirdly, given the multi-faceted nature of biodiversity, choice of a specific offset metric (in this case, which bird species is chosen) may have unintended negative effects on other important aspects of biodiversity, </w:t>
      </w:r>
      <w:bookmarkStart w:id="47" w:name="_Hlk48888988"/>
      <w:r w:rsidR="00C95F85" w:rsidRPr="00145D77">
        <w:rPr>
          <w:sz w:val="24"/>
          <w:szCs w:val="24"/>
        </w:rPr>
        <w:t xml:space="preserve">such as ecosystem functioning, resilience and species impacts. </w:t>
      </w:r>
    </w:p>
    <w:bookmarkEnd w:id="47"/>
    <w:p w14:paraId="1A2F6854" w14:textId="30EA2FFF" w:rsidR="00B61AFE" w:rsidRDefault="007A0CDB" w:rsidP="00592FA4">
      <w:pPr>
        <w:spacing w:line="480" w:lineRule="auto"/>
        <w:ind w:firstLine="0"/>
        <w:rPr>
          <w:sz w:val="24"/>
          <w:szCs w:val="24"/>
        </w:rPr>
      </w:pPr>
      <w:r w:rsidRPr="003D75FB">
        <w:rPr>
          <w:sz w:val="24"/>
          <w:szCs w:val="24"/>
        </w:rPr>
        <w:t xml:space="preserve">In conclusion, our work has provided evidence to </w:t>
      </w:r>
      <w:r w:rsidR="0097656A" w:rsidRPr="003D75FB">
        <w:rPr>
          <w:sz w:val="24"/>
          <w:szCs w:val="24"/>
        </w:rPr>
        <w:t xml:space="preserve">help </w:t>
      </w:r>
      <w:r w:rsidRPr="003D75FB">
        <w:rPr>
          <w:sz w:val="24"/>
          <w:szCs w:val="24"/>
        </w:rPr>
        <w:t xml:space="preserve">understand how the choice of </w:t>
      </w:r>
      <w:r w:rsidR="00560B02" w:rsidRPr="003D75FB">
        <w:rPr>
          <w:sz w:val="24"/>
          <w:szCs w:val="24"/>
        </w:rPr>
        <w:t xml:space="preserve">the </w:t>
      </w:r>
      <w:r w:rsidRPr="003D75FB">
        <w:rPr>
          <w:sz w:val="24"/>
          <w:szCs w:val="24"/>
        </w:rPr>
        <w:t xml:space="preserve">ecological target and the size of the market </w:t>
      </w:r>
      <w:r w:rsidR="00560B02" w:rsidRPr="003D75FB">
        <w:rPr>
          <w:sz w:val="24"/>
          <w:szCs w:val="24"/>
        </w:rPr>
        <w:t>a</w:t>
      </w:r>
      <w:r w:rsidRPr="003D75FB">
        <w:rPr>
          <w:sz w:val="24"/>
          <w:szCs w:val="24"/>
        </w:rPr>
        <w:t xml:space="preserve">ffect the development </w:t>
      </w:r>
      <w:r w:rsidR="00560B02" w:rsidRPr="003D75FB">
        <w:rPr>
          <w:sz w:val="24"/>
          <w:szCs w:val="24"/>
        </w:rPr>
        <w:t xml:space="preserve">and functioning </w:t>
      </w:r>
      <w:r w:rsidRPr="003D75FB">
        <w:rPr>
          <w:sz w:val="24"/>
          <w:szCs w:val="24"/>
        </w:rPr>
        <w:t xml:space="preserve">of a biodiversity offset market. </w:t>
      </w:r>
      <w:r w:rsidR="001551B7" w:rsidRPr="003D75FB">
        <w:rPr>
          <w:sz w:val="24"/>
          <w:szCs w:val="24"/>
        </w:rPr>
        <w:t xml:space="preserve">Implementing </w:t>
      </w:r>
      <w:r w:rsidR="00560B02" w:rsidRPr="003D75FB">
        <w:rPr>
          <w:sz w:val="24"/>
          <w:szCs w:val="24"/>
        </w:rPr>
        <w:t xml:space="preserve">such </w:t>
      </w:r>
      <w:r w:rsidR="001551B7" w:rsidRPr="003D75FB">
        <w:rPr>
          <w:sz w:val="24"/>
          <w:szCs w:val="24"/>
        </w:rPr>
        <w:t xml:space="preserve">markets could </w:t>
      </w:r>
      <w:r w:rsidRPr="003D75FB">
        <w:rPr>
          <w:sz w:val="24"/>
          <w:szCs w:val="24"/>
        </w:rPr>
        <w:t xml:space="preserve">assist in reducing </w:t>
      </w:r>
      <w:r w:rsidR="001551B7" w:rsidRPr="003D75FB">
        <w:rPr>
          <w:sz w:val="24"/>
          <w:szCs w:val="24"/>
        </w:rPr>
        <w:t>development</w:t>
      </w:r>
      <w:r w:rsidR="00E96D87">
        <w:rPr>
          <w:sz w:val="24"/>
          <w:szCs w:val="24"/>
        </w:rPr>
        <w:t>-</w:t>
      </w:r>
      <w:r w:rsidR="001551B7" w:rsidRPr="003D75FB">
        <w:rPr>
          <w:sz w:val="24"/>
          <w:szCs w:val="24"/>
        </w:rPr>
        <w:t>conservation conflict</w:t>
      </w:r>
      <w:r w:rsidR="00560B02" w:rsidRPr="003D75FB">
        <w:rPr>
          <w:sz w:val="24"/>
          <w:szCs w:val="24"/>
        </w:rPr>
        <w:t>s</w:t>
      </w:r>
      <w:r w:rsidR="001551B7" w:rsidRPr="003D75FB">
        <w:rPr>
          <w:sz w:val="24"/>
          <w:szCs w:val="24"/>
        </w:rPr>
        <w:t>. However, offsetting alone is not sufficient</w:t>
      </w:r>
      <w:r w:rsidR="0005248D" w:rsidRPr="003D75FB">
        <w:rPr>
          <w:sz w:val="24"/>
          <w:szCs w:val="24"/>
        </w:rPr>
        <w:t xml:space="preserve"> to guarantee no declines in wider measures of biodiversity</w:t>
      </w:r>
      <w:r w:rsidR="001551B7" w:rsidRPr="003D75FB">
        <w:rPr>
          <w:sz w:val="24"/>
          <w:szCs w:val="24"/>
        </w:rPr>
        <w:t>, and existing national and international biodiversity protection must remain in place (</w:t>
      </w:r>
      <w:r w:rsidR="00560B02" w:rsidRPr="003D75FB">
        <w:rPr>
          <w:sz w:val="24"/>
          <w:szCs w:val="24"/>
        </w:rPr>
        <w:t xml:space="preserve">such as </w:t>
      </w:r>
      <w:r w:rsidR="001551B7" w:rsidRPr="003D75FB">
        <w:rPr>
          <w:sz w:val="24"/>
          <w:szCs w:val="24"/>
        </w:rPr>
        <w:t>Special Protection Areas</w:t>
      </w:r>
      <w:r w:rsidR="00560B02" w:rsidRPr="003D75FB">
        <w:rPr>
          <w:sz w:val="24"/>
          <w:szCs w:val="24"/>
        </w:rPr>
        <w:t>, for example</w:t>
      </w:r>
      <w:r w:rsidR="001551B7" w:rsidRPr="003D75FB">
        <w:rPr>
          <w:sz w:val="24"/>
          <w:szCs w:val="24"/>
        </w:rPr>
        <w:t xml:space="preserve">). Instead, offsetting has the potential to reduce the loss of biodiversity for ecologically valuable habitats </w:t>
      </w:r>
      <w:r w:rsidR="008670CB" w:rsidRPr="003D75FB">
        <w:rPr>
          <w:sz w:val="24"/>
          <w:szCs w:val="24"/>
        </w:rPr>
        <w:t>that</w:t>
      </w:r>
      <w:r w:rsidR="001551B7" w:rsidRPr="003D75FB">
        <w:rPr>
          <w:sz w:val="24"/>
          <w:szCs w:val="24"/>
        </w:rPr>
        <w:t xml:space="preserve"> are not within the internationally protected regions</w:t>
      </w:r>
      <w:r w:rsidR="004359FD">
        <w:rPr>
          <w:sz w:val="24"/>
          <w:szCs w:val="24"/>
        </w:rPr>
        <w:t xml:space="preserve"> as part of a package of measures</w:t>
      </w:r>
      <w:r w:rsidR="00000224" w:rsidRPr="003D75FB">
        <w:rPr>
          <w:sz w:val="24"/>
          <w:szCs w:val="24"/>
        </w:rPr>
        <w:t>,</w:t>
      </w:r>
      <w:r w:rsidR="001551B7" w:rsidRPr="003D75FB">
        <w:rPr>
          <w:sz w:val="24"/>
          <w:szCs w:val="24"/>
        </w:rPr>
        <w:t xml:space="preserve"> with the aim of moving towards a net gain in </w:t>
      </w:r>
      <w:r w:rsidR="00E96D87" w:rsidRPr="003D75FB">
        <w:rPr>
          <w:sz w:val="24"/>
          <w:szCs w:val="24"/>
        </w:rPr>
        <w:t xml:space="preserve">nation-wide </w:t>
      </w:r>
      <w:r w:rsidR="001551B7" w:rsidRPr="003D75FB">
        <w:rPr>
          <w:sz w:val="24"/>
          <w:szCs w:val="24"/>
        </w:rPr>
        <w:t xml:space="preserve">biodiversity. </w:t>
      </w:r>
    </w:p>
    <w:p w14:paraId="2340287F" w14:textId="1AA01F02" w:rsidR="00FB2A9A" w:rsidRDefault="00FB2A9A">
      <w:pPr>
        <w:snapToGrid/>
        <w:spacing w:before="0" w:after="160" w:line="259" w:lineRule="auto"/>
        <w:ind w:firstLine="0"/>
        <w:jc w:val="left"/>
        <w:rPr>
          <w:sz w:val="24"/>
          <w:szCs w:val="24"/>
        </w:rPr>
      </w:pPr>
      <w:r>
        <w:rPr>
          <w:sz w:val="24"/>
          <w:szCs w:val="24"/>
        </w:rPr>
        <w:br w:type="page"/>
      </w:r>
    </w:p>
    <w:p w14:paraId="0BD25E7B" w14:textId="1AB3AA5F" w:rsidR="00FB2A9A" w:rsidRDefault="00FB2A9A" w:rsidP="00070107">
      <w:pPr>
        <w:pStyle w:val="Heading1"/>
        <w:numPr>
          <w:ilvl w:val="0"/>
          <w:numId w:val="0"/>
        </w:numPr>
        <w:ind w:left="432" w:hanging="432"/>
      </w:pPr>
      <w:r>
        <w:lastRenderedPageBreak/>
        <w:t>Acknowledgements</w:t>
      </w:r>
    </w:p>
    <w:p w14:paraId="4825E656" w14:textId="77777777" w:rsidR="00FB2A9A" w:rsidRPr="002B6454" w:rsidRDefault="00FB2A9A" w:rsidP="00FB2A9A">
      <w:pPr>
        <w:snapToGrid/>
        <w:spacing w:before="0" w:after="160"/>
        <w:ind w:firstLine="0"/>
        <w:jc w:val="left"/>
        <w:rPr>
          <w:color w:val="000000" w:themeColor="text1"/>
          <w:sz w:val="24"/>
          <w:szCs w:val="24"/>
        </w:rPr>
      </w:pPr>
      <w:r w:rsidRPr="002B6454">
        <w:rPr>
          <w:color w:val="000000" w:themeColor="text1"/>
          <w:sz w:val="24"/>
          <w:szCs w:val="24"/>
        </w:rPr>
        <w:t>We thank The Leverhulme Trust for funding this work under project RPG-2017-148 and members of our advisory group for numerous helpful comments on the research.</w:t>
      </w:r>
    </w:p>
    <w:p w14:paraId="71025319" w14:textId="77777777" w:rsidR="00FB2A9A" w:rsidRPr="002B6454" w:rsidRDefault="00FB2A9A" w:rsidP="00FB2A9A">
      <w:pPr>
        <w:snapToGrid/>
        <w:spacing w:before="0" w:after="160"/>
        <w:ind w:firstLine="0"/>
        <w:jc w:val="left"/>
        <w:rPr>
          <w:color w:val="000000" w:themeColor="text1"/>
          <w:sz w:val="24"/>
          <w:szCs w:val="24"/>
        </w:rPr>
      </w:pPr>
      <w:r w:rsidRPr="002B6454">
        <w:rPr>
          <w:color w:val="000000" w:themeColor="text1"/>
          <w:sz w:val="24"/>
          <w:szCs w:val="24"/>
        </w:rPr>
        <w:br w:type="page"/>
      </w:r>
    </w:p>
    <w:p w14:paraId="013AC878" w14:textId="77777777" w:rsidR="00FB2A9A" w:rsidRPr="003F6987" w:rsidRDefault="00FB2A9A" w:rsidP="00070107">
      <w:pPr>
        <w:pStyle w:val="Heading1"/>
        <w:numPr>
          <w:ilvl w:val="0"/>
          <w:numId w:val="0"/>
        </w:numPr>
        <w:ind w:left="432" w:hanging="432"/>
        <w:rPr>
          <w:lang w:val="de-DE"/>
        </w:rPr>
      </w:pPr>
      <w:r w:rsidRPr="003F6987">
        <w:rPr>
          <w:lang w:val="de-DE"/>
        </w:rPr>
        <w:lastRenderedPageBreak/>
        <w:t xml:space="preserve">References </w:t>
      </w:r>
    </w:p>
    <w:p w14:paraId="472943BD" w14:textId="15A1FE7F" w:rsidR="00FB2A9A" w:rsidRPr="00FB2A9A" w:rsidRDefault="00FB2A9A" w:rsidP="00FB2A9A">
      <w:pPr>
        <w:ind w:left="567" w:hanging="567"/>
        <w:rPr>
          <w:sz w:val="24"/>
          <w:szCs w:val="24"/>
        </w:rPr>
      </w:pPr>
      <w:r w:rsidRPr="00FB2A9A">
        <w:rPr>
          <w:sz w:val="24"/>
          <w:szCs w:val="24"/>
          <w:lang w:val="de-DE"/>
        </w:rPr>
        <w:t xml:space="preserve">Atkinson, S. E., &amp; Tietenberg, T. H. 1987. </w:t>
      </w:r>
      <w:r>
        <w:rPr>
          <w:sz w:val="24"/>
          <w:szCs w:val="24"/>
        </w:rPr>
        <w:t>“</w:t>
      </w:r>
      <w:r w:rsidRPr="00FB2A9A">
        <w:rPr>
          <w:sz w:val="24"/>
          <w:szCs w:val="24"/>
        </w:rPr>
        <w:t xml:space="preserve">Economic implications of emissions trading rules for local and regional pollutants.” </w:t>
      </w:r>
      <w:r w:rsidRPr="00FB2A9A">
        <w:rPr>
          <w:i/>
          <w:iCs/>
          <w:sz w:val="24"/>
          <w:szCs w:val="24"/>
        </w:rPr>
        <w:t>Canadian Journal of Economics</w:t>
      </w:r>
      <w:r w:rsidRPr="00FB2A9A">
        <w:rPr>
          <w:sz w:val="24"/>
          <w:szCs w:val="24"/>
        </w:rPr>
        <w:t>, 370-386.</w:t>
      </w:r>
    </w:p>
    <w:p w14:paraId="15188095" w14:textId="77777777" w:rsidR="00FB2A9A" w:rsidRPr="00FB2A9A" w:rsidRDefault="00FB2A9A" w:rsidP="00FB2A9A">
      <w:pPr>
        <w:widowControl w:val="0"/>
        <w:autoSpaceDE w:val="0"/>
        <w:autoSpaceDN w:val="0"/>
        <w:adjustRightInd w:val="0"/>
        <w:ind w:left="480" w:hanging="480"/>
        <w:rPr>
          <w:noProof/>
          <w:sz w:val="24"/>
          <w:szCs w:val="24"/>
        </w:rPr>
      </w:pPr>
      <w:r w:rsidRPr="00FB2A9A">
        <w:rPr>
          <w:sz w:val="24"/>
          <w:szCs w:val="24"/>
        </w:rPr>
        <w:t>BBOP. 2009. Business and Biodiversity Offsets Programme (BBOP). 2009. Biodiversity Offset Design Handbook. BBOP, Washington, D.C.</w:t>
      </w:r>
      <w:r w:rsidRPr="00FB2A9A">
        <w:rPr>
          <w:sz w:val="24"/>
          <w:szCs w:val="24"/>
        </w:rPr>
        <w:fldChar w:fldCharType="begin" w:fldLock="1"/>
      </w:r>
      <w:r w:rsidRPr="00FB2A9A">
        <w:rPr>
          <w:sz w:val="24"/>
          <w:szCs w:val="24"/>
        </w:rPr>
        <w:instrText xml:space="preserve">ADDIN Mendeley Bibliography CSL_BIBLIOGRAPHY </w:instrText>
      </w:r>
      <w:r w:rsidRPr="00FB2A9A">
        <w:rPr>
          <w:sz w:val="24"/>
          <w:szCs w:val="24"/>
        </w:rPr>
        <w:fldChar w:fldCharType="separate"/>
      </w:r>
    </w:p>
    <w:p w14:paraId="680987AD"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Barker, Nicole K. S., Stuart M. Slattery, Marcel Darveau, and Steve G. Cumming. 2014. “Modeling Distribution and Abundance of Multiple Species: Different Pooling Strategies Produce Similar Results.” </w:t>
      </w:r>
      <w:r w:rsidRPr="00FB2A9A">
        <w:rPr>
          <w:i/>
          <w:iCs/>
          <w:noProof/>
          <w:sz w:val="24"/>
          <w:szCs w:val="24"/>
        </w:rPr>
        <w:t>Ecosphere</w:t>
      </w:r>
      <w:r w:rsidRPr="00FB2A9A">
        <w:rPr>
          <w:noProof/>
          <w:sz w:val="24"/>
          <w:szCs w:val="24"/>
        </w:rPr>
        <w:t xml:space="preserve"> 5 (12): art158. https://doi.org/10.1890/ES14-00256.1.</w:t>
      </w:r>
    </w:p>
    <w:p w14:paraId="50A6F6DA"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Balmer, D. E., Gillings, S., Caffrey, B. J., Swann, R. L., Downie, I. S., &amp; Fuller, R. J. 2013. Bird Atlas 2007-11: the breeding and wintering birds of Britain and Ireland. Thetford: BTO.</w:t>
      </w:r>
    </w:p>
    <w:p w14:paraId="3058DE77"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Beattie, Alastair. 2019. </w:t>
      </w:r>
      <w:r w:rsidRPr="00FB2A9A">
        <w:rPr>
          <w:i/>
          <w:iCs/>
          <w:noProof/>
          <w:sz w:val="24"/>
          <w:szCs w:val="24"/>
        </w:rPr>
        <w:t>The Farm Management Handbook 2019/20</w:t>
      </w:r>
      <w:r w:rsidRPr="00FB2A9A">
        <w:rPr>
          <w:noProof/>
          <w:sz w:val="24"/>
          <w:szCs w:val="24"/>
        </w:rPr>
        <w:t>. SRUC. www.fas.scot.</w:t>
      </w:r>
    </w:p>
    <w:p w14:paraId="5C5B49D4"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Bekessy, Sarah A., Brendan A. Wintle, David B. Lindenmayer, Michael A. Mccarthy, Mark Colyvan, Mark A. Burgman, and Hugh P. Possingham. 2010. “The Biodiversity Bank Cannot Be a Lending Bank.” </w:t>
      </w:r>
      <w:r w:rsidRPr="00FB2A9A">
        <w:rPr>
          <w:i/>
          <w:iCs/>
          <w:noProof/>
          <w:sz w:val="24"/>
          <w:szCs w:val="24"/>
        </w:rPr>
        <w:t>Conservation Letters</w:t>
      </w:r>
      <w:r w:rsidRPr="00FB2A9A">
        <w:rPr>
          <w:noProof/>
          <w:sz w:val="24"/>
          <w:szCs w:val="24"/>
        </w:rPr>
        <w:t xml:space="preserve"> 3 (3): 151–58. https://doi.org/10.1111/j.1755-263X.2010.00110.x.</w:t>
      </w:r>
    </w:p>
    <w:p w14:paraId="352C389C"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Bendor, Todd. 2009. “A Dynamic Analysis of the Wetland Mitigation Process and Its Effects on No Net Loss Policy.” </w:t>
      </w:r>
      <w:r w:rsidRPr="00FB2A9A">
        <w:rPr>
          <w:i/>
          <w:iCs/>
          <w:noProof/>
          <w:sz w:val="24"/>
          <w:szCs w:val="24"/>
        </w:rPr>
        <w:t>Landscape and Urban Planning</w:t>
      </w:r>
      <w:r w:rsidRPr="00FB2A9A">
        <w:rPr>
          <w:noProof/>
          <w:sz w:val="24"/>
          <w:szCs w:val="24"/>
        </w:rPr>
        <w:t xml:space="preserve"> 89 (1–2): 17–27. https://doi.org/10.1016/j.landurbplan.2008.09.003.</w:t>
      </w:r>
    </w:p>
    <w:p w14:paraId="7C849667"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BenDor, Todd K., Tianshu Guo, and Andrew J. Yates. 2014. “Optimal Advanced Credit Releases in Ecosystem Service Markets.” </w:t>
      </w:r>
      <w:r w:rsidRPr="00FB2A9A">
        <w:rPr>
          <w:i/>
          <w:iCs/>
          <w:noProof/>
          <w:sz w:val="24"/>
          <w:szCs w:val="24"/>
        </w:rPr>
        <w:t>Environmental Management</w:t>
      </w:r>
      <w:r w:rsidRPr="00FB2A9A">
        <w:rPr>
          <w:noProof/>
          <w:sz w:val="24"/>
          <w:szCs w:val="24"/>
        </w:rPr>
        <w:t xml:space="preserve"> 53 (3): 496–509. https://doi.org/10.1007/s00267-013-0219-1.</w:t>
      </w:r>
    </w:p>
    <w:p w14:paraId="058AF68A" w14:textId="77777777" w:rsidR="00FB2A9A" w:rsidRPr="00FB2A9A" w:rsidRDefault="00FB2A9A" w:rsidP="00FB2A9A">
      <w:pPr>
        <w:ind w:left="567" w:hanging="567"/>
        <w:jc w:val="left"/>
        <w:rPr>
          <w:sz w:val="24"/>
          <w:szCs w:val="24"/>
        </w:rPr>
      </w:pPr>
      <w:r w:rsidRPr="00FB2A9A">
        <w:rPr>
          <w:rStyle w:val="author"/>
          <w:sz w:val="24"/>
          <w:szCs w:val="24"/>
          <w:shd w:val="clear" w:color="auto" w:fill="FFFFFF"/>
        </w:rPr>
        <w:t>BenDor, Todd.</w:t>
      </w:r>
      <w:r w:rsidRPr="00FB2A9A">
        <w:rPr>
          <w:sz w:val="24"/>
          <w:szCs w:val="24"/>
          <w:shd w:val="clear" w:color="auto" w:fill="FFFFFF"/>
        </w:rPr>
        <w:t>, &amp; </w:t>
      </w:r>
      <w:r w:rsidRPr="00FB2A9A">
        <w:rPr>
          <w:rStyle w:val="author"/>
          <w:sz w:val="24"/>
          <w:szCs w:val="24"/>
          <w:shd w:val="clear" w:color="auto" w:fill="FFFFFF"/>
        </w:rPr>
        <w:t>Nicholas Brozović.</w:t>
      </w:r>
      <w:r w:rsidRPr="00FB2A9A">
        <w:rPr>
          <w:sz w:val="24"/>
          <w:szCs w:val="24"/>
          <w:shd w:val="clear" w:color="auto" w:fill="FFFFFF"/>
        </w:rPr>
        <w:t> (</w:t>
      </w:r>
      <w:r w:rsidRPr="00FB2A9A">
        <w:rPr>
          <w:rStyle w:val="pubyear"/>
          <w:sz w:val="24"/>
          <w:szCs w:val="24"/>
          <w:shd w:val="clear" w:color="auto" w:fill="FFFFFF"/>
        </w:rPr>
        <w:t>2007</w:t>
      </w:r>
      <w:r w:rsidRPr="00FB2A9A">
        <w:rPr>
          <w:sz w:val="24"/>
          <w:szCs w:val="24"/>
          <w:shd w:val="clear" w:color="auto" w:fill="FFFFFF"/>
        </w:rPr>
        <w:t>). </w:t>
      </w:r>
      <w:r w:rsidRPr="00FB2A9A">
        <w:rPr>
          <w:rStyle w:val="articletitle"/>
          <w:sz w:val="24"/>
          <w:szCs w:val="24"/>
          <w:shd w:val="clear" w:color="auto" w:fill="FFFFFF"/>
        </w:rPr>
        <w:t>Determinants of spatial and temporal patterns in compensatory wetland mitigation</w:t>
      </w:r>
      <w:r w:rsidRPr="00FB2A9A">
        <w:rPr>
          <w:sz w:val="24"/>
          <w:szCs w:val="24"/>
          <w:shd w:val="clear" w:color="auto" w:fill="FFFFFF"/>
        </w:rPr>
        <w:t>. </w:t>
      </w:r>
      <w:r w:rsidRPr="00FB2A9A">
        <w:rPr>
          <w:i/>
          <w:iCs/>
          <w:sz w:val="24"/>
          <w:szCs w:val="24"/>
          <w:shd w:val="clear" w:color="auto" w:fill="FFFFFF"/>
        </w:rPr>
        <w:t>Environmental Management</w:t>
      </w:r>
      <w:r w:rsidRPr="00FB2A9A">
        <w:rPr>
          <w:sz w:val="24"/>
          <w:szCs w:val="24"/>
          <w:shd w:val="clear" w:color="auto" w:fill="FFFFFF"/>
        </w:rPr>
        <w:t> </w:t>
      </w:r>
      <w:r w:rsidRPr="00FB2A9A">
        <w:rPr>
          <w:rStyle w:val="vol"/>
          <w:sz w:val="24"/>
          <w:szCs w:val="24"/>
          <w:shd w:val="clear" w:color="auto" w:fill="FFFFFF"/>
        </w:rPr>
        <w:t>40</w:t>
      </w:r>
      <w:r w:rsidRPr="00FB2A9A">
        <w:rPr>
          <w:sz w:val="24"/>
          <w:szCs w:val="24"/>
          <w:shd w:val="clear" w:color="auto" w:fill="FFFFFF"/>
        </w:rPr>
        <w:t xml:space="preserve"> </w:t>
      </w:r>
      <w:r w:rsidRPr="00FB2A9A">
        <w:rPr>
          <w:rStyle w:val="pagefirst"/>
          <w:sz w:val="24"/>
          <w:szCs w:val="24"/>
          <w:shd w:val="clear" w:color="auto" w:fill="FFFFFF"/>
        </w:rPr>
        <w:t>349</w:t>
      </w:r>
      <w:r w:rsidRPr="00FB2A9A">
        <w:rPr>
          <w:sz w:val="24"/>
          <w:szCs w:val="24"/>
          <w:shd w:val="clear" w:color="auto" w:fill="FFFFFF"/>
        </w:rPr>
        <w:t>– </w:t>
      </w:r>
      <w:r w:rsidRPr="00FB2A9A">
        <w:rPr>
          <w:rStyle w:val="pagelast"/>
          <w:sz w:val="24"/>
          <w:szCs w:val="24"/>
          <w:shd w:val="clear" w:color="auto" w:fill="FFFFFF"/>
        </w:rPr>
        <w:t>364</w:t>
      </w:r>
      <w:r w:rsidRPr="00FB2A9A">
        <w:rPr>
          <w:sz w:val="24"/>
          <w:szCs w:val="24"/>
          <w:shd w:val="clear" w:color="auto" w:fill="FFFFFF"/>
        </w:rPr>
        <w:t>. </w:t>
      </w:r>
      <w:hyperlink r:id="rId12" w:history="1">
        <w:r w:rsidRPr="00FB2A9A">
          <w:rPr>
            <w:rStyle w:val="Hyperlink"/>
            <w:color w:val="auto"/>
            <w:sz w:val="24"/>
            <w:szCs w:val="24"/>
            <w:shd w:val="clear" w:color="auto" w:fill="FFFFFF"/>
          </w:rPr>
          <w:t>https://doi.org/10.1007/s00267-006-0310-y</w:t>
        </w:r>
      </w:hyperlink>
    </w:p>
    <w:p w14:paraId="3F20CF32" w14:textId="77777777" w:rsidR="00FB2A9A" w:rsidRPr="00FB2A9A" w:rsidRDefault="00FB2A9A" w:rsidP="00FB2A9A">
      <w:pPr>
        <w:widowControl w:val="0"/>
        <w:autoSpaceDE w:val="0"/>
        <w:autoSpaceDN w:val="0"/>
        <w:adjustRightInd w:val="0"/>
        <w:ind w:left="480" w:hanging="480"/>
        <w:rPr>
          <w:sz w:val="24"/>
          <w:szCs w:val="24"/>
          <w:shd w:val="clear" w:color="auto" w:fill="FFFFFF"/>
        </w:rPr>
      </w:pPr>
      <w:r w:rsidRPr="00FB2A9A">
        <w:rPr>
          <w:sz w:val="24"/>
          <w:szCs w:val="24"/>
          <w:shd w:val="clear" w:color="auto" w:fill="FFFFFF"/>
        </w:rPr>
        <w:t>BirdLife International (2020) Species factsheet: </w:t>
      </w:r>
      <w:r w:rsidRPr="00FB2A9A">
        <w:rPr>
          <w:i/>
          <w:iCs/>
          <w:sz w:val="24"/>
          <w:szCs w:val="24"/>
          <w:shd w:val="clear" w:color="auto" w:fill="FFFFFF"/>
        </w:rPr>
        <w:t>Numenius arquata</w:t>
      </w:r>
      <w:r w:rsidRPr="00FB2A9A">
        <w:rPr>
          <w:sz w:val="24"/>
          <w:szCs w:val="24"/>
          <w:shd w:val="clear" w:color="auto" w:fill="FFFFFF"/>
        </w:rPr>
        <w:t xml:space="preserve">. Downloaded </w:t>
      </w:r>
      <w:r w:rsidRPr="00FB2A9A">
        <w:rPr>
          <w:sz w:val="24"/>
          <w:szCs w:val="24"/>
          <w:shd w:val="clear" w:color="auto" w:fill="FFFFFF"/>
        </w:rPr>
        <w:lastRenderedPageBreak/>
        <w:t>from </w:t>
      </w:r>
      <w:hyperlink r:id="rId13" w:tgtFrame="_blank" w:history="1">
        <w:r w:rsidRPr="00FB2A9A">
          <w:rPr>
            <w:rStyle w:val="Hyperlink"/>
            <w:color w:val="auto"/>
            <w:sz w:val="24"/>
            <w:szCs w:val="24"/>
            <w:shd w:val="clear" w:color="auto" w:fill="FFFFFF"/>
          </w:rPr>
          <w:t>http://www.birdlife.org</w:t>
        </w:r>
      </w:hyperlink>
      <w:r w:rsidRPr="00FB2A9A">
        <w:rPr>
          <w:sz w:val="24"/>
          <w:szCs w:val="24"/>
          <w:shd w:val="clear" w:color="auto" w:fill="FFFFFF"/>
        </w:rPr>
        <w:t> on 24/07/2020.</w:t>
      </w:r>
    </w:p>
    <w:p w14:paraId="68B97A71"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Bonds, Matthew H., And Jeffrey J. Pompe. 2003. “Calculating Wetland Mitigation Banking Credits: Adjusting for Wetland Function and Location.” </w:t>
      </w:r>
      <w:r w:rsidRPr="00FB2A9A">
        <w:rPr>
          <w:i/>
          <w:iCs/>
          <w:noProof/>
          <w:sz w:val="24"/>
          <w:szCs w:val="24"/>
        </w:rPr>
        <w:t>Natural Resources Journal</w:t>
      </w:r>
      <w:r w:rsidRPr="00FB2A9A">
        <w:rPr>
          <w:noProof/>
          <w:sz w:val="24"/>
          <w:szCs w:val="24"/>
        </w:rPr>
        <w:t>. Regents of the University of New Mexico on behalf of its School of Law. https://doi.org/10.2307/24888894.</w:t>
      </w:r>
    </w:p>
    <w:p w14:paraId="2E9B339E"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Bonnie, Robert. 1999. “Endangered Species Mitigation Banking: Promoting Recovery through Habitat Conservation Planning under the Endangered Species Act.” </w:t>
      </w:r>
      <w:r w:rsidRPr="00FB2A9A">
        <w:rPr>
          <w:i/>
          <w:iCs/>
          <w:noProof/>
          <w:sz w:val="24"/>
          <w:szCs w:val="24"/>
        </w:rPr>
        <w:t>Science of the Total Environment</w:t>
      </w:r>
      <w:r w:rsidRPr="00FB2A9A">
        <w:rPr>
          <w:noProof/>
          <w:sz w:val="24"/>
          <w:szCs w:val="24"/>
        </w:rPr>
        <w:t xml:space="preserve"> 240 (1–3): 11–19. https://doi.org/10.1016/S0048-9697(99)00315-0.</w:t>
      </w:r>
    </w:p>
    <w:p w14:paraId="131803D3"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Brotons, Lluís, Wilfried Thuiller, Miguel B Araújo, Alexandre H Hirzel Brotons, Araú Jo, M B Hirzel, and / W Thuiller. 2004. “Presence-Absence versus Presence-Only Modelling Methods for Predicting Bird Habitat Suitability.” </w:t>
      </w:r>
      <w:r w:rsidRPr="00FB2A9A">
        <w:rPr>
          <w:i/>
          <w:iCs/>
          <w:noProof/>
          <w:sz w:val="24"/>
          <w:szCs w:val="24"/>
        </w:rPr>
        <w:t>ECOGRAPHY</w:t>
      </w:r>
      <w:r w:rsidRPr="00FB2A9A">
        <w:rPr>
          <w:noProof/>
          <w:sz w:val="24"/>
          <w:szCs w:val="24"/>
        </w:rPr>
        <w:t xml:space="preserve"> 27: 4.</w:t>
      </w:r>
    </w:p>
    <w:p w14:paraId="1B577DD0" w14:textId="77777777" w:rsidR="00FB2A9A" w:rsidRPr="00FB2A9A" w:rsidRDefault="00FB2A9A" w:rsidP="00FB2A9A">
      <w:pPr>
        <w:ind w:firstLine="0"/>
        <w:rPr>
          <w:sz w:val="24"/>
          <w:szCs w:val="24"/>
        </w:rPr>
      </w:pPr>
      <w:r w:rsidRPr="00FB2A9A">
        <w:rPr>
          <w:sz w:val="24"/>
          <w:szCs w:val="24"/>
        </w:rPr>
        <w:t xml:space="preserve">Bull, J.W., Suttle, K.B., Gordon, A., Singh, N.J. &amp; Milner-Gulland, E.J. 2013. "Biodiversity offsets in theory and practice". </w:t>
      </w:r>
      <w:r w:rsidRPr="00FB2A9A">
        <w:rPr>
          <w:i/>
          <w:sz w:val="24"/>
          <w:szCs w:val="24"/>
        </w:rPr>
        <w:t>Oryx,</w:t>
      </w:r>
      <w:r w:rsidRPr="00FB2A9A">
        <w:rPr>
          <w:sz w:val="24"/>
          <w:szCs w:val="24"/>
        </w:rPr>
        <w:t xml:space="preserve"> </w:t>
      </w:r>
      <w:r w:rsidRPr="00FB2A9A">
        <w:rPr>
          <w:bCs/>
          <w:sz w:val="24"/>
          <w:szCs w:val="24"/>
        </w:rPr>
        <w:t>47,</w:t>
      </w:r>
      <w:r w:rsidRPr="00FB2A9A">
        <w:rPr>
          <w:sz w:val="24"/>
          <w:szCs w:val="24"/>
        </w:rPr>
        <w:t xml:space="preserve"> 369-380</w:t>
      </w:r>
    </w:p>
    <w:p w14:paraId="068244F8" w14:textId="77777777" w:rsidR="00FB2A9A" w:rsidRPr="00FB2A9A" w:rsidRDefault="00FB2A9A" w:rsidP="00FB2A9A">
      <w:pPr>
        <w:ind w:left="426" w:hanging="426"/>
        <w:rPr>
          <w:sz w:val="24"/>
          <w:szCs w:val="24"/>
          <w:shd w:val="clear" w:color="auto" w:fill="FFFFFF"/>
        </w:rPr>
      </w:pPr>
      <w:r w:rsidRPr="00FB2A9A">
        <w:rPr>
          <w:sz w:val="24"/>
          <w:szCs w:val="24"/>
          <w:shd w:val="clear" w:color="auto" w:fill="FFFFFF"/>
        </w:rPr>
        <w:t>Bull, Joseph W., Samuel P. Lloyd, and Niels Strange. 2017. "Implementation gap between the theory and practice of biodiversity offset multipliers." </w:t>
      </w:r>
      <w:r w:rsidRPr="00FB2A9A">
        <w:rPr>
          <w:i/>
          <w:iCs/>
          <w:sz w:val="24"/>
          <w:szCs w:val="24"/>
          <w:shd w:val="clear" w:color="auto" w:fill="FFFFFF"/>
        </w:rPr>
        <w:t>Conservation Letters</w:t>
      </w:r>
      <w:r w:rsidRPr="00FB2A9A">
        <w:rPr>
          <w:sz w:val="24"/>
          <w:szCs w:val="24"/>
          <w:shd w:val="clear" w:color="auto" w:fill="FFFFFF"/>
        </w:rPr>
        <w:t> 10 (6): 656-669.</w:t>
      </w:r>
    </w:p>
    <w:p w14:paraId="4E9C9E9B" w14:textId="77777777" w:rsidR="00FB2A9A" w:rsidRPr="00FB2A9A" w:rsidRDefault="00FB2A9A" w:rsidP="00FB2A9A">
      <w:pPr>
        <w:widowControl w:val="0"/>
        <w:autoSpaceDE w:val="0"/>
        <w:autoSpaceDN w:val="0"/>
        <w:adjustRightInd w:val="0"/>
        <w:ind w:left="480" w:hanging="480"/>
        <w:rPr>
          <w:sz w:val="24"/>
          <w:szCs w:val="24"/>
        </w:rPr>
      </w:pPr>
      <w:r w:rsidRPr="00FB2A9A">
        <w:rPr>
          <w:sz w:val="24"/>
          <w:szCs w:val="24"/>
          <w:shd w:val="clear" w:color="auto" w:fill="FFFFFF"/>
        </w:rPr>
        <w:t>Burnham, Kenneth P., and David R. Anderson. 1998. "Practical use of the information-theoretic approach." In </w:t>
      </w:r>
      <w:r w:rsidRPr="00FB2A9A">
        <w:rPr>
          <w:i/>
          <w:iCs/>
          <w:sz w:val="24"/>
          <w:szCs w:val="24"/>
          <w:shd w:val="clear" w:color="auto" w:fill="FFFFFF"/>
        </w:rPr>
        <w:t>Model selection and inference</w:t>
      </w:r>
      <w:r w:rsidRPr="00FB2A9A">
        <w:rPr>
          <w:sz w:val="24"/>
          <w:szCs w:val="24"/>
          <w:shd w:val="clear" w:color="auto" w:fill="FFFFFF"/>
        </w:rPr>
        <w:t xml:space="preserve">, pp. 75-117. Springer, New York, NY, </w:t>
      </w:r>
    </w:p>
    <w:p w14:paraId="697D8935"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lang w:val="it-IT"/>
        </w:rPr>
        <w:t xml:space="preserve">Coralie, Calvet, Ollivier Guillaume, and Napoleone Claude. </w:t>
      </w:r>
      <w:r w:rsidRPr="00FB2A9A">
        <w:rPr>
          <w:noProof/>
          <w:sz w:val="24"/>
          <w:szCs w:val="24"/>
        </w:rPr>
        <w:t xml:space="preserve">2015. “Tracking the Origins and Development of Biodiversity Offsetting in Academic Research and Its Implications for Conservation: A Review.” </w:t>
      </w:r>
      <w:r w:rsidRPr="00FB2A9A">
        <w:rPr>
          <w:i/>
          <w:iCs/>
          <w:noProof/>
          <w:sz w:val="24"/>
          <w:szCs w:val="24"/>
        </w:rPr>
        <w:t>Biological Conservation</w:t>
      </w:r>
      <w:r w:rsidRPr="00FB2A9A">
        <w:rPr>
          <w:noProof/>
          <w:sz w:val="24"/>
          <w:szCs w:val="24"/>
        </w:rPr>
        <w:t>. Elsevier Ltd. https://doi.org/10.1016/j.biocon.2015.08.036.</w:t>
      </w:r>
    </w:p>
    <w:p w14:paraId="10059B7C"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Stockton-on-Tees Borough Council, 2016. “Economic Growth Plan.” http://egenda.stockton.gov.uk/aksstockton/images/att30085.pdf.</w:t>
      </w:r>
    </w:p>
    <w:p w14:paraId="422AA6BC"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Doyle, Martin W., and Andrew J. Yates. 2010. “Stream Ecosystem Service Markets under No-Net-Loss Regulation.” </w:t>
      </w:r>
      <w:r w:rsidRPr="00FB2A9A">
        <w:rPr>
          <w:i/>
          <w:iCs/>
          <w:noProof/>
          <w:sz w:val="24"/>
          <w:szCs w:val="24"/>
        </w:rPr>
        <w:t>Ecological Economics</w:t>
      </w:r>
      <w:r w:rsidRPr="00FB2A9A">
        <w:rPr>
          <w:noProof/>
          <w:sz w:val="24"/>
          <w:szCs w:val="24"/>
        </w:rPr>
        <w:t xml:space="preserve"> 69 (4): 820–27. https://doi.org/10.1016/j.ecolecon.2009.10.006.</w:t>
      </w:r>
    </w:p>
    <w:p w14:paraId="794B4718"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lastRenderedPageBreak/>
        <w:t xml:space="preserve">Doyle, M. W., Patterson, L. A., Chen, Y., Schnier, K. E., and Yates, A. J. 2014. Optimizing the scale of markets for water quality trading, </w:t>
      </w:r>
      <w:r w:rsidRPr="00FB2A9A">
        <w:rPr>
          <w:i/>
          <w:iCs/>
          <w:noProof/>
          <w:sz w:val="24"/>
          <w:szCs w:val="24"/>
        </w:rPr>
        <w:t>Water Resour. Res</w:t>
      </w:r>
      <w:r w:rsidRPr="00FB2A9A">
        <w:rPr>
          <w:noProof/>
          <w:sz w:val="24"/>
          <w:szCs w:val="24"/>
        </w:rPr>
        <w:t>., 50, 7231– 7244,</w:t>
      </w:r>
    </w:p>
    <w:p w14:paraId="57F36AE3"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Drechsler, Martin, and Florian Hartig. 2011. “Conserving Biodiversity with Tradable Permits under Changing Conservation Costs and Habitat Restoration Time Lags.” </w:t>
      </w:r>
      <w:r w:rsidRPr="00FB2A9A">
        <w:rPr>
          <w:i/>
          <w:iCs/>
          <w:noProof/>
          <w:sz w:val="24"/>
          <w:szCs w:val="24"/>
        </w:rPr>
        <w:t>Ecological Economics</w:t>
      </w:r>
      <w:r w:rsidRPr="00FB2A9A">
        <w:rPr>
          <w:noProof/>
          <w:sz w:val="24"/>
          <w:szCs w:val="24"/>
        </w:rPr>
        <w:t xml:space="preserve"> 70 (3): 533–41. https://doi.org/10.1016/j.ecolecon.2010.10.004.</w:t>
      </w:r>
    </w:p>
    <w:p w14:paraId="30587A61"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Fernandez, Linda, and Larry Karp. 1998. “Restoring Wetlands through Wetlands Mitigation Banks.” </w:t>
      </w:r>
      <w:r w:rsidRPr="00FB2A9A">
        <w:rPr>
          <w:i/>
          <w:iCs/>
          <w:noProof/>
          <w:sz w:val="24"/>
          <w:szCs w:val="24"/>
        </w:rPr>
        <w:t>Environmental and Resource Economics</w:t>
      </w:r>
      <w:r w:rsidRPr="00FB2A9A">
        <w:rPr>
          <w:noProof/>
          <w:sz w:val="24"/>
          <w:szCs w:val="24"/>
        </w:rPr>
        <w:t xml:space="preserve"> 12 (3): 323–44. https://doi.org/10.1023/A:1008225021746.</w:t>
      </w:r>
    </w:p>
    <w:p w14:paraId="4D5BB500"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Ferrari, Edward, and Karl Dalgleish. 2019. “Tees Valley Local Housing Markets.” https://www4.shu.ac.uk/research/cresr/sites/shu.ac.uk/files/tees-valley-local-housing-markets.pdf </w:t>
      </w:r>
    </w:p>
    <w:p w14:paraId="523BB211" w14:textId="77777777" w:rsidR="00FB2A9A" w:rsidRPr="00FB2A9A" w:rsidRDefault="00FB2A9A" w:rsidP="00FB2A9A">
      <w:pPr>
        <w:widowControl w:val="0"/>
        <w:autoSpaceDE w:val="0"/>
        <w:autoSpaceDN w:val="0"/>
        <w:adjustRightInd w:val="0"/>
        <w:ind w:left="480" w:hanging="480"/>
        <w:rPr>
          <w:sz w:val="24"/>
          <w:szCs w:val="24"/>
        </w:rPr>
      </w:pPr>
      <w:r w:rsidRPr="00FB2A9A">
        <w:rPr>
          <w:rStyle w:val="author"/>
          <w:sz w:val="24"/>
          <w:szCs w:val="24"/>
          <w:shd w:val="clear" w:color="auto" w:fill="FFFFFF"/>
        </w:rPr>
        <w:t>Fisher‐Vanden, K.</w:t>
      </w:r>
      <w:r w:rsidRPr="00FB2A9A">
        <w:rPr>
          <w:sz w:val="24"/>
          <w:szCs w:val="24"/>
          <w:shd w:val="clear" w:color="auto" w:fill="FFFFFF"/>
        </w:rPr>
        <w:t xml:space="preserve">, &amp; Shelia </w:t>
      </w:r>
      <w:r w:rsidRPr="00FB2A9A">
        <w:rPr>
          <w:rStyle w:val="author"/>
          <w:sz w:val="24"/>
          <w:szCs w:val="24"/>
          <w:shd w:val="clear" w:color="auto" w:fill="FFFFFF"/>
        </w:rPr>
        <w:t>Olmstead, S.</w:t>
      </w:r>
      <w:r w:rsidRPr="00FB2A9A">
        <w:rPr>
          <w:sz w:val="24"/>
          <w:szCs w:val="24"/>
          <w:shd w:val="clear" w:color="auto" w:fill="FFFFFF"/>
        </w:rPr>
        <w:t> </w:t>
      </w:r>
      <w:r w:rsidRPr="00FB2A9A">
        <w:rPr>
          <w:rStyle w:val="pubyear"/>
          <w:sz w:val="24"/>
          <w:szCs w:val="24"/>
          <w:shd w:val="clear" w:color="auto" w:fill="FFFFFF"/>
        </w:rPr>
        <w:t>2013</w:t>
      </w:r>
      <w:r w:rsidRPr="00FB2A9A">
        <w:rPr>
          <w:sz w:val="24"/>
          <w:szCs w:val="24"/>
          <w:shd w:val="clear" w:color="auto" w:fill="FFFFFF"/>
        </w:rPr>
        <w:t>. </w:t>
      </w:r>
      <w:r w:rsidRPr="00FB2A9A">
        <w:rPr>
          <w:rStyle w:val="articletitle"/>
          <w:sz w:val="24"/>
          <w:szCs w:val="24"/>
          <w:shd w:val="clear" w:color="auto" w:fill="FFFFFF"/>
        </w:rPr>
        <w:t>Moving pollution trading from air to water: Potential, problems, and prognosis</w:t>
      </w:r>
      <w:r w:rsidRPr="00FB2A9A">
        <w:rPr>
          <w:sz w:val="24"/>
          <w:szCs w:val="24"/>
          <w:shd w:val="clear" w:color="auto" w:fill="FFFFFF"/>
        </w:rPr>
        <w:t>. </w:t>
      </w:r>
      <w:r w:rsidRPr="00FB2A9A">
        <w:rPr>
          <w:i/>
          <w:iCs/>
          <w:sz w:val="24"/>
          <w:szCs w:val="24"/>
          <w:shd w:val="clear" w:color="auto" w:fill="FFFFFF"/>
        </w:rPr>
        <w:t>Journal of Economic Perspectives</w:t>
      </w:r>
      <w:r w:rsidRPr="00FB2A9A">
        <w:rPr>
          <w:sz w:val="24"/>
          <w:szCs w:val="24"/>
          <w:shd w:val="clear" w:color="auto" w:fill="FFFFFF"/>
        </w:rPr>
        <w:t> </w:t>
      </w:r>
      <w:r w:rsidRPr="00FB2A9A">
        <w:rPr>
          <w:rStyle w:val="vol"/>
          <w:sz w:val="24"/>
          <w:szCs w:val="24"/>
          <w:shd w:val="clear" w:color="auto" w:fill="FFFFFF"/>
        </w:rPr>
        <w:t>27:</w:t>
      </w:r>
      <w:r w:rsidRPr="00FB2A9A">
        <w:rPr>
          <w:sz w:val="24"/>
          <w:szCs w:val="24"/>
          <w:shd w:val="clear" w:color="auto" w:fill="FFFFFF"/>
        </w:rPr>
        <w:t> </w:t>
      </w:r>
      <w:r w:rsidRPr="00FB2A9A">
        <w:rPr>
          <w:rStyle w:val="pagefirst"/>
          <w:sz w:val="24"/>
          <w:szCs w:val="24"/>
          <w:shd w:val="clear" w:color="auto" w:fill="FFFFFF"/>
        </w:rPr>
        <w:t>147</w:t>
      </w:r>
      <w:r w:rsidRPr="00FB2A9A">
        <w:rPr>
          <w:sz w:val="24"/>
          <w:szCs w:val="24"/>
          <w:shd w:val="clear" w:color="auto" w:fill="FFFFFF"/>
        </w:rPr>
        <w:t>– </w:t>
      </w:r>
      <w:r w:rsidRPr="00FB2A9A">
        <w:rPr>
          <w:rStyle w:val="pagelast"/>
          <w:sz w:val="24"/>
          <w:szCs w:val="24"/>
          <w:shd w:val="clear" w:color="auto" w:fill="FFFFFF"/>
        </w:rPr>
        <w:t>172</w:t>
      </w:r>
      <w:r w:rsidRPr="00FB2A9A">
        <w:rPr>
          <w:sz w:val="24"/>
          <w:szCs w:val="24"/>
          <w:shd w:val="clear" w:color="auto" w:fill="FFFFFF"/>
        </w:rPr>
        <w:t>. </w:t>
      </w:r>
      <w:hyperlink r:id="rId14" w:history="1">
        <w:r w:rsidRPr="00FB2A9A">
          <w:rPr>
            <w:rStyle w:val="Hyperlink"/>
            <w:color w:val="auto"/>
            <w:sz w:val="24"/>
            <w:szCs w:val="24"/>
            <w:shd w:val="clear" w:color="auto" w:fill="FFFFFF"/>
          </w:rPr>
          <w:t>https://doi.org/10.1257/jep.27.1.147</w:t>
        </w:r>
      </w:hyperlink>
    </w:p>
    <w:p w14:paraId="572B13AF"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Franks, Samantha E., David J.T. Douglas, Simon Gillings, and James W. Pearce-Higgins. 2017. “Environmental Correlates of Breeding Abundance and Population Change of Eurasian Curlew Numenius Arquata in Britain.” </w:t>
      </w:r>
      <w:r w:rsidRPr="00FB2A9A">
        <w:rPr>
          <w:i/>
          <w:iCs/>
          <w:noProof/>
          <w:sz w:val="24"/>
          <w:szCs w:val="24"/>
        </w:rPr>
        <w:t>Bird Study</w:t>
      </w:r>
      <w:r w:rsidRPr="00FB2A9A">
        <w:rPr>
          <w:noProof/>
          <w:sz w:val="24"/>
          <w:szCs w:val="24"/>
        </w:rPr>
        <w:t xml:space="preserve"> 64 (3): 393–409. https://doi.org/10.1080/00063657.2017.1359233.</w:t>
      </w:r>
    </w:p>
    <w:p w14:paraId="2A9F14CA" w14:textId="77777777" w:rsidR="00FB2A9A" w:rsidRPr="00FB2A9A" w:rsidRDefault="00FB2A9A" w:rsidP="00FB2A9A">
      <w:pPr>
        <w:widowControl w:val="0"/>
        <w:autoSpaceDE w:val="0"/>
        <w:autoSpaceDN w:val="0"/>
        <w:adjustRightInd w:val="0"/>
        <w:ind w:left="480" w:hanging="480"/>
        <w:rPr>
          <w:sz w:val="24"/>
          <w:szCs w:val="24"/>
        </w:rPr>
      </w:pPr>
      <w:r w:rsidRPr="00FB2A9A">
        <w:rPr>
          <w:sz w:val="24"/>
          <w:szCs w:val="24"/>
          <w:shd w:val="clear" w:color="auto" w:fill="FFFFFF"/>
        </w:rPr>
        <w:t>Harris, S. J., D. Massimino, S. E. Newson, M. A. Eaton, D. E. Balmer, D. G. Noble, A. J. Musgrove, S. Gillings, D. Procter, and J. W. Pearce-Higgins. 2015. "The Breeding bird survey 2014." </w:t>
      </w:r>
      <w:r w:rsidRPr="00FB2A9A">
        <w:rPr>
          <w:i/>
          <w:iCs/>
          <w:sz w:val="24"/>
          <w:szCs w:val="24"/>
          <w:shd w:val="clear" w:color="auto" w:fill="FFFFFF"/>
        </w:rPr>
        <w:t>BTO research report</w:t>
      </w:r>
      <w:r w:rsidRPr="00FB2A9A">
        <w:rPr>
          <w:sz w:val="24"/>
          <w:szCs w:val="24"/>
          <w:shd w:val="clear" w:color="auto" w:fill="FFFFFF"/>
        </w:rPr>
        <w:t> 673 (2015).</w:t>
      </w:r>
    </w:p>
    <w:p w14:paraId="33ED58A8" w14:textId="77777777" w:rsidR="00FB2A9A" w:rsidRPr="00FB2A9A" w:rsidRDefault="00FB2A9A" w:rsidP="00FB2A9A">
      <w:pPr>
        <w:widowControl w:val="0"/>
        <w:autoSpaceDE w:val="0"/>
        <w:autoSpaceDN w:val="0"/>
        <w:adjustRightInd w:val="0"/>
        <w:ind w:left="480" w:hanging="480"/>
        <w:jc w:val="left"/>
        <w:rPr>
          <w:noProof/>
          <w:sz w:val="24"/>
          <w:szCs w:val="24"/>
        </w:rPr>
      </w:pPr>
      <w:r w:rsidRPr="00FB2A9A">
        <w:rPr>
          <w:noProof/>
          <w:sz w:val="24"/>
          <w:szCs w:val="24"/>
        </w:rPr>
        <w:t>HM Government 2018. “Land Value Estimates.” 2018. https://www.gov.uk/government/collections/land-value-estimates.</w:t>
      </w:r>
    </w:p>
    <w:p w14:paraId="336F059D"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Griffiths, Victoria F., Joseph W. Bull, Julia Baker, and E. J. Milner-Gulland. 2019. “No Net Loss for People and Biodiversity.” </w:t>
      </w:r>
      <w:r w:rsidRPr="00FB2A9A">
        <w:rPr>
          <w:i/>
          <w:iCs/>
          <w:noProof/>
          <w:sz w:val="24"/>
          <w:szCs w:val="24"/>
        </w:rPr>
        <w:t>Conservation Biology</w:t>
      </w:r>
      <w:r w:rsidRPr="00FB2A9A">
        <w:rPr>
          <w:noProof/>
          <w:sz w:val="24"/>
          <w:szCs w:val="24"/>
        </w:rPr>
        <w:t xml:space="preserve"> 33 (1): 76–87. https://doi.org/10.1111/cobi.13184.</w:t>
      </w:r>
    </w:p>
    <w:p w14:paraId="4537370B"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Hannis, Mike, and Sian Sullivan. n.d. </w:t>
      </w:r>
      <w:r w:rsidRPr="00FB2A9A">
        <w:rPr>
          <w:i/>
          <w:iCs/>
          <w:noProof/>
          <w:sz w:val="24"/>
          <w:szCs w:val="24"/>
        </w:rPr>
        <w:t>Offsetting Nature? Habitat Banking and Biodiversity Offsets in the English Land Use Planning System</w:t>
      </w:r>
      <w:r w:rsidRPr="00FB2A9A">
        <w:rPr>
          <w:noProof/>
          <w:sz w:val="24"/>
          <w:szCs w:val="24"/>
        </w:rPr>
        <w:t xml:space="preserve">. Accessed February 3, 2020. </w:t>
      </w:r>
      <w:r w:rsidRPr="00FB2A9A">
        <w:rPr>
          <w:noProof/>
          <w:sz w:val="24"/>
          <w:szCs w:val="24"/>
        </w:rPr>
        <w:lastRenderedPageBreak/>
        <w:t>http://www.greenhousethinktank.org.</w:t>
      </w:r>
    </w:p>
    <w:p w14:paraId="7247871F"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Heal, Geoffrey M. 2005. “Arbitrage, Options and Endangered Species.” </w:t>
      </w:r>
      <w:r w:rsidRPr="00FB2A9A">
        <w:rPr>
          <w:i/>
          <w:iCs/>
          <w:noProof/>
          <w:sz w:val="24"/>
          <w:szCs w:val="24"/>
        </w:rPr>
        <w:t>SSRN Electronic Journal</w:t>
      </w:r>
      <w:r w:rsidRPr="00FB2A9A">
        <w:rPr>
          <w:noProof/>
          <w:sz w:val="24"/>
          <w:szCs w:val="24"/>
        </w:rPr>
        <w:t>, November. https://doi.org/10.2139/ssrn.457330.</w:t>
      </w:r>
    </w:p>
    <w:p w14:paraId="3D17A035"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Hewson, C.M., Thorup, K., Pearce-Higgins, J.W. and Atkinson, P.W., 2016. "Population decline is linked to migration route in the Common Cuckoo". </w:t>
      </w:r>
      <w:r w:rsidRPr="00FB2A9A">
        <w:rPr>
          <w:i/>
          <w:iCs/>
          <w:noProof/>
          <w:sz w:val="24"/>
          <w:szCs w:val="24"/>
        </w:rPr>
        <w:t>Nature Communications,</w:t>
      </w:r>
      <w:r w:rsidRPr="00FB2A9A">
        <w:rPr>
          <w:noProof/>
          <w:sz w:val="24"/>
          <w:szCs w:val="24"/>
        </w:rPr>
        <w:t xml:space="preserve"> 7(1), pp.1-8.</w:t>
      </w:r>
    </w:p>
    <w:p w14:paraId="4E69D31E"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JNCC, Joint Nature Conservation Committee). 2020. “Special Protection Areas – Overview | JNCC - Adviser to Government on Nature Conservation.” Special Protection Areas – Overview. 2020. https://jncc.gov.uk/our-work/special-protection-areas-overview/.</w:t>
      </w:r>
    </w:p>
    <w:p w14:paraId="4CD4F2C6"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Kangas, Johanna, and Markku Ollikainen. 2019. “Economic Insights in Ecological Compensations: Market Analysis With an Empirical Application to the Finnish Economy.” </w:t>
      </w:r>
      <w:r w:rsidRPr="00FB2A9A">
        <w:rPr>
          <w:i/>
          <w:iCs/>
          <w:noProof/>
          <w:sz w:val="24"/>
          <w:szCs w:val="24"/>
        </w:rPr>
        <w:t>Ecological Economics</w:t>
      </w:r>
      <w:r w:rsidRPr="00FB2A9A">
        <w:rPr>
          <w:noProof/>
          <w:sz w:val="24"/>
          <w:szCs w:val="24"/>
        </w:rPr>
        <w:t xml:space="preserve"> 159 (May): 54–67. https://doi.org/10.1016/j.ecolecon.2019.01.003.</w:t>
      </w:r>
    </w:p>
    <w:p w14:paraId="20727DB5"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Laitila, Jussi, Atte Moilanen, and Federico M. Pouzols. 2014. “A Method for Calculating Minimum Biodiversity Offset Multipliers Accounting for Time Discounting, Additionality and Permanence.” </w:t>
      </w:r>
      <w:r w:rsidRPr="00FB2A9A">
        <w:rPr>
          <w:i/>
          <w:iCs/>
          <w:noProof/>
          <w:sz w:val="24"/>
          <w:szCs w:val="24"/>
        </w:rPr>
        <w:t>Methods in Ecology and Evolution</w:t>
      </w:r>
      <w:r w:rsidRPr="00FB2A9A">
        <w:rPr>
          <w:noProof/>
          <w:sz w:val="24"/>
          <w:szCs w:val="24"/>
        </w:rPr>
        <w:t xml:space="preserve"> 5 (11): 1247–54. https://doi.org/10.1111/2041-210X.12287.</w:t>
      </w:r>
    </w:p>
    <w:p w14:paraId="634D522F"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Lapeyre, Renaud, Géraldine Froger, and Marie Hrabanski. 2015. “Biodiversity Offsets as Market-Based Instruments for Ecosystem Services? From Discourses to Practices.” https://doi.org/10.1016/j.ecoser.2014.10.010.</w:t>
      </w:r>
    </w:p>
    <w:p w14:paraId="2856AF37" w14:textId="77777777" w:rsidR="00FB2A9A" w:rsidRPr="00FB2A9A" w:rsidRDefault="00FB2A9A" w:rsidP="00FB2A9A">
      <w:pPr>
        <w:widowControl w:val="0"/>
        <w:autoSpaceDE w:val="0"/>
        <w:autoSpaceDN w:val="0"/>
        <w:adjustRightInd w:val="0"/>
        <w:ind w:left="480" w:hanging="480"/>
        <w:rPr>
          <w:sz w:val="24"/>
          <w:szCs w:val="24"/>
        </w:rPr>
      </w:pPr>
      <w:r w:rsidRPr="00FB2A9A">
        <w:rPr>
          <w:sz w:val="24"/>
          <w:szCs w:val="24"/>
          <w:shd w:val="clear" w:color="auto" w:fill="FFFFFF"/>
        </w:rPr>
        <w:t>Levrel, Harold, Pierre Scemama, and Anne-Charlotte Vaissière</w:t>
      </w:r>
      <w:r w:rsidRPr="00FB2A9A">
        <w:rPr>
          <w:sz w:val="24"/>
          <w:szCs w:val="24"/>
        </w:rPr>
        <w:t xml:space="preserve">. 2017. Should we be wary of mitigation banking? Evidence regarding the risks associated with this wetland offset arrangement in Florida. </w:t>
      </w:r>
      <w:r w:rsidRPr="00FB2A9A">
        <w:rPr>
          <w:i/>
          <w:iCs/>
          <w:sz w:val="24"/>
          <w:szCs w:val="24"/>
        </w:rPr>
        <w:t>Ecological Economics</w:t>
      </w:r>
      <w:r w:rsidRPr="00FB2A9A">
        <w:rPr>
          <w:sz w:val="24"/>
          <w:szCs w:val="24"/>
        </w:rPr>
        <w:t xml:space="preserve"> 135: 136–149. https://doi.org/10.1016/j.ecolecon.2016.12.025</w:t>
      </w:r>
    </w:p>
    <w:p w14:paraId="208C982A" w14:textId="77777777" w:rsidR="00FB2A9A" w:rsidRPr="00FB2A9A" w:rsidRDefault="00FB2A9A" w:rsidP="00FB2A9A">
      <w:pPr>
        <w:pStyle w:val="PlainText"/>
        <w:spacing w:line="360" w:lineRule="auto"/>
        <w:ind w:left="567" w:hanging="567"/>
        <w:rPr>
          <w:rFonts w:asciiTheme="majorBidi" w:hAnsiTheme="majorBidi" w:cstheme="majorBidi"/>
          <w:sz w:val="24"/>
          <w:szCs w:val="24"/>
          <w:u w:val="single"/>
        </w:rPr>
      </w:pPr>
      <w:r w:rsidRPr="00FB2A9A">
        <w:rPr>
          <w:rFonts w:asciiTheme="majorBidi" w:hAnsiTheme="majorBidi" w:cstheme="majorBidi"/>
          <w:sz w:val="24"/>
          <w:szCs w:val="24"/>
          <w:shd w:val="clear" w:color="auto" w:fill="FFFFFF"/>
        </w:rPr>
        <w:t>Magurran, Anne E., Stephen R. Baillie, Stephen T. Buckland, Jan McP Dick, David A. Elston, E. Marian Scott, Rognvald I. Smith, Paul J. Somerfield, and Allan D. Watt. 2010. "Long-term datasets in biodiversity research and monitoring: assessing change in ecological communities through time." </w:t>
      </w:r>
      <w:r w:rsidRPr="00FB2A9A">
        <w:rPr>
          <w:rFonts w:asciiTheme="majorBidi" w:hAnsiTheme="majorBidi" w:cstheme="majorBidi"/>
          <w:i/>
          <w:iCs/>
          <w:sz w:val="24"/>
          <w:szCs w:val="24"/>
          <w:shd w:val="clear" w:color="auto" w:fill="FFFFFF"/>
        </w:rPr>
        <w:t>Trends in ecology &amp; evolution</w:t>
      </w:r>
      <w:r w:rsidRPr="00FB2A9A">
        <w:rPr>
          <w:rFonts w:asciiTheme="majorBidi" w:hAnsiTheme="majorBidi" w:cstheme="majorBidi"/>
          <w:sz w:val="24"/>
          <w:szCs w:val="24"/>
          <w:shd w:val="clear" w:color="auto" w:fill="FFFFFF"/>
        </w:rPr>
        <w:t> 25 (10) : 574-582.</w:t>
      </w:r>
    </w:p>
    <w:p w14:paraId="4CB64C2A"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lastRenderedPageBreak/>
        <w:t xml:space="preserve">Maron, Martine, Richard J. Hobbs, Atte Moilanen, Jeffrey W. Matthews, Kimberly Christie, Toby A. Gardner, David A. Keith, David B. Lindenmayer, and Clive A. McAlpine. 2012. “Faustian Bargains? Restoration Realities in the Context of Biodiversity Offset Policies.” </w:t>
      </w:r>
      <w:r w:rsidRPr="00FB2A9A">
        <w:rPr>
          <w:i/>
          <w:iCs/>
          <w:noProof/>
          <w:sz w:val="24"/>
          <w:szCs w:val="24"/>
        </w:rPr>
        <w:t>Biological Conservation</w:t>
      </w:r>
      <w:r w:rsidRPr="00FB2A9A">
        <w:rPr>
          <w:noProof/>
          <w:sz w:val="24"/>
          <w:szCs w:val="24"/>
        </w:rPr>
        <w:t xml:space="preserve"> 155 (October): 141–48. https://doi.org/10.1016/j.biocon.2012.06.003.</w:t>
      </w:r>
    </w:p>
    <w:p w14:paraId="0894B6FC"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McKenney, Bruce A., and Joseph M. Kiesecker. 2010. “Policy Development for Biodiversity Offsets: A Review of Offset Frameworks.” </w:t>
      </w:r>
      <w:r w:rsidRPr="00FB2A9A">
        <w:rPr>
          <w:i/>
          <w:iCs/>
          <w:noProof/>
          <w:sz w:val="24"/>
          <w:szCs w:val="24"/>
        </w:rPr>
        <w:t>Environmental Management</w:t>
      </w:r>
      <w:r w:rsidRPr="00FB2A9A">
        <w:rPr>
          <w:noProof/>
          <w:sz w:val="24"/>
          <w:szCs w:val="24"/>
        </w:rPr>
        <w:t>. https://doi.org/10.1007/s00267-009-9396-3.</w:t>
      </w:r>
    </w:p>
    <w:p w14:paraId="4C3C9F36"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Needham, Katherine, Frans P de Vries, Paul R Armsworth, and Nick Hanley. 2019. “Designing Markets for Biodiversity Offsets: Lessons from Tradable Pollution Permits.” </w:t>
      </w:r>
      <w:r w:rsidRPr="00FB2A9A">
        <w:rPr>
          <w:i/>
          <w:iCs/>
          <w:noProof/>
          <w:sz w:val="24"/>
          <w:szCs w:val="24"/>
        </w:rPr>
        <w:t>Journal of Applied Ecology</w:t>
      </w:r>
      <w:r w:rsidRPr="00FB2A9A">
        <w:rPr>
          <w:noProof/>
          <w:sz w:val="24"/>
          <w:szCs w:val="24"/>
        </w:rPr>
        <w:t xml:space="preserve"> 56 (6): 1429–35. https://doi.org/10.1111/1365-2664.13372.</w:t>
      </w:r>
    </w:p>
    <w:p w14:paraId="4CB4C743" w14:textId="77777777" w:rsidR="00FB2A9A" w:rsidRPr="00FB2A9A" w:rsidRDefault="00FB2A9A" w:rsidP="00FB2A9A">
      <w:pPr>
        <w:widowControl w:val="0"/>
        <w:autoSpaceDE w:val="0"/>
        <w:autoSpaceDN w:val="0"/>
        <w:adjustRightInd w:val="0"/>
        <w:ind w:left="480" w:hanging="480"/>
        <w:rPr>
          <w:rStyle w:val="Hyperlink"/>
          <w:color w:val="auto"/>
          <w:sz w:val="24"/>
          <w:szCs w:val="24"/>
        </w:rPr>
      </w:pPr>
      <w:r w:rsidRPr="00FB2A9A">
        <w:rPr>
          <w:sz w:val="24"/>
          <w:szCs w:val="24"/>
        </w:rPr>
        <w:t xml:space="preserve">Northern Upland Chain Local Nature Partnership. 2020. Curlew conservation. Online. Webpage available at: </w:t>
      </w:r>
      <w:hyperlink r:id="rId15" w:history="1">
        <w:r w:rsidRPr="00FB2A9A">
          <w:rPr>
            <w:rStyle w:val="Hyperlink"/>
            <w:color w:val="auto"/>
            <w:sz w:val="24"/>
            <w:szCs w:val="24"/>
          </w:rPr>
          <w:t>https://www.nuclnp.org.uk/</w:t>
        </w:r>
      </w:hyperlink>
    </w:p>
    <w:p w14:paraId="4E4D3DB7"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Pearce-Higgins, J.W. and Crick, H.Q.P., 2019. "One-third of English breeding bird species show evidence of population responses to climatic variables over 50 years". </w:t>
      </w:r>
      <w:r w:rsidRPr="00FB2A9A">
        <w:rPr>
          <w:i/>
          <w:iCs/>
          <w:noProof/>
          <w:sz w:val="24"/>
          <w:szCs w:val="24"/>
        </w:rPr>
        <w:t>Bird Study</w:t>
      </w:r>
      <w:r w:rsidRPr="00FB2A9A">
        <w:rPr>
          <w:noProof/>
          <w:sz w:val="24"/>
          <w:szCs w:val="24"/>
        </w:rPr>
        <w:t>, 66(2), pp.159-172.</w:t>
      </w:r>
    </w:p>
    <w:p w14:paraId="0445704C"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Potts, Joanne M., and Jane Elith. 2006. “Comparing Species Abundance Models.” </w:t>
      </w:r>
      <w:r w:rsidRPr="00FB2A9A">
        <w:rPr>
          <w:i/>
          <w:iCs/>
          <w:noProof/>
          <w:sz w:val="24"/>
          <w:szCs w:val="24"/>
        </w:rPr>
        <w:t>Ecological Modelling</w:t>
      </w:r>
      <w:r w:rsidRPr="00FB2A9A">
        <w:rPr>
          <w:noProof/>
          <w:sz w:val="24"/>
          <w:szCs w:val="24"/>
        </w:rPr>
        <w:t xml:space="preserve"> 199 (2): 153–63. https://doi.org/10.1016/j.ecolmodel.2006.05.025.</w:t>
      </w:r>
    </w:p>
    <w:p w14:paraId="76F1CCC7"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Renwick, A.R., Massimino, D., Newson, S.E., Chamberlain, D.E., Pearce‐Higgins, J.W. and Johnston, A., 2012. "Modelling changes in species’ abundance in response to projected climate change". Diversity and Distributions, 18(2), pp.121-132.</w:t>
      </w:r>
    </w:p>
    <w:p w14:paraId="3549DED6" w14:textId="77777777" w:rsidR="00FB2A9A" w:rsidRPr="00FB2A9A" w:rsidRDefault="00FB2A9A" w:rsidP="00FB2A9A">
      <w:pPr>
        <w:ind w:firstLine="0"/>
        <w:rPr>
          <w:noProof/>
          <w:sz w:val="24"/>
          <w:szCs w:val="24"/>
        </w:rPr>
      </w:pPr>
      <w:r w:rsidRPr="00FB2A9A">
        <w:rPr>
          <w:rFonts w:eastAsia="DengXian"/>
          <w:sz w:val="24"/>
          <w:szCs w:val="24"/>
        </w:rPr>
        <w:t xml:space="preserve">Rowland, C.S., Morton, R.D., Carrasco, L., McShane, G., O'Neil, A.W., Wood, C.M. 2017. Land Cover Map 2015 (vector, GB). NERC Environmental Information Data Centre https://doi.org/10.5285/6c6c9203-7333-4d96-88ab-78925e7a4e73 </w:t>
      </w:r>
    </w:p>
    <w:p w14:paraId="6DF68AFC"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Simpson, Katherine. 2011. “Implementing an Ecosystem Approach:The Case of the Teesmouth and Cleveland Coast European Marine Site.”</w:t>
      </w:r>
    </w:p>
    <w:p w14:paraId="263EDE2F"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Smith, Ken. 2011. “The State Of The Natural Environment Of The Tees Estuary A Review Of The Bird Chapter.” http://www.inca.uk.com/wp-content/uploads/2012/01/BIRDS-</w:t>
      </w:r>
      <w:r w:rsidRPr="00FB2A9A">
        <w:rPr>
          <w:noProof/>
          <w:sz w:val="24"/>
          <w:szCs w:val="24"/>
        </w:rPr>
        <w:lastRenderedPageBreak/>
        <w:t>SONET-UPDATE-2011.pdf.</w:t>
      </w:r>
    </w:p>
    <w:p w14:paraId="54DE75A2" w14:textId="77777777" w:rsidR="00FB2A9A" w:rsidRPr="00FB2A9A" w:rsidRDefault="00FB2A9A" w:rsidP="00FB2A9A">
      <w:pPr>
        <w:widowControl w:val="0"/>
        <w:autoSpaceDE w:val="0"/>
        <w:autoSpaceDN w:val="0"/>
        <w:adjustRightInd w:val="0"/>
        <w:ind w:left="480" w:hanging="480"/>
        <w:rPr>
          <w:noProof/>
          <w:sz w:val="24"/>
          <w:szCs w:val="24"/>
          <w:lang w:val="pt-BR"/>
        </w:rPr>
      </w:pPr>
      <w:r w:rsidRPr="00FB2A9A">
        <w:rPr>
          <w:noProof/>
          <w:sz w:val="24"/>
          <w:szCs w:val="24"/>
        </w:rPr>
        <w:t xml:space="preserve">Sullivan, S., and M. Hannis. 2015. “Nets and Frames, Losses and Gains: Value Struggles in Engagements with Biodiversity Offsetting Policy in England.” </w:t>
      </w:r>
      <w:r w:rsidRPr="00FB2A9A">
        <w:rPr>
          <w:i/>
          <w:iCs/>
          <w:noProof/>
          <w:sz w:val="24"/>
          <w:szCs w:val="24"/>
          <w:lang w:val="pt-BR"/>
        </w:rPr>
        <w:t>Ecosystem Services</w:t>
      </w:r>
      <w:r w:rsidRPr="00FB2A9A">
        <w:rPr>
          <w:noProof/>
          <w:sz w:val="24"/>
          <w:szCs w:val="24"/>
          <w:lang w:val="pt-BR"/>
        </w:rPr>
        <w:t xml:space="preserve"> 15 (October): 162–73. https://doi.org/10.1016/j.ecoser.2015.01.009.</w:t>
      </w:r>
    </w:p>
    <w:p w14:paraId="7553A968"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lang w:val="pt-BR"/>
        </w:rPr>
        <w:t xml:space="preserve">Tattoni, Clara, Franco Rizzolli, and Paolo Pedrini. </w:t>
      </w:r>
      <w:r w:rsidRPr="00FB2A9A">
        <w:rPr>
          <w:noProof/>
          <w:sz w:val="24"/>
          <w:szCs w:val="24"/>
        </w:rPr>
        <w:t xml:space="preserve">2012. “Can LiDAR Data Improve Bird Habitat Suitability Models?” </w:t>
      </w:r>
      <w:r w:rsidRPr="00FB2A9A">
        <w:rPr>
          <w:i/>
          <w:iCs/>
          <w:noProof/>
          <w:sz w:val="24"/>
          <w:szCs w:val="24"/>
        </w:rPr>
        <w:t>Ecological Modelling</w:t>
      </w:r>
      <w:r w:rsidRPr="00FB2A9A">
        <w:rPr>
          <w:noProof/>
          <w:sz w:val="24"/>
          <w:szCs w:val="24"/>
        </w:rPr>
        <w:t xml:space="preserve"> 245 (October): 103–10. https://doi.org/10.1016/j.ecolmodel.2012.03.020.</w:t>
      </w:r>
    </w:p>
    <w:p w14:paraId="2596E7A7"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Ten, Kerry, Kate Jo Treweek, and Jon Ekstrom. 2010. “The Use Of Market-Based Instruments For Biodiversity Protection-The Case Of Habitat Banking European Commission DG Environment.” www.eftec.co.uk.</w:t>
      </w:r>
    </w:p>
    <w:p w14:paraId="2941C8A9"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Venables, W N, and B D Ripley Springer. n.d. “Modern Applied Statistics with S Fourth Edition.” Accessed February 3, 2020. http://www.insightful.com.</w:t>
      </w:r>
    </w:p>
    <w:p w14:paraId="5BBBD0D0"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rPr>
        <w:t xml:space="preserve">Vries, Frans P. de, and Nick Hanley. 2016. “Incentive-Based Policy Design for Pollution Control and Biodiversity Conservation: A Review.” </w:t>
      </w:r>
      <w:r w:rsidRPr="00FB2A9A">
        <w:rPr>
          <w:i/>
          <w:iCs/>
          <w:noProof/>
          <w:sz w:val="24"/>
          <w:szCs w:val="24"/>
        </w:rPr>
        <w:t>Environmental and Resource Economics</w:t>
      </w:r>
      <w:r w:rsidRPr="00FB2A9A">
        <w:rPr>
          <w:noProof/>
          <w:sz w:val="24"/>
          <w:szCs w:val="24"/>
        </w:rPr>
        <w:t>. Springer Netherlands. https://doi.org/10.1007/s10640-015-9996-8.</w:t>
      </w:r>
    </w:p>
    <w:p w14:paraId="4F469819" w14:textId="77777777" w:rsidR="00FB2A9A" w:rsidRPr="00FB2A9A" w:rsidRDefault="00FB2A9A" w:rsidP="00FB2A9A">
      <w:pPr>
        <w:widowControl w:val="0"/>
        <w:autoSpaceDE w:val="0"/>
        <w:autoSpaceDN w:val="0"/>
        <w:adjustRightInd w:val="0"/>
        <w:ind w:left="480" w:hanging="480"/>
        <w:rPr>
          <w:noProof/>
          <w:sz w:val="24"/>
          <w:szCs w:val="24"/>
        </w:rPr>
      </w:pPr>
      <w:r w:rsidRPr="00FB2A9A">
        <w:rPr>
          <w:noProof/>
          <w:sz w:val="24"/>
          <w:szCs w:val="24"/>
          <w:lang w:val="de-DE"/>
        </w:rPr>
        <w:t xml:space="preserve">Wissel, Silvia, and Frank Wätzold. </w:t>
      </w:r>
      <w:r w:rsidRPr="00FB2A9A">
        <w:rPr>
          <w:noProof/>
          <w:sz w:val="24"/>
          <w:szCs w:val="24"/>
        </w:rPr>
        <w:t xml:space="preserve">2010. “A Conceptual Analysis of the Application of Tradable Permits to Biodiversity Conservation” </w:t>
      </w:r>
      <w:r w:rsidRPr="00FB2A9A">
        <w:rPr>
          <w:i/>
          <w:iCs/>
          <w:noProof/>
          <w:sz w:val="24"/>
          <w:szCs w:val="24"/>
        </w:rPr>
        <w:t>Conservation Biology</w:t>
      </w:r>
      <w:r w:rsidRPr="00FB2A9A">
        <w:rPr>
          <w:noProof/>
          <w:sz w:val="24"/>
          <w:szCs w:val="24"/>
        </w:rPr>
        <w:t xml:space="preserve"> 24 (2): 404–11. https://doi.org/10.1111/j.1523-1739.2009.01444.x.</w:t>
      </w:r>
    </w:p>
    <w:p w14:paraId="6245DD6F" w14:textId="0EF46BAD" w:rsidR="006336B9" w:rsidRDefault="00FB2A9A" w:rsidP="00FB2A9A">
      <w:pPr>
        <w:ind w:left="567" w:hanging="567"/>
        <w:rPr>
          <w:sz w:val="24"/>
          <w:szCs w:val="24"/>
        </w:rPr>
      </w:pPr>
      <w:r w:rsidRPr="00FB2A9A">
        <w:rPr>
          <w:sz w:val="24"/>
          <w:szCs w:val="24"/>
          <w:shd w:val="clear" w:color="auto" w:fill="FFFFFF"/>
        </w:rPr>
        <w:t>Womble, Philip, and Martin Doyle. 2012. "The geography of trading ecosystem services: A case study of wetland and stream compensatory mitigation markets." </w:t>
      </w:r>
      <w:r w:rsidRPr="00FB2A9A">
        <w:rPr>
          <w:i/>
          <w:iCs/>
          <w:sz w:val="24"/>
          <w:szCs w:val="24"/>
          <w:shd w:val="clear" w:color="auto" w:fill="FFFFFF"/>
        </w:rPr>
        <w:t>Harv. Envtl. L. Rev.</w:t>
      </w:r>
      <w:r w:rsidRPr="00FB2A9A">
        <w:rPr>
          <w:sz w:val="24"/>
          <w:szCs w:val="24"/>
          <w:shd w:val="clear" w:color="auto" w:fill="FFFFFF"/>
        </w:rPr>
        <w:t> 36: 229.</w:t>
      </w:r>
      <w:r w:rsidRPr="00FB2A9A">
        <w:rPr>
          <w:sz w:val="24"/>
          <w:szCs w:val="24"/>
        </w:rPr>
        <w:fldChar w:fldCharType="end"/>
      </w:r>
    </w:p>
    <w:p w14:paraId="51D38AF0" w14:textId="77777777" w:rsidR="006336B9" w:rsidRDefault="006336B9">
      <w:pPr>
        <w:snapToGrid/>
        <w:spacing w:before="0" w:after="160" w:line="259" w:lineRule="auto"/>
        <w:ind w:firstLine="0"/>
        <w:jc w:val="left"/>
        <w:rPr>
          <w:sz w:val="24"/>
          <w:szCs w:val="24"/>
        </w:rPr>
      </w:pPr>
      <w:r>
        <w:rPr>
          <w:sz w:val="24"/>
          <w:szCs w:val="24"/>
        </w:rPr>
        <w:br w:type="page"/>
      </w:r>
    </w:p>
    <w:p w14:paraId="1E6CB884" w14:textId="6A2E94EC" w:rsidR="006336B9" w:rsidRPr="006336B9" w:rsidRDefault="006336B9" w:rsidP="006336B9">
      <w:pPr>
        <w:keepNext/>
        <w:snapToGrid/>
        <w:spacing w:before="0" w:after="200" w:line="240" w:lineRule="auto"/>
        <w:ind w:firstLine="0"/>
        <w:jc w:val="left"/>
        <w:rPr>
          <w:rFonts w:ascii="Times New Roman" w:eastAsia="DengXian" w:hAnsi="Times New Roman" w:cs="Times New Roman"/>
          <w:b/>
          <w:bCs/>
          <w:sz w:val="20"/>
          <w:szCs w:val="20"/>
        </w:rPr>
      </w:pPr>
      <w:r w:rsidRPr="006336B9">
        <w:rPr>
          <w:rFonts w:ascii="Times New Roman" w:eastAsia="DengXian" w:hAnsi="Times New Roman" w:cs="Times New Roman"/>
          <w:b/>
          <w:bCs/>
          <w:sz w:val="20"/>
          <w:szCs w:val="20"/>
        </w:rPr>
        <w:lastRenderedPageBreak/>
        <w:t xml:space="preserve">Table </w:t>
      </w:r>
      <w:r w:rsidRPr="006336B9">
        <w:rPr>
          <w:rFonts w:ascii="Times New Roman" w:eastAsia="DengXian" w:hAnsi="Times New Roman" w:cs="Times New Roman"/>
          <w:b/>
          <w:bCs/>
          <w:sz w:val="20"/>
          <w:szCs w:val="20"/>
        </w:rPr>
        <w:fldChar w:fldCharType="begin"/>
      </w:r>
      <w:r w:rsidRPr="006336B9">
        <w:rPr>
          <w:rFonts w:ascii="Times New Roman" w:eastAsia="DengXian" w:hAnsi="Times New Roman" w:cs="Times New Roman"/>
          <w:b/>
          <w:bCs/>
          <w:sz w:val="20"/>
          <w:szCs w:val="20"/>
        </w:rPr>
        <w:instrText xml:space="preserve"> SEQ Table \* ARABIC </w:instrText>
      </w:r>
      <w:r w:rsidRPr="006336B9">
        <w:rPr>
          <w:rFonts w:ascii="Times New Roman" w:eastAsia="DengXian" w:hAnsi="Times New Roman" w:cs="Times New Roman"/>
          <w:b/>
          <w:bCs/>
          <w:sz w:val="20"/>
          <w:szCs w:val="20"/>
        </w:rPr>
        <w:fldChar w:fldCharType="separate"/>
      </w:r>
      <w:r w:rsidR="00D87076">
        <w:rPr>
          <w:rFonts w:ascii="Times New Roman" w:eastAsia="DengXian" w:hAnsi="Times New Roman" w:cs="Times New Roman"/>
          <w:b/>
          <w:bCs/>
          <w:noProof/>
          <w:sz w:val="20"/>
          <w:szCs w:val="20"/>
        </w:rPr>
        <w:t>1</w:t>
      </w:r>
      <w:r w:rsidRPr="006336B9">
        <w:rPr>
          <w:rFonts w:ascii="Times New Roman" w:eastAsia="DengXian" w:hAnsi="Times New Roman" w:cs="Times New Roman"/>
          <w:b/>
          <w:bCs/>
          <w:sz w:val="20"/>
          <w:szCs w:val="20"/>
        </w:rPr>
        <w:fldChar w:fldCharType="end"/>
      </w:r>
      <w:r w:rsidRPr="006336B9">
        <w:rPr>
          <w:rFonts w:ascii="Times New Roman" w:eastAsia="DengXian" w:hAnsi="Times New Roman" w:cs="Times New Roman"/>
          <w:b/>
          <w:bCs/>
          <w:sz w:val="20"/>
          <w:szCs w:val="20"/>
        </w:rPr>
        <w:t xml:space="preserve">: A comparison of the market equilibrium prices for the offset policy targets </w:t>
      </w:r>
    </w:p>
    <w:tbl>
      <w:tblPr>
        <w:tblStyle w:val="TableGridLight"/>
        <w:tblW w:w="5000" w:type="pct"/>
        <w:tblLook w:val="04A0" w:firstRow="1" w:lastRow="0" w:firstColumn="1" w:lastColumn="0" w:noHBand="0" w:noVBand="1"/>
      </w:tblPr>
      <w:tblGrid>
        <w:gridCol w:w="3606"/>
        <w:gridCol w:w="1620"/>
        <w:gridCol w:w="1725"/>
        <w:gridCol w:w="2065"/>
      </w:tblGrid>
      <w:tr w:rsidR="006336B9" w:rsidRPr="006336B9" w14:paraId="6E5FEC0D" w14:textId="77777777" w:rsidTr="00070107">
        <w:trPr>
          <w:trHeight w:val="315"/>
        </w:trPr>
        <w:tc>
          <w:tcPr>
            <w:tcW w:w="1753" w:type="pct"/>
            <w:noWrap/>
            <w:hideMark/>
          </w:tcPr>
          <w:p w14:paraId="4BEF7200" w14:textId="77777777" w:rsidR="006336B9" w:rsidRPr="006336B9" w:rsidRDefault="006336B9" w:rsidP="006336B9">
            <w:pPr>
              <w:snapToGrid/>
              <w:spacing w:before="0" w:after="0" w:line="240" w:lineRule="auto"/>
              <w:ind w:firstLine="0"/>
              <w:rPr>
                <w:rFonts w:ascii="Times New Roman" w:eastAsia="Times New Roman" w:hAnsi="Times New Roman" w:cs="Times New Roman"/>
                <w:color w:val="000000"/>
                <w:sz w:val="20"/>
                <w:szCs w:val="20"/>
              </w:rPr>
            </w:pPr>
            <w:bookmarkStart w:id="48" w:name="RANGE!C3"/>
            <w:r w:rsidRPr="006336B9">
              <w:rPr>
                <w:rFonts w:ascii="Times New Roman" w:eastAsia="Times New Roman" w:hAnsi="Times New Roman" w:cs="Times New Roman"/>
                <w:color w:val="000000"/>
                <w:sz w:val="20"/>
                <w:szCs w:val="20"/>
              </w:rPr>
              <w:t> </w:t>
            </w:r>
            <w:bookmarkEnd w:id="48"/>
          </w:p>
        </w:tc>
        <w:tc>
          <w:tcPr>
            <w:tcW w:w="971" w:type="pct"/>
            <w:noWrap/>
            <w:hideMark/>
          </w:tcPr>
          <w:p w14:paraId="3BF53FDE" w14:textId="77777777" w:rsidR="006336B9" w:rsidRPr="006336B9" w:rsidRDefault="006336B9" w:rsidP="006336B9">
            <w:pPr>
              <w:snapToGrid/>
              <w:spacing w:before="0" w:after="0" w:line="240" w:lineRule="auto"/>
              <w:ind w:firstLine="0"/>
              <w:jc w:val="center"/>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Curlew policy target</w:t>
            </w:r>
          </w:p>
        </w:tc>
        <w:tc>
          <w:tcPr>
            <w:tcW w:w="1035" w:type="pct"/>
            <w:noWrap/>
            <w:hideMark/>
          </w:tcPr>
          <w:p w14:paraId="4AA007A2" w14:textId="77777777" w:rsidR="006336B9" w:rsidRPr="006336B9" w:rsidRDefault="006336B9" w:rsidP="006336B9">
            <w:pPr>
              <w:snapToGrid/>
              <w:spacing w:before="0" w:after="0" w:line="240" w:lineRule="auto"/>
              <w:ind w:firstLine="0"/>
              <w:jc w:val="center"/>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Lapwing policy target</w:t>
            </w:r>
          </w:p>
        </w:tc>
        <w:tc>
          <w:tcPr>
            <w:tcW w:w="1241" w:type="pct"/>
            <w:noWrap/>
            <w:hideMark/>
          </w:tcPr>
          <w:p w14:paraId="78519F79" w14:textId="77777777" w:rsidR="006336B9" w:rsidRPr="006336B9" w:rsidRDefault="006336B9" w:rsidP="006336B9">
            <w:pPr>
              <w:snapToGrid/>
              <w:spacing w:before="0" w:after="0" w:line="240" w:lineRule="auto"/>
              <w:ind w:firstLine="0"/>
              <w:jc w:val="center"/>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Oystercatcher policy target</w:t>
            </w:r>
          </w:p>
        </w:tc>
      </w:tr>
      <w:tr w:rsidR="006336B9" w:rsidRPr="006336B9" w14:paraId="203ED4D2" w14:textId="77777777" w:rsidTr="00070107">
        <w:trPr>
          <w:trHeight w:val="315"/>
        </w:trPr>
        <w:tc>
          <w:tcPr>
            <w:tcW w:w="1753" w:type="pct"/>
            <w:noWrap/>
            <w:hideMark/>
          </w:tcPr>
          <w:p w14:paraId="70EF9BBE" w14:textId="77777777" w:rsidR="006336B9" w:rsidRPr="006336B9" w:rsidRDefault="006336B9" w:rsidP="006336B9">
            <w:pPr>
              <w:snapToGrid/>
              <w:spacing w:before="0" w:after="0" w:line="240" w:lineRule="auto"/>
              <w:ind w:firstLine="0"/>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Market equilibrium price for a single offset credit</w:t>
            </w:r>
          </w:p>
        </w:tc>
        <w:tc>
          <w:tcPr>
            <w:tcW w:w="971" w:type="pct"/>
            <w:noWrap/>
            <w:hideMark/>
          </w:tcPr>
          <w:p w14:paraId="3336ACF4"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£9,972</w:t>
            </w:r>
          </w:p>
        </w:tc>
        <w:tc>
          <w:tcPr>
            <w:tcW w:w="1035" w:type="pct"/>
            <w:noWrap/>
            <w:hideMark/>
          </w:tcPr>
          <w:p w14:paraId="5395D9E4"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£12,600</w:t>
            </w:r>
          </w:p>
        </w:tc>
        <w:tc>
          <w:tcPr>
            <w:tcW w:w="1241" w:type="pct"/>
            <w:noWrap/>
            <w:hideMark/>
          </w:tcPr>
          <w:p w14:paraId="36D4E415"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£21,979</w:t>
            </w:r>
          </w:p>
        </w:tc>
      </w:tr>
      <w:tr w:rsidR="006336B9" w:rsidRPr="006336B9" w14:paraId="25928F6B" w14:textId="77777777" w:rsidTr="00070107">
        <w:trPr>
          <w:trHeight w:val="330"/>
        </w:trPr>
        <w:tc>
          <w:tcPr>
            <w:tcW w:w="1753" w:type="pct"/>
            <w:noWrap/>
            <w:hideMark/>
          </w:tcPr>
          <w:p w14:paraId="257731F1" w14:textId="77777777" w:rsidR="006336B9" w:rsidRPr="006336B9" w:rsidRDefault="006336B9" w:rsidP="006336B9">
            <w:pPr>
              <w:snapToGrid/>
              <w:spacing w:before="0" w:after="0" w:line="240" w:lineRule="auto"/>
              <w:ind w:firstLine="0"/>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 xml:space="preserve">Number of developers requiring offsets </w:t>
            </w:r>
          </w:p>
        </w:tc>
        <w:tc>
          <w:tcPr>
            <w:tcW w:w="971" w:type="pct"/>
            <w:noWrap/>
            <w:hideMark/>
          </w:tcPr>
          <w:p w14:paraId="68C3A01F"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45</w:t>
            </w:r>
          </w:p>
        </w:tc>
        <w:tc>
          <w:tcPr>
            <w:tcW w:w="1035" w:type="pct"/>
            <w:noWrap/>
            <w:hideMark/>
          </w:tcPr>
          <w:p w14:paraId="33E2C098"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87</w:t>
            </w:r>
          </w:p>
        </w:tc>
        <w:tc>
          <w:tcPr>
            <w:tcW w:w="1241" w:type="pct"/>
            <w:noWrap/>
            <w:hideMark/>
          </w:tcPr>
          <w:p w14:paraId="1D036050"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661</w:t>
            </w:r>
          </w:p>
        </w:tc>
      </w:tr>
      <w:tr w:rsidR="006336B9" w:rsidRPr="006336B9" w14:paraId="5571A989" w14:textId="77777777" w:rsidTr="00070107">
        <w:trPr>
          <w:trHeight w:val="525"/>
        </w:trPr>
        <w:tc>
          <w:tcPr>
            <w:tcW w:w="1753" w:type="pct"/>
            <w:noWrap/>
            <w:hideMark/>
          </w:tcPr>
          <w:p w14:paraId="0294B1C0" w14:textId="77777777" w:rsidR="006336B9" w:rsidRPr="006336B9" w:rsidRDefault="006336B9" w:rsidP="006336B9">
            <w:pPr>
              <w:snapToGrid/>
              <w:spacing w:before="0" w:after="0" w:line="240" w:lineRule="auto"/>
              <w:ind w:firstLine="0"/>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Economic surplus for developers</w:t>
            </w:r>
          </w:p>
        </w:tc>
        <w:tc>
          <w:tcPr>
            <w:tcW w:w="971" w:type="pct"/>
            <w:noWrap/>
            <w:hideMark/>
          </w:tcPr>
          <w:p w14:paraId="1D73B6DE"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£421,885</w:t>
            </w:r>
          </w:p>
        </w:tc>
        <w:tc>
          <w:tcPr>
            <w:tcW w:w="1035" w:type="pct"/>
            <w:noWrap/>
            <w:hideMark/>
          </w:tcPr>
          <w:p w14:paraId="7B3B2B41"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£404,865</w:t>
            </w:r>
          </w:p>
        </w:tc>
        <w:tc>
          <w:tcPr>
            <w:tcW w:w="1241" w:type="pct"/>
            <w:noWrap/>
            <w:hideMark/>
          </w:tcPr>
          <w:p w14:paraId="27F74DD5"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£1,240,000</w:t>
            </w:r>
          </w:p>
        </w:tc>
      </w:tr>
      <w:tr w:rsidR="006336B9" w:rsidRPr="006336B9" w14:paraId="732A0CAB" w14:textId="77777777" w:rsidTr="00070107">
        <w:trPr>
          <w:trHeight w:val="330"/>
        </w:trPr>
        <w:tc>
          <w:tcPr>
            <w:tcW w:w="1753" w:type="pct"/>
            <w:noWrap/>
            <w:hideMark/>
          </w:tcPr>
          <w:p w14:paraId="0481DFB7" w14:textId="77777777" w:rsidR="006336B9" w:rsidRPr="006336B9" w:rsidRDefault="006336B9" w:rsidP="006336B9">
            <w:pPr>
              <w:snapToGrid/>
              <w:spacing w:before="0" w:after="0" w:line="240" w:lineRule="auto"/>
              <w:ind w:firstLine="0"/>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Number of farmers supplying offsets</w:t>
            </w:r>
          </w:p>
        </w:tc>
        <w:tc>
          <w:tcPr>
            <w:tcW w:w="971" w:type="pct"/>
            <w:noWrap/>
            <w:hideMark/>
          </w:tcPr>
          <w:p w14:paraId="05701506"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6</w:t>
            </w:r>
          </w:p>
        </w:tc>
        <w:tc>
          <w:tcPr>
            <w:tcW w:w="1035" w:type="pct"/>
            <w:noWrap/>
            <w:hideMark/>
          </w:tcPr>
          <w:p w14:paraId="37E33ABB"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24</w:t>
            </w:r>
          </w:p>
        </w:tc>
        <w:tc>
          <w:tcPr>
            <w:tcW w:w="1241" w:type="pct"/>
            <w:noWrap/>
            <w:hideMark/>
          </w:tcPr>
          <w:p w14:paraId="2350F093"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28</w:t>
            </w:r>
          </w:p>
        </w:tc>
      </w:tr>
      <w:tr w:rsidR="006336B9" w:rsidRPr="006336B9" w14:paraId="1909D251" w14:textId="77777777" w:rsidTr="00070107">
        <w:trPr>
          <w:trHeight w:val="315"/>
        </w:trPr>
        <w:tc>
          <w:tcPr>
            <w:tcW w:w="1753" w:type="pct"/>
            <w:noWrap/>
            <w:hideMark/>
          </w:tcPr>
          <w:p w14:paraId="2F34F116" w14:textId="77777777" w:rsidR="006336B9" w:rsidRPr="006336B9" w:rsidRDefault="006336B9" w:rsidP="006336B9">
            <w:pPr>
              <w:snapToGrid/>
              <w:spacing w:before="0" w:after="0" w:line="240" w:lineRule="auto"/>
              <w:ind w:firstLine="0"/>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Number of offsets supplied (birds)</w:t>
            </w:r>
          </w:p>
        </w:tc>
        <w:tc>
          <w:tcPr>
            <w:tcW w:w="971" w:type="pct"/>
            <w:noWrap/>
            <w:hideMark/>
          </w:tcPr>
          <w:p w14:paraId="1D11A14D"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10</w:t>
            </w:r>
          </w:p>
        </w:tc>
        <w:tc>
          <w:tcPr>
            <w:tcW w:w="1035" w:type="pct"/>
            <w:noWrap/>
            <w:hideMark/>
          </w:tcPr>
          <w:p w14:paraId="4865C550"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103</w:t>
            </w:r>
          </w:p>
        </w:tc>
        <w:tc>
          <w:tcPr>
            <w:tcW w:w="1241" w:type="pct"/>
            <w:noWrap/>
            <w:hideMark/>
          </w:tcPr>
          <w:p w14:paraId="034F6CB3"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260</w:t>
            </w:r>
          </w:p>
        </w:tc>
      </w:tr>
      <w:tr w:rsidR="006336B9" w:rsidRPr="006336B9" w14:paraId="4BB715F0" w14:textId="77777777" w:rsidTr="00070107">
        <w:trPr>
          <w:trHeight w:val="315"/>
        </w:trPr>
        <w:tc>
          <w:tcPr>
            <w:tcW w:w="1753" w:type="pct"/>
            <w:noWrap/>
            <w:hideMark/>
          </w:tcPr>
          <w:p w14:paraId="28D62540" w14:textId="77777777" w:rsidR="006336B9" w:rsidRPr="006336B9" w:rsidRDefault="006336B9" w:rsidP="006336B9">
            <w:pPr>
              <w:snapToGrid/>
              <w:spacing w:before="0" w:after="0" w:line="240" w:lineRule="auto"/>
              <w:ind w:firstLine="0"/>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Economic surplus for farmers</w:t>
            </w:r>
          </w:p>
        </w:tc>
        <w:tc>
          <w:tcPr>
            <w:tcW w:w="971" w:type="pct"/>
            <w:noWrap/>
            <w:hideMark/>
          </w:tcPr>
          <w:p w14:paraId="3A5FDF18"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£27,661</w:t>
            </w:r>
          </w:p>
        </w:tc>
        <w:tc>
          <w:tcPr>
            <w:tcW w:w="1035" w:type="pct"/>
            <w:noWrap/>
            <w:hideMark/>
          </w:tcPr>
          <w:p w14:paraId="0AFE6334"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£52,458</w:t>
            </w:r>
          </w:p>
        </w:tc>
        <w:tc>
          <w:tcPr>
            <w:tcW w:w="1241" w:type="pct"/>
            <w:noWrap/>
            <w:hideMark/>
          </w:tcPr>
          <w:p w14:paraId="5C30804E" w14:textId="77777777" w:rsidR="006336B9" w:rsidRPr="006336B9" w:rsidRDefault="006336B9" w:rsidP="006336B9">
            <w:pPr>
              <w:snapToGrid/>
              <w:spacing w:before="0" w:after="0" w:line="240" w:lineRule="auto"/>
              <w:ind w:firstLine="0"/>
              <w:jc w:val="right"/>
              <w:rPr>
                <w:rFonts w:ascii="Times New Roman" w:eastAsia="Times New Roman" w:hAnsi="Times New Roman" w:cs="Times New Roman"/>
                <w:color w:val="000000"/>
                <w:sz w:val="20"/>
                <w:szCs w:val="20"/>
              </w:rPr>
            </w:pPr>
            <w:r w:rsidRPr="006336B9">
              <w:rPr>
                <w:rFonts w:ascii="Times New Roman" w:eastAsia="Times New Roman" w:hAnsi="Times New Roman" w:cs="Times New Roman"/>
                <w:color w:val="000000"/>
                <w:sz w:val="20"/>
                <w:szCs w:val="20"/>
              </w:rPr>
              <w:t>£480,240</w:t>
            </w:r>
          </w:p>
        </w:tc>
      </w:tr>
    </w:tbl>
    <w:p w14:paraId="25D5FF6E" w14:textId="77777777" w:rsidR="000D0710" w:rsidRDefault="000D0710" w:rsidP="00B310CF">
      <w:pPr>
        <w:ind w:firstLine="0"/>
        <w:rPr>
          <w:b/>
          <w:bCs/>
          <w:sz w:val="21"/>
          <w:szCs w:val="21"/>
          <w:lang w:val="gd-GB"/>
        </w:rPr>
      </w:pPr>
    </w:p>
    <w:p w14:paraId="271FCF41" w14:textId="5D5BCD0B" w:rsidR="00B310CF" w:rsidRPr="00B310CF" w:rsidRDefault="00B310CF" w:rsidP="00B310CF">
      <w:pPr>
        <w:ind w:firstLine="0"/>
        <w:rPr>
          <w:b/>
          <w:bCs/>
          <w:sz w:val="21"/>
          <w:szCs w:val="21"/>
          <w:lang w:val="gd-GB"/>
        </w:rPr>
      </w:pPr>
      <w:r w:rsidRPr="00B310CF">
        <w:rPr>
          <w:b/>
          <w:bCs/>
          <w:sz w:val="21"/>
          <w:szCs w:val="21"/>
          <w:lang w:val="gd-GB"/>
        </w:rPr>
        <w:t>Figure 1: Overview of the ecological-economic modelling approach</w:t>
      </w:r>
    </w:p>
    <w:p w14:paraId="0A5EBB65" w14:textId="6AAE3FAE" w:rsidR="00B310CF" w:rsidRDefault="00B310CF" w:rsidP="00B310CF">
      <w:pPr>
        <w:ind w:firstLine="0"/>
        <w:rPr>
          <w:b/>
          <w:bCs/>
          <w:sz w:val="21"/>
          <w:szCs w:val="21"/>
          <w:lang w:val="gd-GB"/>
        </w:rPr>
      </w:pPr>
      <w:r w:rsidRPr="00B310CF">
        <w:rPr>
          <w:b/>
          <w:bCs/>
          <w:sz w:val="21"/>
          <w:szCs w:val="21"/>
          <w:lang w:val="gd-GB"/>
        </w:rPr>
        <w:t>Figure 2: UK case study region. Contains OS data 1:250 000 Scale Colour Raster © Crown Copyright 2019.</w:t>
      </w:r>
    </w:p>
    <w:p w14:paraId="6F47CFCE" w14:textId="77777777" w:rsidR="00B310CF" w:rsidRPr="00B310CF" w:rsidRDefault="00B310CF" w:rsidP="00B310CF">
      <w:pPr>
        <w:ind w:firstLine="0"/>
        <w:rPr>
          <w:b/>
          <w:bCs/>
          <w:sz w:val="21"/>
          <w:szCs w:val="21"/>
          <w:lang w:val="gd-GB"/>
        </w:rPr>
      </w:pPr>
      <w:r w:rsidRPr="00B310CF">
        <w:rPr>
          <w:b/>
          <w:bCs/>
          <w:sz w:val="21"/>
          <w:szCs w:val="21"/>
          <w:lang w:val="gd-GB"/>
        </w:rPr>
        <w:t>Figure 3: Spatially derived offset supply and demand curves for the three target species. Dashed line indicates market equilibrium price, p.*</w:t>
      </w:r>
    </w:p>
    <w:p w14:paraId="30FC01EE" w14:textId="1E3225CA" w:rsidR="00B310CF" w:rsidRDefault="00B310CF" w:rsidP="00B310CF">
      <w:pPr>
        <w:ind w:firstLine="0"/>
        <w:rPr>
          <w:b/>
          <w:bCs/>
          <w:sz w:val="21"/>
          <w:szCs w:val="21"/>
          <w:lang w:val="gd-GB"/>
        </w:rPr>
      </w:pPr>
      <w:r w:rsidRPr="00B310CF">
        <w:rPr>
          <w:b/>
          <w:bCs/>
          <w:sz w:val="21"/>
          <w:szCs w:val="21"/>
          <w:lang w:val="gd-GB"/>
        </w:rPr>
        <w:t>Figure 4: Comparison of land parcels which deliver biodiversity offsets and which land parcels require offset credits for the three target species</w:t>
      </w:r>
      <w:r w:rsidR="0089006C">
        <w:rPr>
          <w:b/>
          <w:bCs/>
          <w:sz w:val="21"/>
          <w:szCs w:val="21"/>
          <w:lang w:val="gd-GB"/>
        </w:rPr>
        <w:t>.</w:t>
      </w:r>
    </w:p>
    <w:p w14:paraId="4EE2D71C" w14:textId="77062C4A" w:rsidR="00B310CF" w:rsidRDefault="00B310CF" w:rsidP="00B310CF">
      <w:pPr>
        <w:ind w:firstLine="0"/>
        <w:rPr>
          <w:b/>
          <w:bCs/>
          <w:sz w:val="21"/>
          <w:szCs w:val="21"/>
          <w:lang w:val="gd-GB"/>
        </w:rPr>
      </w:pPr>
      <w:r w:rsidRPr="00B310CF">
        <w:rPr>
          <w:b/>
          <w:bCs/>
          <w:sz w:val="21"/>
          <w:szCs w:val="21"/>
          <w:lang w:val="gd-GB"/>
        </w:rPr>
        <w:t xml:space="preserve">Figure 5: A comparison of </w:t>
      </w:r>
      <w:r w:rsidR="006B3873">
        <w:rPr>
          <w:b/>
          <w:bCs/>
          <w:sz w:val="21"/>
          <w:szCs w:val="21"/>
          <w:lang w:val="gd-GB"/>
        </w:rPr>
        <w:t>offset supply and offset demand</w:t>
      </w:r>
      <w:r w:rsidRPr="00B310CF">
        <w:rPr>
          <w:b/>
          <w:bCs/>
          <w:sz w:val="21"/>
          <w:szCs w:val="21"/>
          <w:lang w:val="gd-GB"/>
        </w:rPr>
        <w:t xml:space="preserve"> </w:t>
      </w:r>
      <w:r w:rsidR="006B3873">
        <w:rPr>
          <w:b/>
          <w:bCs/>
          <w:sz w:val="21"/>
          <w:szCs w:val="21"/>
          <w:lang w:val="gd-GB"/>
        </w:rPr>
        <w:t>in the three planning areas</w:t>
      </w:r>
      <w:r w:rsidRPr="00B310CF">
        <w:rPr>
          <w:b/>
          <w:bCs/>
          <w:sz w:val="21"/>
          <w:szCs w:val="21"/>
          <w:lang w:val="gd-GB"/>
        </w:rPr>
        <w:t xml:space="preserve"> for oystercatcher as the policy target.</w:t>
      </w:r>
    </w:p>
    <w:p w14:paraId="4B2D7BF3" w14:textId="74ADFD25" w:rsidR="00B310CF" w:rsidRDefault="00B310CF" w:rsidP="00B310CF">
      <w:pPr>
        <w:ind w:firstLine="0"/>
        <w:rPr>
          <w:b/>
          <w:bCs/>
          <w:sz w:val="21"/>
          <w:szCs w:val="21"/>
          <w:lang w:val="gd-GB"/>
        </w:rPr>
      </w:pPr>
      <w:r w:rsidRPr="00B310CF">
        <w:rPr>
          <w:b/>
          <w:bCs/>
          <w:sz w:val="21"/>
          <w:szCs w:val="21"/>
          <w:lang w:val="gd-GB"/>
        </w:rPr>
        <w:t>Figure 6: Comparison of the economic surplus for farmers and developers at the market equilibrium offset price, p*</w:t>
      </w:r>
    </w:p>
    <w:p w14:paraId="15B88602" w14:textId="62F9AFED" w:rsidR="00ED45FC" w:rsidRDefault="00ED45FC" w:rsidP="00B310CF">
      <w:pPr>
        <w:ind w:firstLine="0"/>
        <w:rPr>
          <w:b/>
          <w:bCs/>
          <w:sz w:val="21"/>
          <w:szCs w:val="21"/>
          <w:lang w:val="gd-GB"/>
        </w:rPr>
      </w:pPr>
    </w:p>
    <w:p w14:paraId="1FDEEF97" w14:textId="6AABAB29" w:rsidR="00ED45FC" w:rsidRPr="00ED45FC" w:rsidRDefault="00ED45FC" w:rsidP="00B310CF">
      <w:pPr>
        <w:ind w:firstLine="0"/>
        <w:rPr>
          <w:b/>
          <w:bCs/>
          <w:sz w:val="21"/>
          <w:szCs w:val="21"/>
        </w:rPr>
      </w:pPr>
    </w:p>
    <w:p w14:paraId="75E6E5E9" w14:textId="77777777" w:rsidR="00FB2A9A" w:rsidRPr="002B6454" w:rsidRDefault="00FB2A9A" w:rsidP="00FB2A9A">
      <w:pPr>
        <w:snapToGrid/>
        <w:spacing w:before="0" w:after="160"/>
        <w:ind w:firstLine="0"/>
        <w:jc w:val="left"/>
        <w:rPr>
          <w:sz w:val="24"/>
          <w:szCs w:val="24"/>
        </w:rPr>
      </w:pPr>
      <w:r w:rsidRPr="002B6454">
        <w:rPr>
          <w:sz w:val="24"/>
          <w:szCs w:val="24"/>
        </w:rPr>
        <w:br w:type="page"/>
      </w:r>
    </w:p>
    <w:sectPr w:rsidR="00FB2A9A" w:rsidRPr="002B6454" w:rsidSect="000346DE">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2C371" w14:textId="77777777" w:rsidR="004F612E" w:rsidRDefault="004F612E" w:rsidP="0023427C">
      <w:r>
        <w:separator/>
      </w:r>
    </w:p>
  </w:endnote>
  <w:endnote w:type="continuationSeparator" w:id="0">
    <w:p w14:paraId="4110C395" w14:textId="77777777" w:rsidR="004F612E" w:rsidRDefault="004F612E" w:rsidP="0023427C">
      <w:r>
        <w:continuationSeparator/>
      </w:r>
    </w:p>
  </w:endnote>
  <w:endnote w:id="1">
    <w:p w14:paraId="1FE569E8" w14:textId="77777777" w:rsidR="00145D77" w:rsidRPr="0001610F" w:rsidRDefault="00145D77" w:rsidP="0001610F">
      <w:pPr>
        <w:pStyle w:val="IntenseQuote"/>
        <w:spacing w:before="120"/>
      </w:pPr>
      <w:r w:rsidRPr="0001610F">
        <w:rPr>
          <w:rStyle w:val="EndnoteReference"/>
        </w:rPr>
        <w:endnoteRef/>
      </w:r>
      <w:r w:rsidRPr="0001610F">
        <w:rPr>
          <w:vertAlign w:val="superscript"/>
        </w:rPr>
        <w:t xml:space="preserve"> </w:t>
      </w:r>
      <w:r w:rsidRPr="0001610F">
        <w:t>This could mean that some developers choose to buy no credits and not develop any housing.</w:t>
      </w:r>
    </w:p>
  </w:endnote>
  <w:endnote w:id="2">
    <w:p w14:paraId="3F1CBF4D" w14:textId="77777777" w:rsidR="00145D77" w:rsidRPr="0001610F" w:rsidRDefault="00145D77" w:rsidP="0001610F">
      <w:pPr>
        <w:pStyle w:val="IntenseQuote"/>
        <w:spacing w:before="120"/>
      </w:pPr>
      <w:r w:rsidRPr="0001610F">
        <w:rPr>
          <w:rStyle w:val="EndnoteReference"/>
        </w:rPr>
        <w:endnoteRef/>
      </w:r>
      <w:r w:rsidRPr="0001610F">
        <w:t xml:space="preserve"> If there is more than one ecological indicator, then there are multiple trading ratios between sites, one for each target.</w:t>
      </w:r>
    </w:p>
  </w:endnote>
  <w:endnote w:id="3">
    <w:p w14:paraId="72A384A0" w14:textId="77777777" w:rsidR="00145D77" w:rsidRPr="0001610F" w:rsidRDefault="00145D77" w:rsidP="0001610F">
      <w:pPr>
        <w:pStyle w:val="IntenseQuote"/>
        <w:spacing w:before="120"/>
      </w:pPr>
      <w:r w:rsidRPr="0001610F">
        <w:rPr>
          <w:rStyle w:val="EndnoteReference"/>
        </w:rPr>
        <w:endnoteRef/>
      </w:r>
      <w:r w:rsidRPr="0001610F">
        <w:t xml:space="preserve"> In a similar vein, the opposite effect occurs when the trading ratio as defined in Eq. (1) decreases through </w:t>
      </w:r>
      <w:proofErr w:type="gramStart"/>
      <w:r w:rsidRPr="0001610F">
        <w:t>either a</w:t>
      </w:r>
      <w:proofErr w:type="gramEnd"/>
      <w:r w:rsidRPr="0001610F">
        <w:t xml:space="preserve"> decrease (increase) in the ecological value of site </w:t>
      </w:r>
      <m:oMath>
        <m:r>
          <w:rPr>
            <w:rFonts w:ascii="Cambria Math" w:hAnsi="Cambria Math"/>
          </w:rPr>
          <m:t>i</m:t>
        </m:r>
      </m:oMath>
      <w:r w:rsidRPr="0001610F">
        <w:t xml:space="preserve"> (</w:t>
      </w:r>
      <m:oMath>
        <m:r>
          <w:rPr>
            <w:rFonts w:ascii="Cambria Math" w:hAnsi="Cambria Math"/>
          </w:rPr>
          <m:t>j</m:t>
        </m:r>
      </m:oMath>
      <w:r w:rsidRPr="0001610F">
        <w:t>). In both these situations the developer’s demand for offset credits increases, pushing up the equilibrium offset price.</w:t>
      </w:r>
    </w:p>
  </w:endnote>
  <w:endnote w:id="4">
    <w:p w14:paraId="565ACC06" w14:textId="30778622" w:rsidR="00145D77" w:rsidRPr="0001610F" w:rsidRDefault="00145D77" w:rsidP="0001610F">
      <w:pPr>
        <w:pStyle w:val="EndnoteText"/>
        <w:spacing w:before="120" w:line="276" w:lineRule="auto"/>
        <w:ind w:firstLine="0"/>
      </w:pPr>
      <w:r w:rsidRPr="0001610F">
        <w:rPr>
          <w:rStyle w:val="EndnoteReference"/>
        </w:rPr>
        <w:endnoteRef/>
      </w:r>
      <w:r w:rsidRPr="0001610F">
        <w:t xml:space="preserve"> The </w:t>
      </w:r>
      <w:proofErr w:type="spellStart"/>
      <w:r w:rsidRPr="0001610F">
        <w:rPr>
          <w:i/>
          <w:iCs/>
        </w:rPr>
        <w:t>Walrasian</w:t>
      </w:r>
      <w:proofErr w:type="spellEnd"/>
      <w:r w:rsidRPr="0001610F">
        <w:rPr>
          <w:i/>
          <w:iCs/>
        </w:rPr>
        <w:t xml:space="preserve"> auctioneer</w:t>
      </w:r>
      <w:r w:rsidRPr="0001610F">
        <w:t> is the presumed auctioneer that matches supply and demand in a market of perfect competition. The auctioneer provides for the features of perfect competition: perfect information and no transaction costs. The process is called </w:t>
      </w:r>
      <w:r w:rsidR="00FB2A9A" w:rsidRPr="0001610F">
        <w:rPr>
          <w:i/>
          <w:iCs/>
        </w:rPr>
        <w:t>tâtonnement</w:t>
      </w:r>
      <w:r w:rsidR="00FB2A9A" w:rsidRPr="0001610F">
        <w:t>, relating</w:t>
      </w:r>
      <w:r w:rsidRPr="0001610F">
        <w:t xml:space="preserve"> to finding the market clearing price for all commodities (Joyce, 1984).</w:t>
      </w:r>
    </w:p>
  </w:endnote>
  <w:endnote w:id="5">
    <w:p w14:paraId="6A71C64D" w14:textId="77777777" w:rsidR="00145D77" w:rsidRDefault="00145D77" w:rsidP="0001610F">
      <w:pPr>
        <w:pStyle w:val="IntenseQuote"/>
        <w:spacing w:before="120"/>
      </w:pPr>
      <w:r w:rsidRPr="0001610F">
        <w:rPr>
          <w:rStyle w:val="EndnoteReference"/>
        </w:rPr>
        <w:endnoteRef/>
      </w:r>
      <w:r w:rsidRPr="0001610F">
        <w:t xml:space="preserve"> Note that whilst the farmer will lose the gross margin for the original crop (the opportunity cost), still a profit on the replacement crop will be made after switching.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735327"/>
      <w:docPartObj>
        <w:docPartGallery w:val="Page Numbers (Bottom of Page)"/>
        <w:docPartUnique/>
      </w:docPartObj>
    </w:sdtPr>
    <w:sdtEndPr>
      <w:rPr>
        <w:noProof/>
      </w:rPr>
    </w:sdtEndPr>
    <w:sdtContent>
      <w:p w14:paraId="4BF765D6" w14:textId="1BA0D08E" w:rsidR="00145D77" w:rsidRDefault="00145D77">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14:paraId="3512FC37" w14:textId="77777777" w:rsidR="00145D77" w:rsidRDefault="00145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F897" w14:textId="77777777" w:rsidR="004F612E" w:rsidRDefault="004F612E" w:rsidP="0023427C">
      <w:r>
        <w:separator/>
      </w:r>
    </w:p>
  </w:footnote>
  <w:footnote w:type="continuationSeparator" w:id="0">
    <w:p w14:paraId="2806F144" w14:textId="77777777" w:rsidR="004F612E" w:rsidRDefault="004F612E" w:rsidP="00234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3219"/>
    <w:multiLevelType w:val="hybridMultilevel"/>
    <w:tmpl w:val="6DE6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3607B"/>
    <w:multiLevelType w:val="hybridMultilevel"/>
    <w:tmpl w:val="5E32F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16533"/>
    <w:multiLevelType w:val="hybridMultilevel"/>
    <w:tmpl w:val="F6745A3A"/>
    <w:lvl w:ilvl="0" w:tplc="7A80104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F43094"/>
    <w:multiLevelType w:val="hybridMultilevel"/>
    <w:tmpl w:val="C8B09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C00227"/>
    <w:multiLevelType w:val="hybridMultilevel"/>
    <w:tmpl w:val="CBF4ED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F2A0E"/>
    <w:multiLevelType w:val="hybridMultilevel"/>
    <w:tmpl w:val="1130D63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1F751AA"/>
    <w:multiLevelType w:val="hybridMultilevel"/>
    <w:tmpl w:val="A4527AFE"/>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4D6BBC"/>
    <w:multiLevelType w:val="hybridMultilevel"/>
    <w:tmpl w:val="5C30FA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AD2AA6"/>
    <w:multiLevelType w:val="hybridMultilevel"/>
    <w:tmpl w:val="46AE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A53A4"/>
    <w:multiLevelType w:val="hybridMultilevel"/>
    <w:tmpl w:val="1EA88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A0C6D"/>
    <w:multiLevelType w:val="multilevel"/>
    <w:tmpl w:val="3A927D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Bidi" w:hAnsiTheme="majorBidi" w:cstheme="maj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31661"/>
    <w:multiLevelType w:val="hybridMultilevel"/>
    <w:tmpl w:val="83B0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B3A5B"/>
    <w:multiLevelType w:val="hybridMultilevel"/>
    <w:tmpl w:val="DED88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E5064A"/>
    <w:multiLevelType w:val="multilevel"/>
    <w:tmpl w:val="4B5801CE"/>
    <w:lvl w:ilvl="0">
      <w:start w:val="6"/>
      <w:numFmt w:val="decimal"/>
      <w:lvlText w:val="%1"/>
      <w:lvlJc w:val="left"/>
      <w:pPr>
        <w:ind w:left="432" w:hanging="432"/>
      </w:pPr>
      <w:rPr>
        <w:rFonts w:hint="default"/>
        <w:b w:val="0"/>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C53598"/>
    <w:multiLevelType w:val="multilevel"/>
    <w:tmpl w:val="ABD6D2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C42FA2"/>
    <w:multiLevelType w:val="multilevel"/>
    <w:tmpl w:val="4AE252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6D1F8C"/>
    <w:multiLevelType w:val="hybridMultilevel"/>
    <w:tmpl w:val="1BD624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1161FD"/>
    <w:multiLevelType w:val="multilevel"/>
    <w:tmpl w:val="8E582B74"/>
    <w:lvl w:ilvl="0">
      <w:start w:val="4"/>
      <w:numFmt w:val="decimal"/>
      <w:lvlText w:val="%1."/>
      <w:lvlJc w:val="left"/>
      <w:pPr>
        <w:ind w:left="720"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528" w:hanging="1440"/>
      </w:pPr>
      <w:rPr>
        <w:rFonts w:hint="default"/>
      </w:rPr>
    </w:lvl>
  </w:abstractNum>
  <w:abstractNum w:abstractNumId="18" w15:restartNumberingAfterBreak="0">
    <w:nsid w:val="3A6D3826"/>
    <w:multiLevelType w:val="hybridMultilevel"/>
    <w:tmpl w:val="AD70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6F08BD"/>
    <w:multiLevelType w:val="hybridMultilevel"/>
    <w:tmpl w:val="CDEC5ED0"/>
    <w:lvl w:ilvl="0" w:tplc="6C9AED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3C5281"/>
    <w:multiLevelType w:val="hybridMultilevel"/>
    <w:tmpl w:val="AA2CD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EB0CE0"/>
    <w:multiLevelType w:val="hybridMultilevel"/>
    <w:tmpl w:val="B720CDE0"/>
    <w:lvl w:ilvl="0" w:tplc="56FC729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AD21057"/>
    <w:multiLevelType w:val="hybridMultilevel"/>
    <w:tmpl w:val="A242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665BD"/>
    <w:multiLevelType w:val="hybridMultilevel"/>
    <w:tmpl w:val="B566BF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2A0FD8"/>
    <w:multiLevelType w:val="multilevel"/>
    <w:tmpl w:val="7C02BBDC"/>
    <w:lvl w:ilvl="0">
      <w:start w:val="1"/>
      <w:numFmt w:val="decimal"/>
      <w:pStyle w:val="Heading1"/>
      <w:lvlText w:val="%1"/>
      <w:lvlJc w:val="left"/>
      <w:pPr>
        <w:ind w:left="432" w:hanging="432"/>
      </w:pPr>
    </w:lvl>
    <w:lvl w:ilvl="1">
      <w:start w:val="1"/>
      <w:numFmt w:val="decimal"/>
      <w:lvlText w:val="%1.%2"/>
      <w:lvlJc w:val="left"/>
      <w:pPr>
        <w:ind w:left="576" w:hanging="576"/>
      </w:pPr>
      <w:rPr>
        <w:i w:val="0"/>
        <w:iCs w:val="0"/>
      </w:rPr>
    </w:lvl>
    <w:lvl w:ilvl="2">
      <w:start w:val="1"/>
      <w:numFmt w:val="decimal"/>
      <w:pStyle w:val="Heading3"/>
      <w:lvlText w:val="%1.%2.%3"/>
      <w:lvlJc w:val="left"/>
      <w:pPr>
        <w:ind w:left="720" w:hanging="720"/>
      </w:pPr>
      <w:rPr>
        <w:rFonts w:asciiTheme="majorBidi" w:hAnsiTheme="majorBidi" w:cstheme="majorBidi" w:hint="default"/>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0BB4C2F"/>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51CA6661"/>
    <w:multiLevelType w:val="hybridMultilevel"/>
    <w:tmpl w:val="B136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E7591"/>
    <w:multiLevelType w:val="hybridMultilevel"/>
    <w:tmpl w:val="FB0A5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A24CCF"/>
    <w:multiLevelType w:val="multilevel"/>
    <w:tmpl w:val="AE1E23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B2156AA"/>
    <w:multiLevelType w:val="hybridMultilevel"/>
    <w:tmpl w:val="DBAC14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259AE"/>
    <w:multiLevelType w:val="hybridMultilevel"/>
    <w:tmpl w:val="EF5A10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E471C58"/>
    <w:multiLevelType w:val="hybridMultilevel"/>
    <w:tmpl w:val="17B628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2522728"/>
    <w:multiLevelType w:val="hybridMultilevel"/>
    <w:tmpl w:val="AA84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626EFC"/>
    <w:multiLevelType w:val="hybridMultilevel"/>
    <w:tmpl w:val="0FF6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F04E5"/>
    <w:multiLevelType w:val="hybridMultilevel"/>
    <w:tmpl w:val="E8EC22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2D7624C"/>
    <w:multiLevelType w:val="hybridMultilevel"/>
    <w:tmpl w:val="9B92DECA"/>
    <w:lvl w:ilvl="0" w:tplc="BB7AE748">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F21075"/>
    <w:multiLevelType w:val="hybridMultilevel"/>
    <w:tmpl w:val="02642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55641"/>
    <w:multiLevelType w:val="hybridMultilevel"/>
    <w:tmpl w:val="C37A9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A2425"/>
    <w:multiLevelType w:val="hybridMultilevel"/>
    <w:tmpl w:val="61602626"/>
    <w:lvl w:ilvl="0" w:tplc="FE1E4D6C">
      <w:start w:val="1"/>
      <w:numFmt w:val="decimal"/>
      <w:lvlText w:val="%1)"/>
      <w:lvlJc w:val="left"/>
      <w:pPr>
        <w:ind w:left="360" w:hanging="360"/>
      </w:pPr>
      <w:rPr>
        <w:rFonts w:hint="default"/>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6DC1AAC"/>
    <w:multiLevelType w:val="hybridMultilevel"/>
    <w:tmpl w:val="DD62A8E8"/>
    <w:lvl w:ilvl="0" w:tplc="6D2E0F40">
      <w:start w:val="1"/>
      <w:numFmt w:val="lowerRoman"/>
      <w:lvlText w:val="%1)"/>
      <w:lvlJc w:val="left"/>
      <w:pPr>
        <w:ind w:left="-1065" w:hanging="360"/>
      </w:pPr>
      <w:rPr>
        <w:rFonts w:ascii="Garamond" w:eastAsiaTheme="minorEastAsia" w:hAnsi="Garamond" w:cs="Segoe UI"/>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40" w15:restartNumberingAfterBreak="0">
    <w:nsid w:val="779A1232"/>
    <w:multiLevelType w:val="multilevel"/>
    <w:tmpl w:val="96C0BC7E"/>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8F80709"/>
    <w:multiLevelType w:val="hybridMultilevel"/>
    <w:tmpl w:val="68CAA43C"/>
    <w:lvl w:ilvl="0" w:tplc="FB904DC4">
      <w:start w:val="1"/>
      <w:numFmt w:val="lowerRoman"/>
      <w:pStyle w:val="Subtitle"/>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A916EDB"/>
    <w:multiLevelType w:val="multilevel"/>
    <w:tmpl w:val="D3AABC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9"/>
  </w:num>
  <w:num w:numId="2">
    <w:abstractNumId w:val="1"/>
  </w:num>
  <w:num w:numId="3">
    <w:abstractNumId w:val="23"/>
  </w:num>
  <w:num w:numId="4">
    <w:abstractNumId w:val="38"/>
  </w:num>
  <w:num w:numId="5">
    <w:abstractNumId w:val="31"/>
  </w:num>
  <w:num w:numId="6">
    <w:abstractNumId w:val="37"/>
  </w:num>
  <w:num w:numId="7">
    <w:abstractNumId w:val="29"/>
  </w:num>
  <w:num w:numId="8">
    <w:abstractNumId w:val="21"/>
  </w:num>
  <w:num w:numId="9">
    <w:abstractNumId w:val="16"/>
  </w:num>
  <w:num w:numId="10">
    <w:abstractNumId w:val="12"/>
  </w:num>
  <w:num w:numId="11">
    <w:abstractNumId w:val="42"/>
  </w:num>
  <w:num w:numId="12">
    <w:abstractNumId w:val="0"/>
  </w:num>
  <w:num w:numId="13">
    <w:abstractNumId w:val="3"/>
  </w:num>
  <w:num w:numId="14">
    <w:abstractNumId w:val="26"/>
  </w:num>
  <w:num w:numId="15">
    <w:abstractNumId w:val="15"/>
  </w:num>
  <w:num w:numId="16">
    <w:abstractNumId w:val="11"/>
  </w:num>
  <w:num w:numId="17">
    <w:abstractNumId w:val="34"/>
  </w:num>
  <w:num w:numId="18">
    <w:abstractNumId w:val="2"/>
  </w:num>
  <w:num w:numId="19">
    <w:abstractNumId w:val="33"/>
  </w:num>
  <w:num w:numId="20">
    <w:abstractNumId w:val="32"/>
  </w:num>
  <w:num w:numId="21">
    <w:abstractNumId w:val="22"/>
  </w:num>
  <w:num w:numId="22">
    <w:abstractNumId w:val="18"/>
  </w:num>
  <w:num w:numId="23">
    <w:abstractNumId w:val="41"/>
  </w:num>
  <w:num w:numId="24">
    <w:abstractNumId w:val="35"/>
  </w:num>
  <w:num w:numId="25">
    <w:abstractNumId w:val="27"/>
  </w:num>
  <w:num w:numId="26">
    <w:abstractNumId w:val="5"/>
  </w:num>
  <w:num w:numId="27">
    <w:abstractNumId w:val="13"/>
  </w:num>
  <w:num w:numId="28">
    <w:abstractNumId w:val="25"/>
  </w:num>
  <w:num w:numId="29">
    <w:abstractNumId w:val="10"/>
  </w:num>
  <w:num w:numId="30">
    <w:abstractNumId w:val="36"/>
  </w:num>
  <w:num w:numId="31">
    <w:abstractNumId w:val="9"/>
  </w:num>
  <w:num w:numId="32">
    <w:abstractNumId w:val="20"/>
  </w:num>
  <w:num w:numId="33">
    <w:abstractNumId w:val="7"/>
  </w:num>
  <w:num w:numId="34">
    <w:abstractNumId w:val="30"/>
  </w:num>
  <w:num w:numId="35">
    <w:abstractNumId w:val="40"/>
  </w:num>
  <w:num w:numId="36">
    <w:abstractNumId w:val="19"/>
  </w:num>
  <w:num w:numId="37">
    <w:abstractNumId w:val="14"/>
  </w:num>
  <w:num w:numId="38">
    <w:abstractNumId w:val="13"/>
    <w:lvlOverride w:ilvl="0">
      <w:startOverride w:val="18"/>
    </w:lvlOverride>
  </w:num>
  <w:num w:numId="39">
    <w:abstractNumId w:val="28"/>
  </w:num>
  <w:num w:numId="40">
    <w:abstractNumId w:val="17"/>
  </w:num>
  <w:num w:numId="41">
    <w:abstractNumId w:val="17"/>
    <w:lvlOverride w:ilvl="0">
      <w:startOverride w:val="7"/>
    </w:lvlOverride>
  </w:num>
  <w:num w:numId="42">
    <w:abstractNumId w:val="24"/>
  </w:num>
  <w:num w:numId="43">
    <w:abstractNumId w:val="8"/>
  </w:num>
  <w:num w:numId="44">
    <w:abstractNumId w:val="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s-ES_tradnl"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1NDY1MDYwMTQzMDVU0lEKTi0uzszPAykwsqwFAOyRDZctAAAA"/>
  </w:docVars>
  <w:rsids>
    <w:rsidRoot w:val="00BE0736"/>
    <w:rsid w:val="00000224"/>
    <w:rsid w:val="00000F82"/>
    <w:rsid w:val="00007967"/>
    <w:rsid w:val="00010F39"/>
    <w:rsid w:val="0001100A"/>
    <w:rsid w:val="000147C3"/>
    <w:rsid w:val="00015218"/>
    <w:rsid w:val="0001610F"/>
    <w:rsid w:val="00020BBE"/>
    <w:rsid w:val="00021D2A"/>
    <w:rsid w:val="00022E0F"/>
    <w:rsid w:val="00023F51"/>
    <w:rsid w:val="00026F69"/>
    <w:rsid w:val="00027ABB"/>
    <w:rsid w:val="000311F1"/>
    <w:rsid w:val="00032798"/>
    <w:rsid w:val="000346DE"/>
    <w:rsid w:val="00040BC8"/>
    <w:rsid w:val="00041D7A"/>
    <w:rsid w:val="00042F9C"/>
    <w:rsid w:val="00046776"/>
    <w:rsid w:val="00050040"/>
    <w:rsid w:val="0005248D"/>
    <w:rsid w:val="00055303"/>
    <w:rsid w:val="00055D2F"/>
    <w:rsid w:val="00062293"/>
    <w:rsid w:val="0006263B"/>
    <w:rsid w:val="000632FA"/>
    <w:rsid w:val="00064857"/>
    <w:rsid w:val="00064BF3"/>
    <w:rsid w:val="00064CF0"/>
    <w:rsid w:val="0006545A"/>
    <w:rsid w:val="000664EF"/>
    <w:rsid w:val="00067788"/>
    <w:rsid w:val="00070107"/>
    <w:rsid w:val="00070BD5"/>
    <w:rsid w:val="0007300B"/>
    <w:rsid w:val="00080178"/>
    <w:rsid w:val="00083085"/>
    <w:rsid w:val="00085928"/>
    <w:rsid w:val="000862F2"/>
    <w:rsid w:val="00086AB1"/>
    <w:rsid w:val="00092667"/>
    <w:rsid w:val="00092C4A"/>
    <w:rsid w:val="00094816"/>
    <w:rsid w:val="00097B6F"/>
    <w:rsid w:val="000A1732"/>
    <w:rsid w:val="000A19C2"/>
    <w:rsid w:val="000A2ABA"/>
    <w:rsid w:val="000A646E"/>
    <w:rsid w:val="000B0EDA"/>
    <w:rsid w:val="000B42EC"/>
    <w:rsid w:val="000B52A1"/>
    <w:rsid w:val="000B7B9A"/>
    <w:rsid w:val="000C1A68"/>
    <w:rsid w:val="000C2785"/>
    <w:rsid w:val="000C3E96"/>
    <w:rsid w:val="000C511D"/>
    <w:rsid w:val="000C54C8"/>
    <w:rsid w:val="000C6A46"/>
    <w:rsid w:val="000C729E"/>
    <w:rsid w:val="000D0710"/>
    <w:rsid w:val="000D0DF2"/>
    <w:rsid w:val="000D30EE"/>
    <w:rsid w:val="000D595D"/>
    <w:rsid w:val="000E04EA"/>
    <w:rsid w:val="000E0CA3"/>
    <w:rsid w:val="000E6C1A"/>
    <w:rsid w:val="000F0DFF"/>
    <w:rsid w:val="000F3998"/>
    <w:rsid w:val="000F3C51"/>
    <w:rsid w:val="000F7D09"/>
    <w:rsid w:val="00110538"/>
    <w:rsid w:val="00113CEC"/>
    <w:rsid w:val="0011538E"/>
    <w:rsid w:val="00116BB3"/>
    <w:rsid w:val="00122DD7"/>
    <w:rsid w:val="0012594C"/>
    <w:rsid w:val="001267C4"/>
    <w:rsid w:val="0012760F"/>
    <w:rsid w:val="00134429"/>
    <w:rsid w:val="00134CC6"/>
    <w:rsid w:val="001436B1"/>
    <w:rsid w:val="00144EF1"/>
    <w:rsid w:val="00145D77"/>
    <w:rsid w:val="00147A7F"/>
    <w:rsid w:val="001551B7"/>
    <w:rsid w:val="001566B8"/>
    <w:rsid w:val="00157CBE"/>
    <w:rsid w:val="00157F7D"/>
    <w:rsid w:val="001607AF"/>
    <w:rsid w:val="00160804"/>
    <w:rsid w:val="0016386B"/>
    <w:rsid w:val="001653D4"/>
    <w:rsid w:val="001724C5"/>
    <w:rsid w:val="00174B41"/>
    <w:rsid w:val="00175CE1"/>
    <w:rsid w:val="00177AC4"/>
    <w:rsid w:val="001848C4"/>
    <w:rsid w:val="00187654"/>
    <w:rsid w:val="00187B62"/>
    <w:rsid w:val="001903D3"/>
    <w:rsid w:val="0019391E"/>
    <w:rsid w:val="001A24EF"/>
    <w:rsid w:val="001A29CE"/>
    <w:rsid w:val="001A4C80"/>
    <w:rsid w:val="001A629E"/>
    <w:rsid w:val="001A70A9"/>
    <w:rsid w:val="001B4786"/>
    <w:rsid w:val="001B568E"/>
    <w:rsid w:val="001B6846"/>
    <w:rsid w:val="001C37DC"/>
    <w:rsid w:val="001C64C7"/>
    <w:rsid w:val="001E79D8"/>
    <w:rsid w:val="001E7C9E"/>
    <w:rsid w:val="001E7E40"/>
    <w:rsid w:val="001F0471"/>
    <w:rsid w:val="001F0FE6"/>
    <w:rsid w:val="001F31B9"/>
    <w:rsid w:val="00202651"/>
    <w:rsid w:val="00202C5E"/>
    <w:rsid w:val="00203AFE"/>
    <w:rsid w:val="00203F32"/>
    <w:rsid w:val="002054E1"/>
    <w:rsid w:val="002055CD"/>
    <w:rsid w:val="00210D00"/>
    <w:rsid w:val="00215AFB"/>
    <w:rsid w:val="00217B91"/>
    <w:rsid w:val="0022002F"/>
    <w:rsid w:val="00226672"/>
    <w:rsid w:val="002273CB"/>
    <w:rsid w:val="00232023"/>
    <w:rsid w:val="0023333B"/>
    <w:rsid w:val="0023427C"/>
    <w:rsid w:val="00237892"/>
    <w:rsid w:val="0024032A"/>
    <w:rsid w:val="002426EE"/>
    <w:rsid w:val="002463F8"/>
    <w:rsid w:val="00246C44"/>
    <w:rsid w:val="00247382"/>
    <w:rsid w:val="002477BB"/>
    <w:rsid w:val="00247F21"/>
    <w:rsid w:val="0025002B"/>
    <w:rsid w:val="0025044F"/>
    <w:rsid w:val="0025129A"/>
    <w:rsid w:val="002516DF"/>
    <w:rsid w:val="00251D83"/>
    <w:rsid w:val="002565BA"/>
    <w:rsid w:val="00261235"/>
    <w:rsid w:val="002641FD"/>
    <w:rsid w:val="00264DB6"/>
    <w:rsid w:val="0026642C"/>
    <w:rsid w:val="00270710"/>
    <w:rsid w:val="00275202"/>
    <w:rsid w:val="00276B0E"/>
    <w:rsid w:val="00277FFB"/>
    <w:rsid w:val="0028107D"/>
    <w:rsid w:val="002816BC"/>
    <w:rsid w:val="00285EAE"/>
    <w:rsid w:val="00286A4D"/>
    <w:rsid w:val="00292037"/>
    <w:rsid w:val="002A315A"/>
    <w:rsid w:val="002A3575"/>
    <w:rsid w:val="002A722B"/>
    <w:rsid w:val="002B1866"/>
    <w:rsid w:val="002B50C5"/>
    <w:rsid w:val="002B6003"/>
    <w:rsid w:val="002B75F5"/>
    <w:rsid w:val="002B7A0B"/>
    <w:rsid w:val="002C6DB6"/>
    <w:rsid w:val="002D0428"/>
    <w:rsid w:val="002D22C7"/>
    <w:rsid w:val="002D3FC8"/>
    <w:rsid w:val="002D65F5"/>
    <w:rsid w:val="002E0177"/>
    <w:rsid w:val="002E2D92"/>
    <w:rsid w:val="002E4124"/>
    <w:rsid w:val="002E6539"/>
    <w:rsid w:val="002F0195"/>
    <w:rsid w:val="002F1453"/>
    <w:rsid w:val="002F46BC"/>
    <w:rsid w:val="002F74CB"/>
    <w:rsid w:val="00304D85"/>
    <w:rsid w:val="00305BFD"/>
    <w:rsid w:val="00311935"/>
    <w:rsid w:val="0031289E"/>
    <w:rsid w:val="003132A3"/>
    <w:rsid w:val="003158CC"/>
    <w:rsid w:val="0031701F"/>
    <w:rsid w:val="00325230"/>
    <w:rsid w:val="00333263"/>
    <w:rsid w:val="003372E6"/>
    <w:rsid w:val="00337BF4"/>
    <w:rsid w:val="003436C5"/>
    <w:rsid w:val="0034485C"/>
    <w:rsid w:val="003460A5"/>
    <w:rsid w:val="00346C61"/>
    <w:rsid w:val="00347031"/>
    <w:rsid w:val="00356871"/>
    <w:rsid w:val="00362864"/>
    <w:rsid w:val="0036622F"/>
    <w:rsid w:val="0036713B"/>
    <w:rsid w:val="0037152A"/>
    <w:rsid w:val="00371F19"/>
    <w:rsid w:val="003735A5"/>
    <w:rsid w:val="00374A0F"/>
    <w:rsid w:val="0037736D"/>
    <w:rsid w:val="00377832"/>
    <w:rsid w:val="0037797F"/>
    <w:rsid w:val="00381222"/>
    <w:rsid w:val="00384230"/>
    <w:rsid w:val="003861D1"/>
    <w:rsid w:val="00387369"/>
    <w:rsid w:val="00391AB7"/>
    <w:rsid w:val="00393F1C"/>
    <w:rsid w:val="00394F21"/>
    <w:rsid w:val="00397D49"/>
    <w:rsid w:val="003A1236"/>
    <w:rsid w:val="003A2EDA"/>
    <w:rsid w:val="003A6C4C"/>
    <w:rsid w:val="003B1268"/>
    <w:rsid w:val="003B3596"/>
    <w:rsid w:val="003B44CD"/>
    <w:rsid w:val="003C2D06"/>
    <w:rsid w:val="003C2D12"/>
    <w:rsid w:val="003C2FD3"/>
    <w:rsid w:val="003C5BEA"/>
    <w:rsid w:val="003C63BB"/>
    <w:rsid w:val="003C689F"/>
    <w:rsid w:val="003D0D34"/>
    <w:rsid w:val="003D0FEC"/>
    <w:rsid w:val="003D36CE"/>
    <w:rsid w:val="003D39AB"/>
    <w:rsid w:val="003D75FB"/>
    <w:rsid w:val="003D7E30"/>
    <w:rsid w:val="003E163B"/>
    <w:rsid w:val="003E2ABF"/>
    <w:rsid w:val="003E55FF"/>
    <w:rsid w:val="003E5D15"/>
    <w:rsid w:val="003F0AC3"/>
    <w:rsid w:val="003F3B0E"/>
    <w:rsid w:val="003F48BB"/>
    <w:rsid w:val="003F605E"/>
    <w:rsid w:val="004001A8"/>
    <w:rsid w:val="00402DEC"/>
    <w:rsid w:val="00404AB9"/>
    <w:rsid w:val="00404E55"/>
    <w:rsid w:val="0040595E"/>
    <w:rsid w:val="00407423"/>
    <w:rsid w:val="004101E3"/>
    <w:rsid w:val="004102E0"/>
    <w:rsid w:val="00415622"/>
    <w:rsid w:val="00415DCD"/>
    <w:rsid w:val="004215C9"/>
    <w:rsid w:val="004216BE"/>
    <w:rsid w:val="00422473"/>
    <w:rsid w:val="00423724"/>
    <w:rsid w:val="00424A1D"/>
    <w:rsid w:val="004264A1"/>
    <w:rsid w:val="0043050C"/>
    <w:rsid w:val="00431F2A"/>
    <w:rsid w:val="00432158"/>
    <w:rsid w:val="004321FC"/>
    <w:rsid w:val="004359FD"/>
    <w:rsid w:val="0043718F"/>
    <w:rsid w:val="004377A7"/>
    <w:rsid w:val="00440FE6"/>
    <w:rsid w:val="00442015"/>
    <w:rsid w:val="00443A26"/>
    <w:rsid w:val="00446B6C"/>
    <w:rsid w:val="00446FE2"/>
    <w:rsid w:val="0045078F"/>
    <w:rsid w:val="00453576"/>
    <w:rsid w:val="00454070"/>
    <w:rsid w:val="00456CF0"/>
    <w:rsid w:val="004617AC"/>
    <w:rsid w:val="004625EC"/>
    <w:rsid w:val="00464003"/>
    <w:rsid w:val="00472C9B"/>
    <w:rsid w:val="0047410C"/>
    <w:rsid w:val="00480549"/>
    <w:rsid w:val="00481A05"/>
    <w:rsid w:val="00485346"/>
    <w:rsid w:val="00490D85"/>
    <w:rsid w:val="00490DB7"/>
    <w:rsid w:val="0049112A"/>
    <w:rsid w:val="00494263"/>
    <w:rsid w:val="00495FDB"/>
    <w:rsid w:val="00496936"/>
    <w:rsid w:val="00496CB0"/>
    <w:rsid w:val="00497E5E"/>
    <w:rsid w:val="004B02D5"/>
    <w:rsid w:val="004B14AB"/>
    <w:rsid w:val="004B232C"/>
    <w:rsid w:val="004B3B67"/>
    <w:rsid w:val="004C31CF"/>
    <w:rsid w:val="004C5FD7"/>
    <w:rsid w:val="004C7E02"/>
    <w:rsid w:val="004D4788"/>
    <w:rsid w:val="004E035C"/>
    <w:rsid w:val="004E1A70"/>
    <w:rsid w:val="004E51CC"/>
    <w:rsid w:val="004E6AA4"/>
    <w:rsid w:val="004F28A6"/>
    <w:rsid w:val="004F2AEA"/>
    <w:rsid w:val="004F3B52"/>
    <w:rsid w:val="004F587D"/>
    <w:rsid w:val="004F612E"/>
    <w:rsid w:val="0050288B"/>
    <w:rsid w:val="00503A1D"/>
    <w:rsid w:val="0050425B"/>
    <w:rsid w:val="005048ED"/>
    <w:rsid w:val="00510655"/>
    <w:rsid w:val="00510E87"/>
    <w:rsid w:val="005134F2"/>
    <w:rsid w:val="005135F4"/>
    <w:rsid w:val="00521337"/>
    <w:rsid w:val="005219BC"/>
    <w:rsid w:val="00521BEE"/>
    <w:rsid w:val="00522F68"/>
    <w:rsid w:val="005306CD"/>
    <w:rsid w:val="00535899"/>
    <w:rsid w:val="00537C52"/>
    <w:rsid w:val="0054066B"/>
    <w:rsid w:val="005421AF"/>
    <w:rsid w:val="00545EA2"/>
    <w:rsid w:val="0054601D"/>
    <w:rsid w:val="005466B6"/>
    <w:rsid w:val="005470BC"/>
    <w:rsid w:val="005470CE"/>
    <w:rsid w:val="0054789F"/>
    <w:rsid w:val="00550067"/>
    <w:rsid w:val="00550128"/>
    <w:rsid w:val="00552A0B"/>
    <w:rsid w:val="005554F7"/>
    <w:rsid w:val="00560B02"/>
    <w:rsid w:val="005611A9"/>
    <w:rsid w:val="00561853"/>
    <w:rsid w:val="00562F49"/>
    <w:rsid w:val="005641A8"/>
    <w:rsid w:val="0056672D"/>
    <w:rsid w:val="005757C3"/>
    <w:rsid w:val="00575DC3"/>
    <w:rsid w:val="0058436F"/>
    <w:rsid w:val="00590081"/>
    <w:rsid w:val="00590C82"/>
    <w:rsid w:val="005923BA"/>
    <w:rsid w:val="00592FA4"/>
    <w:rsid w:val="00595B39"/>
    <w:rsid w:val="005A373D"/>
    <w:rsid w:val="005A536E"/>
    <w:rsid w:val="005A581B"/>
    <w:rsid w:val="005A702C"/>
    <w:rsid w:val="005A7349"/>
    <w:rsid w:val="005A7B11"/>
    <w:rsid w:val="005B5CF0"/>
    <w:rsid w:val="005C0A35"/>
    <w:rsid w:val="005C5207"/>
    <w:rsid w:val="005C605B"/>
    <w:rsid w:val="005D0D73"/>
    <w:rsid w:val="005D19FA"/>
    <w:rsid w:val="005D5E00"/>
    <w:rsid w:val="005D6466"/>
    <w:rsid w:val="005E10F0"/>
    <w:rsid w:val="005E2FC2"/>
    <w:rsid w:val="005E308D"/>
    <w:rsid w:val="005E7435"/>
    <w:rsid w:val="005F3498"/>
    <w:rsid w:val="005F3A22"/>
    <w:rsid w:val="005F4AA6"/>
    <w:rsid w:val="005F509B"/>
    <w:rsid w:val="006036D8"/>
    <w:rsid w:val="00604EB6"/>
    <w:rsid w:val="0061091D"/>
    <w:rsid w:val="00611288"/>
    <w:rsid w:val="0061448D"/>
    <w:rsid w:val="00615463"/>
    <w:rsid w:val="00617C6A"/>
    <w:rsid w:val="00621F15"/>
    <w:rsid w:val="00624ACE"/>
    <w:rsid w:val="00625BC5"/>
    <w:rsid w:val="00631521"/>
    <w:rsid w:val="00633043"/>
    <w:rsid w:val="006336B9"/>
    <w:rsid w:val="006412EA"/>
    <w:rsid w:val="00641C9D"/>
    <w:rsid w:val="006455BD"/>
    <w:rsid w:val="00647614"/>
    <w:rsid w:val="006529B9"/>
    <w:rsid w:val="00656F84"/>
    <w:rsid w:val="00657A02"/>
    <w:rsid w:val="00662FA4"/>
    <w:rsid w:val="006635D3"/>
    <w:rsid w:val="00664B94"/>
    <w:rsid w:val="00664EFB"/>
    <w:rsid w:val="0067043B"/>
    <w:rsid w:val="00674562"/>
    <w:rsid w:val="00680152"/>
    <w:rsid w:val="00681AD4"/>
    <w:rsid w:val="006836EB"/>
    <w:rsid w:val="00683EFB"/>
    <w:rsid w:val="00684625"/>
    <w:rsid w:val="00685B4D"/>
    <w:rsid w:val="00686445"/>
    <w:rsid w:val="00686D46"/>
    <w:rsid w:val="0069117E"/>
    <w:rsid w:val="00691EB6"/>
    <w:rsid w:val="00692E0F"/>
    <w:rsid w:val="00695623"/>
    <w:rsid w:val="006970C4"/>
    <w:rsid w:val="006A3525"/>
    <w:rsid w:val="006A4C6F"/>
    <w:rsid w:val="006A4EC9"/>
    <w:rsid w:val="006B1B23"/>
    <w:rsid w:val="006B3873"/>
    <w:rsid w:val="006B7355"/>
    <w:rsid w:val="006B7C9B"/>
    <w:rsid w:val="006C0374"/>
    <w:rsid w:val="006C4F4E"/>
    <w:rsid w:val="006C510C"/>
    <w:rsid w:val="006D0985"/>
    <w:rsid w:val="006D13C2"/>
    <w:rsid w:val="006D3E3A"/>
    <w:rsid w:val="006E169D"/>
    <w:rsid w:val="006E2E27"/>
    <w:rsid w:val="006E5961"/>
    <w:rsid w:val="006E7FDB"/>
    <w:rsid w:val="006F0A49"/>
    <w:rsid w:val="006F3BE5"/>
    <w:rsid w:val="006F5FBE"/>
    <w:rsid w:val="00704628"/>
    <w:rsid w:val="0070623A"/>
    <w:rsid w:val="00706999"/>
    <w:rsid w:val="00706C4A"/>
    <w:rsid w:val="007071B5"/>
    <w:rsid w:val="00712941"/>
    <w:rsid w:val="00717937"/>
    <w:rsid w:val="00725E10"/>
    <w:rsid w:val="007274A6"/>
    <w:rsid w:val="00733B39"/>
    <w:rsid w:val="00742734"/>
    <w:rsid w:val="007541DF"/>
    <w:rsid w:val="007560FC"/>
    <w:rsid w:val="00764ECA"/>
    <w:rsid w:val="00765065"/>
    <w:rsid w:val="00774EB9"/>
    <w:rsid w:val="007763EB"/>
    <w:rsid w:val="0077725D"/>
    <w:rsid w:val="00777D07"/>
    <w:rsid w:val="00777E52"/>
    <w:rsid w:val="00782295"/>
    <w:rsid w:val="00785216"/>
    <w:rsid w:val="00791C90"/>
    <w:rsid w:val="007932A9"/>
    <w:rsid w:val="007945B6"/>
    <w:rsid w:val="007A0CDB"/>
    <w:rsid w:val="007A495F"/>
    <w:rsid w:val="007A5922"/>
    <w:rsid w:val="007A7099"/>
    <w:rsid w:val="007B0AC5"/>
    <w:rsid w:val="007B1B1C"/>
    <w:rsid w:val="007B2EBD"/>
    <w:rsid w:val="007B73B4"/>
    <w:rsid w:val="007C20E0"/>
    <w:rsid w:val="007C3514"/>
    <w:rsid w:val="007C37FE"/>
    <w:rsid w:val="007D2383"/>
    <w:rsid w:val="007D2D17"/>
    <w:rsid w:val="007D30CB"/>
    <w:rsid w:val="007D47E9"/>
    <w:rsid w:val="007D7FDE"/>
    <w:rsid w:val="007E3692"/>
    <w:rsid w:val="007E3C7B"/>
    <w:rsid w:val="007F00D4"/>
    <w:rsid w:val="007F3161"/>
    <w:rsid w:val="007F390E"/>
    <w:rsid w:val="007F4D41"/>
    <w:rsid w:val="007F6C79"/>
    <w:rsid w:val="007F7681"/>
    <w:rsid w:val="008006D9"/>
    <w:rsid w:val="00802E62"/>
    <w:rsid w:val="00806982"/>
    <w:rsid w:val="008134F0"/>
    <w:rsid w:val="00816F23"/>
    <w:rsid w:val="00817AEE"/>
    <w:rsid w:val="00823776"/>
    <w:rsid w:val="0082581D"/>
    <w:rsid w:val="0082642C"/>
    <w:rsid w:val="008265BC"/>
    <w:rsid w:val="008271FB"/>
    <w:rsid w:val="00830A1C"/>
    <w:rsid w:val="00832BDC"/>
    <w:rsid w:val="00834396"/>
    <w:rsid w:val="008451C2"/>
    <w:rsid w:val="0084557C"/>
    <w:rsid w:val="00846ED0"/>
    <w:rsid w:val="0085445D"/>
    <w:rsid w:val="00854D23"/>
    <w:rsid w:val="0086293F"/>
    <w:rsid w:val="008637C0"/>
    <w:rsid w:val="008670CB"/>
    <w:rsid w:val="00870283"/>
    <w:rsid w:val="008738D1"/>
    <w:rsid w:val="00874BEE"/>
    <w:rsid w:val="0087653B"/>
    <w:rsid w:val="00877A69"/>
    <w:rsid w:val="00881EFB"/>
    <w:rsid w:val="00884CB2"/>
    <w:rsid w:val="0089006C"/>
    <w:rsid w:val="00890261"/>
    <w:rsid w:val="00891284"/>
    <w:rsid w:val="008919E6"/>
    <w:rsid w:val="00892B05"/>
    <w:rsid w:val="008972D9"/>
    <w:rsid w:val="008A039C"/>
    <w:rsid w:val="008A0863"/>
    <w:rsid w:val="008A0983"/>
    <w:rsid w:val="008A0D31"/>
    <w:rsid w:val="008A39FA"/>
    <w:rsid w:val="008A51B2"/>
    <w:rsid w:val="008B1A47"/>
    <w:rsid w:val="008B24A2"/>
    <w:rsid w:val="008B54E0"/>
    <w:rsid w:val="008C64E3"/>
    <w:rsid w:val="008C7D44"/>
    <w:rsid w:val="008D1CFF"/>
    <w:rsid w:val="008D4E7A"/>
    <w:rsid w:val="008D5B9A"/>
    <w:rsid w:val="008D70CB"/>
    <w:rsid w:val="008D7DED"/>
    <w:rsid w:val="008E1548"/>
    <w:rsid w:val="008E22CE"/>
    <w:rsid w:val="008E5C48"/>
    <w:rsid w:val="008F5124"/>
    <w:rsid w:val="009012D2"/>
    <w:rsid w:val="009034B2"/>
    <w:rsid w:val="00903645"/>
    <w:rsid w:val="00905050"/>
    <w:rsid w:val="00911F28"/>
    <w:rsid w:val="00912823"/>
    <w:rsid w:val="00912B23"/>
    <w:rsid w:val="00913BF0"/>
    <w:rsid w:val="00925968"/>
    <w:rsid w:val="00925F62"/>
    <w:rsid w:val="009308BC"/>
    <w:rsid w:val="00930EB4"/>
    <w:rsid w:val="00932655"/>
    <w:rsid w:val="00937D7D"/>
    <w:rsid w:val="009448E7"/>
    <w:rsid w:val="00946BB1"/>
    <w:rsid w:val="00953178"/>
    <w:rsid w:val="009546F6"/>
    <w:rsid w:val="00957B2B"/>
    <w:rsid w:val="0096068C"/>
    <w:rsid w:val="00962CC6"/>
    <w:rsid w:val="00967E9F"/>
    <w:rsid w:val="00970FBE"/>
    <w:rsid w:val="009719EC"/>
    <w:rsid w:val="00971BDA"/>
    <w:rsid w:val="00972D91"/>
    <w:rsid w:val="0097317A"/>
    <w:rsid w:val="0097380A"/>
    <w:rsid w:val="00973D98"/>
    <w:rsid w:val="0097656A"/>
    <w:rsid w:val="00980DF3"/>
    <w:rsid w:val="009835BB"/>
    <w:rsid w:val="00990142"/>
    <w:rsid w:val="009902AD"/>
    <w:rsid w:val="00994706"/>
    <w:rsid w:val="00995252"/>
    <w:rsid w:val="00995CEF"/>
    <w:rsid w:val="009A0970"/>
    <w:rsid w:val="009A281A"/>
    <w:rsid w:val="009A3E96"/>
    <w:rsid w:val="009A453A"/>
    <w:rsid w:val="009B2E20"/>
    <w:rsid w:val="009B589C"/>
    <w:rsid w:val="009B6B5B"/>
    <w:rsid w:val="009B77D7"/>
    <w:rsid w:val="009C13D0"/>
    <w:rsid w:val="009C1F34"/>
    <w:rsid w:val="009C558C"/>
    <w:rsid w:val="009C646D"/>
    <w:rsid w:val="009D1F25"/>
    <w:rsid w:val="009D41F1"/>
    <w:rsid w:val="009E052A"/>
    <w:rsid w:val="009E1B64"/>
    <w:rsid w:val="009E7269"/>
    <w:rsid w:val="009F0A91"/>
    <w:rsid w:val="009F4754"/>
    <w:rsid w:val="00A03040"/>
    <w:rsid w:val="00A0353B"/>
    <w:rsid w:val="00A0700B"/>
    <w:rsid w:val="00A137F8"/>
    <w:rsid w:val="00A15905"/>
    <w:rsid w:val="00A16138"/>
    <w:rsid w:val="00A2027B"/>
    <w:rsid w:val="00A20E32"/>
    <w:rsid w:val="00A20F4F"/>
    <w:rsid w:val="00A2327C"/>
    <w:rsid w:val="00A25A42"/>
    <w:rsid w:val="00A265F0"/>
    <w:rsid w:val="00A3195C"/>
    <w:rsid w:val="00A33255"/>
    <w:rsid w:val="00A3423C"/>
    <w:rsid w:val="00A35759"/>
    <w:rsid w:val="00A4147C"/>
    <w:rsid w:val="00A441E6"/>
    <w:rsid w:val="00A45469"/>
    <w:rsid w:val="00A47137"/>
    <w:rsid w:val="00A5041F"/>
    <w:rsid w:val="00A532C3"/>
    <w:rsid w:val="00A60DD9"/>
    <w:rsid w:val="00A64369"/>
    <w:rsid w:val="00A8264C"/>
    <w:rsid w:val="00A834FA"/>
    <w:rsid w:val="00A852A4"/>
    <w:rsid w:val="00A87474"/>
    <w:rsid w:val="00A912CA"/>
    <w:rsid w:val="00A931CD"/>
    <w:rsid w:val="00A933D9"/>
    <w:rsid w:val="00A94BD7"/>
    <w:rsid w:val="00A95222"/>
    <w:rsid w:val="00A9658C"/>
    <w:rsid w:val="00A966B4"/>
    <w:rsid w:val="00AA0D41"/>
    <w:rsid w:val="00AA4226"/>
    <w:rsid w:val="00AA4294"/>
    <w:rsid w:val="00AC14E6"/>
    <w:rsid w:val="00AC5515"/>
    <w:rsid w:val="00AC5B8B"/>
    <w:rsid w:val="00AC6A4F"/>
    <w:rsid w:val="00AD056F"/>
    <w:rsid w:val="00AD2DB0"/>
    <w:rsid w:val="00AD6023"/>
    <w:rsid w:val="00AD6283"/>
    <w:rsid w:val="00AE0850"/>
    <w:rsid w:val="00AE6F97"/>
    <w:rsid w:val="00AF27E6"/>
    <w:rsid w:val="00AF4661"/>
    <w:rsid w:val="00AF62B5"/>
    <w:rsid w:val="00B006A5"/>
    <w:rsid w:val="00B05109"/>
    <w:rsid w:val="00B12E6C"/>
    <w:rsid w:val="00B13B4E"/>
    <w:rsid w:val="00B16180"/>
    <w:rsid w:val="00B23659"/>
    <w:rsid w:val="00B259C7"/>
    <w:rsid w:val="00B26676"/>
    <w:rsid w:val="00B304CD"/>
    <w:rsid w:val="00B310CF"/>
    <w:rsid w:val="00B31453"/>
    <w:rsid w:val="00B31FB6"/>
    <w:rsid w:val="00B425E2"/>
    <w:rsid w:val="00B45920"/>
    <w:rsid w:val="00B52F3E"/>
    <w:rsid w:val="00B563AA"/>
    <w:rsid w:val="00B61AFE"/>
    <w:rsid w:val="00B629B2"/>
    <w:rsid w:val="00B66FD7"/>
    <w:rsid w:val="00B67EBD"/>
    <w:rsid w:val="00B7148F"/>
    <w:rsid w:val="00B74AE9"/>
    <w:rsid w:val="00B80532"/>
    <w:rsid w:val="00B81BDA"/>
    <w:rsid w:val="00B82598"/>
    <w:rsid w:val="00B84DF7"/>
    <w:rsid w:val="00B85493"/>
    <w:rsid w:val="00B91747"/>
    <w:rsid w:val="00B946A7"/>
    <w:rsid w:val="00B977AE"/>
    <w:rsid w:val="00BA139D"/>
    <w:rsid w:val="00BA2070"/>
    <w:rsid w:val="00BA2A1F"/>
    <w:rsid w:val="00BA36A2"/>
    <w:rsid w:val="00BA5ED2"/>
    <w:rsid w:val="00BA695A"/>
    <w:rsid w:val="00BB5C76"/>
    <w:rsid w:val="00BB731B"/>
    <w:rsid w:val="00BC4CD4"/>
    <w:rsid w:val="00BE0736"/>
    <w:rsid w:val="00BE183D"/>
    <w:rsid w:val="00BE19BF"/>
    <w:rsid w:val="00BE1DD7"/>
    <w:rsid w:val="00BF5137"/>
    <w:rsid w:val="00C019F8"/>
    <w:rsid w:val="00C02077"/>
    <w:rsid w:val="00C0339C"/>
    <w:rsid w:val="00C03FB8"/>
    <w:rsid w:val="00C05226"/>
    <w:rsid w:val="00C05FD8"/>
    <w:rsid w:val="00C21DB6"/>
    <w:rsid w:val="00C302CA"/>
    <w:rsid w:val="00C30FBA"/>
    <w:rsid w:val="00C34ECF"/>
    <w:rsid w:val="00C35C13"/>
    <w:rsid w:val="00C362C3"/>
    <w:rsid w:val="00C44C5E"/>
    <w:rsid w:val="00C4572C"/>
    <w:rsid w:val="00C50D01"/>
    <w:rsid w:val="00C519CA"/>
    <w:rsid w:val="00C53E95"/>
    <w:rsid w:val="00C54135"/>
    <w:rsid w:val="00C55B60"/>
    <w:rsid w:val="00C565A0"/>
    <w:rsid w:val="00C56E99"/>
    <w:rsid w:val="00C64A4A"/>
    <w:rsid w:val="00C71CEA"/>
    <w:rsid w:val="00C749D5"/>
    <w:rsid w:val="00C80A89"/>
    <w:rsid w:val="00C853CC"/>
    <w:rsid w:val="00C853EA"/>
    <w:rsid w:val="00C913E3"/>
    <w:rsid w:val="00C94EEE"/>
    <w:rsid w:val="00C95F85"/>
    <w:rsid w:val="00C95FB6"/>
    <w:rsid w:val="00C976A6"/>
    <w:rsid w:val="00CA6D12"/>
    <w:rsid w:val="00CA71E7"/>
    <w:rsid w:val="00CB1C78"/>
    <w:rsid w:val="00CB1E81"/>
    <w:rsid w:val="00CB2BE5"/>
    <w:rsid w:val="00CB51FD"/>
    <w:rsid w:val="00CB7529"/>
    <w:rsid w:val="00CC0BFD"/>
    <w:rsid w:val="00CC0D5E"/>
    <w:rsid w:val="00CC141B"/>
    <w:rsid w:val="00CC3645"/>
    <w:rsid w:val="00CC37EE"/>
    <w:rsid w:val="00CC37F2"/>
    <w:rsid w:val="00CC4080"/>
    <w:rsid w:val="00CC4D5D"/>
    <w:rsid w:val="00CC6606"/>
    <w:rsid w:val="00CC757F"/>
    <w:rsid w:val="00CD0A65"/>
    <w:rsid w:val="00CD33FC"/>
    <w:rsid w:val="00CD5415"/>
    <w:rsid w:val="00CE1B01"/>
    <w:rsid w:val="00CE24E0"/>
    <w:rsid w:val="00CE37E7"/>
    <w:rsid w:val="00CE4244"/>
    <w:rsid w:val="00CF0271"/>
    <w:rsid w:val="00CF09F7"/>
    <w:rsid w:val="00CF0CFD"/>
    <w:rsid w:val="00CF25D2"/>
    <w:rsid w:val="00CF2668"/>
    <w:rsid w:val="00CF5EC2"/>
    <w:rsid w:val="00CF6002"/>
    <w:rsid w:val="00CF66E6"/>
    <w:rsid w:val="00CF7521"/>
    <w:rsid w:val="00D003B0"/>
    <w:rsid w:val="00D018C4"/>
    <w:rsid w:val="00D023EC"/>
    <w:rsid w:val="00D03848"/>
    <w:rsid w:val="00D06FC7"/>
    <w:rsid w:val="00D144A5"/>
    <w:rsid w:val="00D14A4E"/>
    <w:rsid w:val="00D239D9"/>
    <w:rsid w:val="00D2645D"/>
    <w:rsid w:val="00D34D39"/>
    <w:rsid w:val="00D40C05"/>
    <w:rsid w:val="00D472DA"/>
    <w:rsid w:val="00D47426"/>
    <w:rsid w:val="00D47888"/>
    <w:rsid w:val="00D50599"/>
    <w:rsid w:val="00D5060A"/>
    <w:rsid w:val="00D51314"/>
    <w:rsid w:val="00D52A9D"/>
    <w:rsid w:val="00D52BDB"/>
    <w:rsid w:val="00D545AE"/>
    <w:rsid w:val="00D57670"/>
    <w:rsid w:val="00D6170D"/>
    <w:rsid w:val="00D6172E"/>
    <w:rsid w:val="00D618BF"/>
    <w:rsid w:val="00D650C3"/>
    <w:rsid w:val="00D660E0"/>
    <w:rsid w:val="00D7375F"/>
    <w:rsid w:val="00D75551"/>
    <w:rsid w:val="00D75D34"/>
    <w:rsid w:val="00D82AA7"/>
    <w:rsid w:val="00D87056"/>
    <w:rsid w:val="00D87076"/>
    <w:rsid w:val="00D916F5"/>
    <w:rsid w:val="00D92B5F"/>
    <w:rsid w:val="00D93DD4"/>
    <w:rsid w:val="00D93E75"/>
    <w:rsid w:val="00D95E9C"/>
    <w:rsid w:val="00DA21F9"/>
    <w:rsid w:val="00DA46AE"/>
    <w:rsid w:val="00DA6B78"/>
    <w:rsid w:val="00DB0380"/>
    <w:rsid w:val="00DB1001"/>
    <w:rsid w:val="00DB1396"/>
    <w:rsid w:val="00DB3036"/>
    <w:rsid w:val="00DB4D0F"/>
    <w:rsid w:val="00DB7ED2"/>
    <w:rsid w:val="00DC1728"/>
    <w:rsid w:val="00DC4E70"/>
    <w:rsid w:val="00DD1BC2"/>
    <w:rsid w:val="00DD25FE"/>
    <w:rsid w:val="00DD514E"/>
    <w:rsid w:val="00DD5743"/>
    <w:rsid w:val="00DD6087"/>
    <w:rsid w:val="00DD6669"/>
    <w:rsid w:val="00DD6AB2"/>
    <w:rsid w:val="00DD7FF2"/>
    <w:rsid w:val="00DE1E58"/>
    <w:rsid w:val="00DE2F92"/>
    <w:rsid w:val="00DF085E"/>
    <w:rsid w:val="00DF49E7"/>
    <w:rsid w:val="00E0510A"/>
    <w:rsid w:val="00E13415"/>
    <w:rsid w:val="00E204E5"/>
    <w:rsid w:val="00E2250C"/>
    <w:rsid w:val="00E24399"/>
    <w:rsid w:val="00E27619"/>
    <w:rsid w:val="00E3029C"/>
    <w:rsid w:val="00E30B38"/>
    <w:rsid w:val="00E36521"/>
    <w:rsid w:val="00E41443"/>
    <w:rsid w:val="00E44077"/>
    <w:rsid w:val="00E451D0"/>
    <w:rsid w:val="00E46AA4"/>
    <w:rsid w:val="00E50694"/>
    <w:rsid w:val="00E53E36"/>
    <w:rsid w:val="00E540B8"/>
    <w:rsid w:val="00E54286"/>
    <w:rsid w:val="00E57676"/>
    <w:rsid w:val="00E62972"/>
    <w:rsid w:val="00E64E03"/>
    <w:rsid w:val="00E64F2C"/>
    <w:rsid w:val="00E65D6C"/>
    <w:rsid w:val="00E66423"/>
    <w:rsid w:val="00E66EB0"/>
    <w:rsid w:val="00E71D64"/>
    <w:rsid w:val="00E72AC7"/>
    <w:rsid w:val="00E77213"/>
    <w:rsid w:val="00E800FD"/>
    <w:rsid w:val="00E81981"/>
    <w:rsid w:val="00E90C43"/>
    <w:rsid w:val="00E917F9"/>
    <w:rsid w:val="00E9246C"/>
    <w:rsid w:val="00E93F7C"/>
    <w:rsid w:val="00E96D87"/>
    <w:rsid w:val="00EA187E"/>
    <w:rsid w:val="00EA28E7"/>
    <w:rsid w:val="00EA2D1E"/>
    <w:rsid w:val="00EA48A6"/>
    <w:rsid w:val="00EA5EA2"/>
    <w:rsid w:val="00EA61DD"/>
    <w:rsid w:val="00EA7DD8"/>
    <w:rsid w:val="00EB3C71"/>
    <w:rsid w:val="00EB5895"/>
    <w:rsid w:val="00EB59B6"/>
    <w:rsid w:val="00EB78C1"/>
    <w:rsid w:val="00EC0EA0"/>
    <w:rsid w:val="00EC1BCF"/>
    <w:rsid w:val="00EC2ECD"/>
    <w:rsid w:val="00EC365B"/>
    <w:rsid w:val="00EC3F44"/>
    <w:rsid w:val="00EC5BFE"/>
    <w:rsid w:val="00EC688B"/>
    <w:rsid w:val="00EC6AE1"/>
    <w:rsid w:val="00ED16D2"/>
    <w:rsid w:val="00ED2144"/>
    <w:rsid w:val="00ED36CE"/>
    <w:rsid w:val="00ED45FC"/>
    <w:rsid w:val="00ED4FC1"/>
    <w:rsid w:val="00EE29F4"/>
    <w:rsid w:val="00EE2F51"/>
    <w:rsid w:val="00EE5B5D"/>
    <w:rsid w:val="00EE6D75"/>
    <w:rsid w:val="00EF1242"/>
    <w:rsid w:val="00EF2187"/>
    <w:rsid w:val="00EF2BDB"/>
    <w:rsid w:val="00EF3057"/>
    <w:rsid w:val="00EF32D9"/>
    <w:rsid w:val="00EF33B9"/>
    <w:rsid w:val="00EF36E9"/>
    <w:rsid w:val="00EF7C6F"/>
    <w:rsid w:val="00F046E4"/>
    <w:rsid w:val="00F0522D"/>
    <w:rsid w:val="00F067DF"/>
    <w:rsid w:val="00F13B50"/>
    <w:rsid w:val="00F13F28"/>
    <w:rsid w:val="00F14D9A"/>
    <w:rsid w:val="00F154A5"/>
    <w:rsid w:val="00F17185"/>
    <w:rsid w:val="00F17C8A"/>
    <w:rsid w:val="00F209E2"/>
    <w:rsid w:val="00F25FFF"/>
    <w:rsid w:val="00F26C2C"/>
    <w:rsid w:val="00F26E04"/>
    <w:rsid w:val="00F32B95"/>
    <w:rsid w:val="00F35046"/>
    <w:rsid w:val="00F4157B"/>
    <w:rsid w:val="00F41D9C"/>
    <w:rsid w:val="00F45E93"/>
    <w:rsid w:val="00F54212"/>
    <w:rsid w:val="00F54285"/>
    <w:rsid w:val="00F55184"/>
    <w:rsid w:val="00F56F2B"/>
    <w:rsid w:val="00F61156"/>
    <w:rsid w:val="00F63D18"/>
    <w:rsid w:val="00F64830"/>
    <w:rsid w:val="00F80AAC"/>
    <w:rsid w:val="00F81DED"/>
    <w:rsid w:val="00F83326"/>
    <w:rsid w:val="00F91741"/>
    <w:rsid w:val="00F91C7F"/>
    <w:rsid w:val="00F92877"/>
    <w:rsid w:val="00F94507"/>
    <w:rsid w:val="00F94F32"/>
    <w:rsid w:val="00F95ED3"/>
    <w:rsid w:val="00F97025"/>
    <w:rsid w:val="00FA0D04"/>
    <w:rsid w:val="00FA24D6"/>
    <w:rsid w:val="00FA3BAD"/>
    <w:rsid w:val="00FA50FE"/>
    <w:rsid w:val="00FB2A9A"/>
    <w:rsid w:val="00FB3A30"/>
    <w:rsid w:val="00FB61EE"/>
    <w:rsid w:val="00FB7518"/>
    <w:rsid w:val="00FB7BDC"/>
    <w:rsid w:val="00FC1D99"/>
    <w:rsid w:val="00FC462F"/>
    <w:rsid w:val="00FC4BDF"/>
    <w:rsid w:val="00FC5DFA"/>
    <w:rsid w:val="00FD0065"/>
    <w:rsid w:val="00FD05F8"/>
    <w:rsid w:val="00FD693A"/>
    <w:rsid w:val="00FE0098"/>
    <w:rsid w:val="00FE4261"/>
    <w:rsid w:val="00FE4E86"/>
    <w:rsid w:val="00FF3D4B"/>
    <w:rsid w:val="00FF48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32462"/>
  <w15:chartTrackingRefBased/>
  <w15:docId w15:val="{AC53EB8D-37D9-4570-B330-E679BC45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27C"/>
    <w:pPr>
      <w:snapToGrid w:val="0"/>
      <w:spacing w:before="240" w:after="240" w:line="360" w:lineRule="auto"/>
      <w:ind w:firstLine="567"/>
      <w:jc w:val="both"/>
    </w:pPr>
    <w:rPr>
      <w:rFonts w:asciiTheme="majorBidi" w:hAnsiTheme="majorBidi" w:cstheme="majorBidi"/>
    </w:rPr>
  </w:style>
  <w:style w:type="paragraph" w:styleId="Heading1">
    <w:name w:val="heading 1"/>
    <w:basedOn w:val="Normal"/>
    <w:next w:val="Normal"/>
    <w:link w:val="Heading1Char"/>
    <w:uiPriority w:val="9"/>
    <w:qFormat/>
    <w:rsid w:val="0023427C"/>
    <w:pPr>
      <w:keepNext/>
      <w:keepLines/>
      <w:numPr>
        <w:numId w:val="42"/>
      </w:numPr>
      <w:snapToGrid/>
      <w:spacing w:before="0" w:after="160"/>
      <w:contextualSpacing/>
      <w:outlineLvl w:val="0"/>
    </w:pPr>
    <w:rPr>
      <w:b/>
      <w:bCs/>
      <w:color w:val="000000" w:themeColor="text1"/>
      <w:sz w:val="24"/>
      <w:szCs w:val="24"/>
    </w:rPr>
  </w:style>
  <w:style w:type="paragraph" w:styleId="Heading2">
    <w:name w:val="heading 2"/>
    <w:basedOn w:val="Normal"/>
    <w:next w:val="Normal"/>
    <w:link w:val="Heading2Char"/>
    <w:uiPriority w:val="9"/>
    <w:unhideWhenUsed/>
    <w:qFormat/>
    <w:rsid w:val="001B568E"/>
    <w:pPr>
      <w:ind w:left="576" w:hanging="576"/>
      <w:outlineLvl w:val="1"/>
    </w:pPr>
    <w:rPr>
      <w:b/>
      <w:bCs/>
      <w:sz w:val="24"/>
      <w:szCs w:val="24"/>
    </w:rPr>
  </w:style>
  <w:style w:type="paragraph" w:styleId="Heading3">
    <w:name w:val="heading 3"/>
    <w:basedOn w:val="Normal"/>
    <w:next w:val="Normal"/>
    <w:link w:val="Heading3Char"/>
    <w:uiPriority w:val="9"/>
    <w:unhideWhenUsed/>
    <w:rsid w:val="00DB3036"/>
    <w:pPr>
      <w:keepNext/>
      <w:keepLines/>
      <w:numPr>
        <w:ilvl w:val="2"/>
        <w:numId w:val="42"/>
      </w:numPr>
      <w:spacing w:before="40" w:after="0"/>
      <w:outlineLvl w:val="2"/>
    </w:pPr>
    <w:rPr>
      <w:rFonts w:asciiTheme="majorHAnsi" w:eastAsiaTheme="majorEastAsia" w:hAnsiTheme="majorHAnsi"/>
      <w:color w:val="1F4D78" w:themeColor="accent1" w:themeShade="7F"/>
    </w:rPr>
  </w:style>
  <w:style w:type="paragraph" w:styleId="Heading4">
    <w:name w:val="heading 4"/>
    <w:basedOn w:val="Heading3"/>
    <w:next w:val="Normal"/>
    <w:link w:val="Heading4Char"/>
    <w:uiPriority w:val="9"/>
    <w:unhideWhenUsed/>
    <w:qFormat/>
    <w:rsid w:val="00147A7F"/>
    <w:pPr>
      <w:outlineLvl w:val="3"/>
    </w:pPr>
    <w:rPr>
      <w:rFonts w:asciiTheme="majorBidi" w:hAnsiTheme="majorBidi"/>
      <w:color w:val="auto"/>
      <w:sz w:val="24"/>
      <w:szCs w:val="24"/>
    </w:rPr>
  </w:style>
  <w:style w:type="paragraph" w:styleId="Heading5">
    <w:name w:val="heading 5"/>
    <w:basedOn w:val="Normal"/>
    <w:next w:val="Normal"/>
    <w:link w:val="Heading5Char"/>
    <w:uiPriority w:val="9"/>
    <w:semiHidden/>
    <w:unhideWhenUsed/>
    <w:qFormat/>
    <w:rsid w:val="00DB3036"/>
    <w:pPr>
      <w:keepNext/>
      <w:keepLines/>
      <w:numPr>
        <w:ilvl w:val="4"/>
        <w:numId w:val="42"/>
      </w:numPr>
      <w:spacing w:before="40" w:after="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rsid w:val="00DB3036"/>
    <w:pPr>
      <w:keepNext/>
      <w:keepLines/>
      <w:numPr>
        <w:ilvl w:val="5"/>
        <w:numId w:val="42"/>
      </w:numPr>
      <w:spacing w:before="40" w:after="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rsid w:val="00DB3036"/>
    <w:pPr>
      <w:keepNext/>
      <w:keepLines/>
      <w:numPr>
        <w:ilvl w:val="6"/>
        <w:numId w:val="42"/>
      </w:numPr>
      <w:spacing w:before="40" w:after="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rsid w:val="00DB3036"/>
    <w:pPr>
      <w:keepNext/>
      <w:keepLines/>
      <w:numPr>
        <w:ilvl w:val="7"/>
        <w:numId w:val="42"/>
      </w:numPr>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DB3036"/>
    <w:pPr>
      <w:keepNext/>
      <w:keepLines/>
      <w:numPr>
        <w:ilvl w:val="8"/>
        <w:numId w:val="42"/>
      </w:numPr>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32C3"/>
    <w:pPr>
      <w:spacing w:after="0" w:line="240" w:lineRule="auto"/>
      <w:jc w:val="center"/>
    </w:pPr>
    <w:rPr>
      <w:rFonts w:eastAsiaTheme="majorEastAsia"/>
      <w:b/>
      <w:bCs/>
      <w:spacing w:val="-10"/>
      <w:kern w:val="28"/>
      <w:sz w:val="28"/>
      <w:szCs w:val="28"/>
    </w:rPr>
  </w:style>
  <w:style w:type="character" w:customStyle="1" w:styleId="TitleChar">
    <w:name w:val="Title Char"/>
    <w:basedOn w:val="DefaultParagraphFont"/>
    <w:link w:val="Title"/>
    <w:uiPriority w:val="10"/>
    <w:rsid w:val="00A532C3"/>
    <w:rPr>
      <w:rFonts w:ascii="Segoe UI" w:eastAsiaTheme="majorEastAsia" w:hAnsi="Segoe UI" w:cs="Segoe UI"/>
      <w:b/>
      <w:bCs/>
      <w:spacing w:val="-10"/>
      <w:kern w:val="28"/>
      <w:sz w:val="28"/>
      <w:szCs w:val="28"/>
    </w:rPr>
  </w:style>
  <w:style w:type="character" w:customStyle="1" w:styleId="Heading1Char">
    <w:name w:val="Heading 1 Char"/>
    <w:basedOn w:val="DefaultParagraphFont"/>
    <w:link w:val="Heading1"/>
    <w:uiPriority w:val="9"/>
    <w:rsid w:val="0023427C"/>
    <w:rPr>
      <w:rFonts w:asciiTheme="majorBidi" w:hAnsiTheme="majorBidi" w:cstheme="majorBidi"/>
      <w:b/>
      <w:bCs/>
      <w:color w:val="000000" w:themeColor="text1"/>
      <w:sz w:val="24"/>
      <w:szCs w:val="24"/>
    </w:rPr>
  </w:style>
  <w:style w:type="paragraph" w:styleId="ListParagraph">
    <w:name w:val="List Paragraph"/>
    <w:basedOn w:val="Normal"/>
    <w:uiPriority w:val="34"/>
    <w:qFormat/>
    <w:rsid w:val="00FB7BDC"/>
    <w:pPr>
      <w:numPr>
        <w:numId w:val="24"/>
      </w:numPr>
      <w:spacing w:before="0" w:after="0"/>
    </w:pPr>
  </w:style>
  <w:style w:type="paragraph" w:styleId="NoSpacing">
    <w:name w:val="No Spacing"/>
    <w:basedOn w:val="ListParagraph"/>
    <w:uiPriority w:val="1"/>
    <w:qFormat/>
    <w:rsid w:val="00DD5743"/>
    <w:pPr>
      <w:numPr>
        <w:numId w:val="0"/>
      </w:numPr>
      <w:spacing w:line="240" w:lineRule="auto"/>
    </w:pPr>
    <w:rPr>
      <w:sz w:val="20"/>
      <w:szCs w:val="20"/>
    </w:rPr>
  </w:style>
  <w:style w:type="character" w:customStyle="1" w:styleId="Heading2Char">
    <w:name w:val="Heading 2 Char"/>
    <w:basedOn w:val="DefaultParagraphFont"/>
    <w:link w:val="Heading2"/>
    <w:uiPriority w:val="9"/>
    <w:rsid w:val="001B568E"/>
    <w:rPr>
      <w:rFonts w:asciiTheme="majorBidi" w:hAnsiTheme="majorBidi" w:cstheme="majorBidi"/>
      <w:b/>
      <w:bCs/>
      <w:sz w:val="24"/>
      <w:szCs w:val="24"/>
    </w:rPr>
  </w:style>
  <w:style w:type="paragraph" w:styleId="FootnoteText">
    <w:name w:val="footnote text"/>
    <w:basedOn w:val="Normal"/>
    <w:link w:val="FootnoteTextChar"/>
    <w:uiPriority w:val="99"/>
    <w:unhideWhenUsed/>
    <w:rsid w:val="00F26E04"/>
    <w:pPr>
      <w:spacing w:after="0" w:line="240" w:lineRule="auto"/>
    </w:pPr>
  </w:style>
  <w:style w:type="character" w:customStyle="1" w:styleId="FootnoteTextChar">
    <w:name w:val="Footnote Text Char"/>
    <w:basedOn w:val="DefaultParagraphFont"/>
    <w:link w:val="FootnoteText"/>
    <w:uiPriority w:val="99"/>
    <w:rsid w:val="00F26E04"/>
    <w:rPr>
      <w:rFonts w:ascii="Segoe UI" w:hAnsi="Segoe UI" w:cs="Segoe UI"/>
      <w:sz w:val="20"/>
      <w:szCs w:val="20"/>
    </w:rPr>
  </w:style>
  <w:style w:type="character" w:styleId="FootnoteReference">
    <w:name w:val="footnote reference"/>
    <w:basedOn w:val="DefaultParagraphFont"/>
    <w:uiPriority w:val="99"/>
    <w:semiHidden/>
    <w:unhideWhenUsed/>
    <w:rsid w:val="00F26E04"/>
    <w:rPr>
      <w:vertAlign w:val="superscript"/>
    </w:rPr>
  </w:style>
  <w:style w:type="character" w:styleId="Hyperlink">
    <w:name w:val="Hyperlink"/>
    <w:basedOn w:val="DefaultParagraphFont"/>
    <w:uiPriority w:val="99"/>
    <w:unhideWhenUsed/>
    <w:rsid w:val="00E64E03"/>
    <w:rPr>
      <w:color w:val="0563C1"/>
      <w:u w:val="single"/>
    </w:rPr>
  </w:style>
  <w:style w:type="paragraph" w:styleId="IntenseQuote">
    <w:name w:val="Intense Quote"/>
    <w:aliases w:val="Footnote"/>
    <w:basedOn w:val="Normal"/>
    <w:next w:val="Normal"/>
    <w:link w:val="IntenseQuoteChar"/>
    <w:uiPriority w:val="30"/>
    <w:qFormat/>
    <w:rsid w:val="00C853EA"/>
    <w:pPr>
      <w:spacing w:before="0" w:after="0" w:line="276" w:lineRule="auto"/>
      <w:ind w:firstLine="0"/>
    </w:pPr>
    <w:rPr>
      <w:sz w:val="20"/>
      <w:szCs w:val="20"/>
    </w:rPr>
  </w:style>
  <w:style w:type="character" w:customStyle="1" w:styleId="IntenseQuoteChar">
    <w:name w:val="Intense Quote Char"/>
    <w:aliases w:val="Footnote Char"/>
    <w:basedOn w:val="DefaultParagraphFont"/>
    <w:link w:val="IntenseQuote"/>
    <w:uiPriority w:val="30"/>
    <w:rsid w:val="00C853EA"/>
    <w:rPr>
      <w:rFonts w:asciiTheme="majorBidi" w:hAnsiTheme="majorBidi" w:cstheme="majorBidi"/>
      <w:sz w:val="20"/>
      <w:szCs w:val="20"/>
    </w:rPr>
  </w:style>
  <w:style w:type="table" w:styleId="TableGrid">
    <w:name w:val="Table Grid"/>
    <w:basedOn w:val="TableNormal"/>
    <w:uiPriority w:val="39"/>
    <w:rsid w:val="00464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B9A"/>
    <w:rPr>
      <w:rFonts w:ascii="Segoe UI" w:hAnsi="Segoe UI" w:cs="Segoe UI"/>
      <w:sz w:val="20"/>
      <w:szCs w:val="20"/>
    </w:rPr>
  </w:style>
  <w:style w:type="paragraph" w:styleId="Footer">
    <w:name w:val="footer"/>
    <w:basedOn w:val="Normal"/>
    <w:link w:val="FooterChar"/>
    <w:uiPriority w:val="99"/>
    <w:unhideWhenUsed/>
    <w:rsid w:val="008D5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B9A"/>
    <w:rPr>
      <w:rFonts w:ascii="Segoe UI" w:hAnsi="Segoe UI" w:cs="Segoe UI"/>
      <w:sz w:val="20"/>
      <w:szCs w:val="20"/>
    </w:rPr>
  </w:style>
  <w:style w:type="character" w:styleId="CommentReference">
    <w:name w:val="annotation reference"/>
    <w:basedOn w:val="DefaultParagraphFont"/>
    <w:uiPriority w:val="99"/>
    <w:semiHidden/>
    <w:unhideWhenUsed/>
    <w:rsid w:val="006529B9"/>
    <w:rPr>
      <w:sz w:val="16"/>
      <w:szCs w:val="16"/>
    </w:rPr>
  </w:style>
  <w:style w:type="paragraph" w:styleId="CommentText">
    <w:name w:val="annotation text"/>
    <w:basedOn w:val="Normal"/>
    <w:link w:val="CommentTextChar"/>
    <w:uiPriority w:val="99"/>
    <w:unhideWhenUsed/>
    <w:rsid w:val="006529B9"/>
    <w:pPr>
      <w:spacing w:line="240" w:lineRule="auto"/>
    </w:pPr>
  </w:style>
  <w:style w:type="character" w:customStyle="1" w:styleId="CommentTextChar">
    <w:name w:val="Comment Text Char"/>
    <w:basedOn w:val="DefaultParagraphFont"/>
    <w:link w:val="CommentText"/>
    <w:uiPriority w:val="99"/>
    <w:rsid w:val="006529B9"/>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6529B9"/>
    <w:rPr>
      <w:b/>
      <w:bCs/>
    </w:rPr>
  </w:style>
  <w:style w:type="character" w:customStyle="1" w:styleId="CommentSubjectChar">
    <w:name w:val="Comment Subject Char"/>
    <w:basedOn w:val="CommentTextChar"/>
    <w:link w:val="CommentSubject"/>
    <w:uiPriority w:val="99"/>
    <w:semiHidden/>
    <w:rsid w:val="006529B9"/>
    <w:rPr>
      <w:rFonts w:ascii="Segoe UI" w:hAnsi="Segoe UI" w:cs="Segoe UI"/>
      <w:b/>
      <w:bCs/>
      <w:sz w:val="20"/>
      <w:szCs w:val="20"/>
    </w:rPr>
  </w:style>
  <w:style w:type="paragraph" w:styleId="BalloonText">
    <w:name w:val="Balloon Text"/>
    <w:basedOn w:val="Normal"/>
    <w:link w:val="BalloonTextChar"/>
    <w:uiPriority w:val="99"/>
    <w:semiHidden/>
    <w:unhideWhenUsed/>
    <w:rsid w:val="006529B9"/>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6529B9"/>
    <w:rPr>
      <w:rFonts w:ascii="Segoe UI" w:hAnsi="Segoe UI" w:cs="Segoe UI"/>
      <w:sz w:val="18"/>
      <w:szCs w:val="18"/>
    </w:rPr>
  </w:style>
  <w:style w:type="paragraph" w:styleId="Caption">
    <w:name w:val="caption"/>
    <w:basedOn w:val="Normal"/>
    <w:next w:val="Normal"/>
    <w:uiPriority w:val="35"/>
    <w:unhideWhenUsed/>
    <w:qFormat/>
    <w:rsid w:val="00C853EA"/>
    <w:pPr>
      <w:keepNext/>
      <w:spacing w:before="0" w:after="200" w:line="240" w:lineRule="auto"/>
      <w:ind w:firstLine="0"/>
    </w:pPr>
    <w:rPr>
      <w:b/>
      <w:bCs/>
      <w:color w:val="000000" w:themeColor="text1"/>
      <w:sz w:val="20"/>
      <w:szCs w:val="20"/>
    </w:rPr>
  </w:style>
  <w:style w:type="character" w:customStyle="1" w:styleId="Heading3Char">
    <w:name w:val="Heading 3 Char"/>
    <w:basedOn w:val="DefaultParagraphFont"/>
    <w:link w:val="Heading3"/>
    <w:uiPriority w:val="9"/>
    <w:rsid w:val="00DB303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47A7F"/>
    <w:rPr>
      <w:rFonts w:asciiTheme="majorBidi" w:eastAsiaTheme="majorEastAsia" w:hAnsiTheme="majorBidi" w:cstheme="majorBidi"/>
      <w:sz w:val="24"/>
      <w:szCs w:val="24"/>
    </w:rPr>
  </w:style>
  <w:style w:type="character" w:customStyle="1" w:styleId="Heading5Char">
    <w:name w:val="Heading 5 Char"/>
    <w:basedOn w:val="DefaultParagraphFont"/>
    <w:link w:val="Heading5"/>
    <w:uiPriority w:val="9"/>
    <w:semiHidden/>
    <w:rsid w:val="00DB3036"/>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DB3036"/>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DB3036"/>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DB303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3036"/>
    <w:rPr>
      <w:rFonts w:asciiTheme="majorHAnsi" w:eastAsiaTheme="majorEastAsia" w:hAnsiTheme="majorHAnsi" w:cstheme="majorBidi"/>
      <w:i/>
      <w:iCs/>
      <w:color w:val="272727" w:themeColor="text1" w:themeTint="D8"/>
      <w:sz w:val="21"/>
      <w:szCs w:val="21"/>
    </w:rPr>
  </w:style>
  <w:style w:type="character" w:styleId="Emphasis">
    <w:name w:val="Emphasis"/>
    <w:uiPriority w:val="20"/>
    <w:qFormat/>
    <w:rsid w:val="00785216"/>
  </w:style>
  <w:style w:type="paragraph" w:styleId="Subtitle">
    <w:name w:val="Subtitle"/>
    <w:aliases w:val="Heading of list"/>
    <w:basedOn w:val="ListParagraph"/>
    <w:next w:val="Normal"/>
    <w:link w:val="SubtitleChar"/>
    <w:uiPriority w:val="11"/>
    <w:qFormat/>
    <w:rsid w:val="000311F1"/>
    <w:pPr>
      <w:numPr>
        <w:numId w:val="23"/>
      </w:numPr>
    </w:pPr>
  </w:style>
  <w:style w:type="character" w:customStyle="1" w:styleId="SubtitleChar">
    <w:name w:val="Subtitle Char"/>
    <w:aliases w:val="Heading of list Char"/>
    <w:basedOn w:val="DefaultParagraphFont"/>
    <w:link w:val="Subtitle"/>
    <w:uiPriority w:val="11"/>
    <w:rsid w:val="000311F1"/>
    <w:rPr>
      <w:rFonts w:ascii="Garamond" w:hAnsi="Garamond" w:cs="Segoe UI"/>
      <w:sz w:val="24"/>
      <w:szCs w:val="24"/>
    </w:rPr>
  </w:style>
  <w:style w:type="character" w:styleId="PlaceholderText">
    <w:name w:val="Placeholder Text"/>
    <w:basedOn w:val="DefaultParagraphFont"/>
    <w:uiPriority w:val="99"/>
    <w:semiHidden/>
    <w:rsid w:val="003F48BB"/>
    <w:rPr>
      <w:color w:val="808080"/>
    </w:rPr>
  </w:style>
  <w:style w:type="character" w:styleId="SubtleReference">
    <w:name w:val="Subtle Reference"/>
    <w:aliases w:val="Table settings"/>
    <w:uiPriority w:val="31"/>
    <w:qFormat/>
    <w:rsid w:val="00CF09F7"/>
    <w:rPr>
      <w:sz w:val="16"/>
      <w:szCs w:val="16"/>
    </w:rPr>
  </w:style>
  <w:style w:type="paragraph" w:styleId="NormalWeb">
    <w:name w:val="Normal (Web)"/>
    <w:basedOn w:val="Normal"/>
    <w:uiPriority w:val="99"/>
    <w:unhideWhenUsed/>
    <w:rsid w:val="006F5FBE"/>
    <w:pPr>
      <w:snapToGrid/>
      <w:spacing w:before="100" w:beforeAutospacing="1" w:after="100" w:afterAutospacing="1" w:line="240" w:lineRule="auto"/>
    </w:pPr>
    <w:rPr>
      <w:rFonts w:ascii="Times New Roman" w:eastAsia="Times New Roman" w:hAnsi="Times New Roman" w:cs="Times New Roman"/>
    </w:rPr>
  </w:style>
  <w:style w:type="character" w:customStyle="1" w:styleId="note">
    <w:name w:val="note"/>
    <w:basedOn w:val="DefaultParagraphFont"/>
    <w:rsid w:val="004C5FD7"/>
  </w:style>
  <w:style w:type="numbering" w:customStyle="1" w:styleId="NoList1">
    <w:name w:val="No List1"/>
    <w:next w:val="NoList"/>
    <w:uiPriority w:val="99"/>
    <w:semiHidden/>
    <w:unhideWhenUsed/>
    <w:rsid w:val="00522F68"/>
  </w:style>
  <w:style w:type="character" w:customStyle="1" w:styleId="label">
    <w:name w:val="label"/>
    <w:basedOn w:val="DefaultParagraphFont"/>
    <w:rsid w:val="001551B7"/>
  </w:style>
  <w:style w:type="character" w:customStyle="1" w:styleId="mjxassistivemathml">
    <w:name w:val="mjx_assistive_mathml"/>
    <w:basedOn w:val="DefaultParagraphFont"/>
    <w:rsid w:val="001551B7"/>
  </w:style>
  <w:style w:type="character" w:customStyle="1" w:styleId="UnresolvedMention1">
    <w:name w:val="Unresolved Mention1"/>
    <w:basedOn w:val="DefaultParagraphFont"/>
    <w:uiPriority w:val="99"/>
    <w:semiHidden/>
    <w:unhideWhenUsed/>
    <w:rsid w:val="002B1866"/>
    <w:rPr>
      <w:color w:val="605E5C"/>
      <w:shd w:val="clear" w:color="auto" w:fill="E1DFDD"/>
    </w:rPr>
  </w:style>
  <w:style w:type="character" w:styleId="FollowedHyperlink">
    <w:name w:val="FollowedHyperlink"/>
    <w:basedOn w:val="DefaultParagraphFont"/>
    <w:uiPriority w:val="99"/>
    <w:semiHidden/>
    <w:unhideWhenUsed/>
    <w:rsid w:val="0006545A"/>
    <w:rPr>
      <w:color w:val="954F72" w:themeColor="followedHyperlink"/>
      <w:u w:val="single"/>
    </w:rPr>
  </w:style>
  <w:style w:type="paragraph" w:customStyle="1" w:styleId="EndNoteBibliography">
    <w:name w:val="EndNote Bibliography"/>
    <w:basedOn w:val="Normal"/>
    <w:link w:val="EndNoteBibliographyChar"/>
    <w:rsid w:val="00D018C4"/>
    <w:pPr>
      <w:snapToGrid/>
      <w:spacing w:before="0" w:after="160" w:line="240" w:lineRule="auto"/>
      <w:ind w:firstLine="0"/>
    </w:pPr>
    <w:rPr>
      <w:rFonts w:ascii="Times New Roman" w:eastAsiaTheme="minorHAnsi" w:hAnsi="Times New Roman" w:cs="Times New Roman"/>
      <w:noProof/>
      <w:lang w:val="en-US" w:eastAsia="en-US"/>
    </w:rPr>
  </w:style>
  <w:style w:type="character" w:customStyle="1" w:styleId="EndNoteBibliographyChar">
    <w:name w:val="EndNote Bibliography Char"/>
    <w:basedOn w:val="DefaultParagraphFont"/>
    <w:link w:val="EndNoteBibliography"/>
    <w:rsid w:val="00D018C4"/>
    <w:rPr>
      <w:rFonts w:ascii="Times New Roman" w:eastAsiaTheme="minorHAnsi" w:hAnsi="Times New Roman" w:cs="Times New Roman"/>
      <w:noProof/>
      <w:lang w:val="en-US" w:eastAsia="en-US"/>
    </w:rPr>
  </w:style>
  <w:style w:type="character" w:styleId="LineNumber">
    <w:name w:val="line number"/>
    <w:basedOn w:val="DefaultParagraphFont"/>
    <w:uiPriority w:val="99"/>
    <w:semiHidden/>
    <w:unhideWhenUsed/>
    <w:rsid w:val="00C749D5"/>
  </w:style>
  <w:style w:type="character" w:customStyle="1" w:styleId="UnresolvedMention2">
    <w:name w:val="Unresolved Mention2"/>
    <w:basedOn w:val="DefaultParagraphFont"/>
    <w:uiPriority w:val="99"/>
    <w:semiHidden/>
    <w:unhideWhenUsed/>
    <w:rsid w:val="00CD0A65"/>
    <w:rPr>
      <w:color w:val="605E5C"/>
      <w:shd w:val="clear" w:color="auto" w:fill="E1DFDD"/>
    </w:rPr>
  </w:style>
  <w:style w:type="paragraph" w:styleId="Revision">
    <w:name w:val="Revision"/>
    <w:hidden/>
    <w:uiPriority w:val="99"/>
    <w:semiHidden/>
    <w:rsid w:val="00BE1DD7"/>
    <w:pPr>
      <w:spacing w:after="0" w:line="240" w:lineRule="auto"/>
    </w:pPr>
    <w:rPr>
      <w:rFonts w:asciiTheme="majorBidi" w:hAnsiTheme="majorBidi" w:cstheme="majorBidi"/>
    </w:rPr>
  </w:style>
  <w:style w:type="paragraph" w:styleId="EndnoteText">
    <w:name w:val="endnote text"/>
    <w:basedOn w:val="Normal"/>
    <w:link w:val="EndnoteTextChar"/>
    <w:uiPriority w:val="99"/>
    <w:semiHidden/>
    <w:unhideWhenUsed/>
    <w:rsid w:val="00BF513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F5137"/>
    <w:rPr>
      <w:rFonts w:asciiTheme="majorBidi" w:hAnsiTheme="majorBidi" w:cstheme="majorBidi"/>
      <w:sz w:val="20"/>
      <w:szCs w:val="20"/>
    </w:rPr>
  </w:style>
  <w:style w:type="character" w:styleId="EndnoteReference">
    <w:name w:val="endnote reference"/>
    <w:basedOn w:val="DefaultParagraphFont"/>
    <w:uiPriority w:val="99"/>
    <w:semiHidden/>
    <w:unhideWhenUsed/>
    <w:rsid w:val="00BF5137"/>
    <w:rPr>
      <w:vertAlign w:val="superscript"/>
    </w:rPr>
  </w:style>
  <w:style w:type="character" w:customStyle="1" w:styleId="UnresolvedMention3">
    <w:name w:val="Unresolved Mention3"/>
    <w:basedOn w:val="DefaultParagraphFont"/>
    <w:uiPriority w:val="99"/>
    <w:semiHidden/>
    <w:unhideWhenUsed/>
    <w:rsid w:val="003D75FB"/>
    <w:rPr>
      <w:color w:val="605E5C"/>
      <w:shd w:val="clear" w:color="auto" w:fill="E1DFDD"/>
    </w:rPr>
  </w:style>
  <w:style w:type="paragraph" w:styleId="PlainText">
    <w:name w:val="Plain Text"/>
    <w:basedOn w:val="Normal"/>
    <w:link w:val="PlainTextChar"/>
    <w:uiPriority w:val="99"/>
    <w:unhideWhenUsed/>
    <w:rsid w:val="009A3E96"/>
    <w:pPr>
      <w:snapToGrid/>
      <w:spacing w:before="0" w:after="0" w:line="240" w:lineRule="auto"/>
      <w:ind w:firstLine="0"/>
      <w:jc w:val="left"/>
    </w:pPr>
    <w:rPr>
      <w:rFonts w:ascii="Calibri" w:hAnsi="Calibri" w:cstheme="minorBidi"/>
      <w:szCs w:val="21"/>
    </w:rPr>
  </w:style>
  <w:style w:type="character" w:customStyle="1" w:styleId="PlainTextChar">
    <w:name w:val="Plain Text Char"/>
    <w:basedOn w:val="DefaultParagraphFont"/>
    <w:link w:val="PlainText"/>
    <w:uiPriority w:val="99"/>
    <w:rsid w:val="009A3E96"/>
    <w:rPr>
      <w:rFonts w:ascii="Calibri" w:hAnsi="Calibri"/>
      <w:szCs w:val="21"/>
    </w:rPr>
  </w:style>
  <w:style w:type="table" w:styleId="TableGridLight">
    <w:name w:val="Grid Table Light"/>
    <w:basedOn w:val="TableNormal"/>
    <w:uiPriority w:val="40"/>
    <w:rsid w:val="001566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thor">
    <w:name w:val="author"/>
    <w:basedOn w:val="DefaultParagraphFont"/>
    <w:rsid w:val="005048ED"/>
  </w:style>
  <w:style w:type="character" w:customStyle="1" w:styleId="pubyear">
    <w:name w:val="pubyear"/>
    <w:basedOn w:val="DefaultParagraphFont"/>
    <w:rsid w:val="005048ED"/>
  </w:style>
  <w:style w:type="character" w:customStyle="1" w:styleId="articletitle">
    <w:name w:val="articletitle"/>
    <w:basedOn w:val="DefaultParagraphFont"/>
    <w:rsid w:val="005048ED"/>
  </w:style>
  <w:style w:type="character" w:customStyle="1" w:styleId="vol">
    <w:name w:val="vol"/>
    <w:basedOn w:val="DefaultParagraphFont"/>
    <w:rsid w:val="005048ED"/>
  </w:style>
  <w:style w:type="character" w:customStyle="1" w:styleId="pagefirst">
    <w:name w:val="pagefirst"/>
    <w:basedOn w:val="DefaultParagraphFont"/>
    <w:rsid w:val="005048ED"/>
  </w:style>
  <w:style w:type="character" w:customStyle="1" w:styleId="pagelast">
    <w:name w:val="pagelast"/>
    <w:basedOn w:val="DefaultParagraphFont"/>
    <w:rsid w:val="005048ED"/>
  </w:style>
  <w:style w:type="character" w:styleId="UnresolvedMention">
    <w:name w:val="Unresolved Mention"/>
    <w:basedOn w:val="DefaultParagraphFont"/>
    <w:uiPriority w:val="99"/>
    <w:semiHidden/>
    <w:unhideWhenUsed/>
    <w:rsid w:val="00A20F4F"/>
    <w:rPr>
      <w:color w:val="605E5C"/>
      <w:shd w:val="clear" w:color="auto" w:fill="E1DFDD"/>
    </w:rPr>
  </w:style>
  <w:style w:type="paragraph" w:customStyle="1" w:styleId="font8">
    <w:name w:val="font_8"/>
    <w:basedOn w:val="Normal"/>
    <w:rsid w:val="00A20F4F"/>
    <w:pPr>
      <w:snapToGrid/>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color11">
    <w:name w:val="color_11"/>
    <w:basedOn w:val="DefaultParagraphFont"/>
    <w:rsid w:val="00A2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082">
      <w:bodyDiv w:val="1"/>
      <w:marLeft w:val="0"/>
      <w:marRight w:val="0"/>
      <w:marTop w:val="0"/>
      <w:marBottom w:val="0"/>
      <w:divBdr>
        <w:top w:val="none" w:sz="0" w:space="0" w:color="auto"/>
        <w:left w:val="none" w:sz="0" w:space="0" w:color="auto"/>
        <w:bottom w:val="none" w:sz="0" w:space="0" w:color="auto"/>
        <w:right w:val="none" w:sz="0" w:space="0" w:color="auto"/>
      </w:divBdr>
      <w:divsChild>
        <w:div w:id="177695516">
          <w:marLeft w:val="0"/>
          <w:marRight w:val="0"/>
          <w:marTop w:val="270"/>
          <w:marBottom w:val="270"/>
          <w:divBdr>
            <w:top w:val="none" w:sz="0" w:space="0" w:color="auto"/>
            <w:left w:val="none" w:sz="0" w:space="0" w:color="auto"/>
            <w:bottom w:val="none" w:sz="0" w:space="0" w:color="auto"/>
            <w:right w:val="none" w:sz="0" w:space="0" w:color="auto"/>
          </w:divBdr>
        </w:div>
        <w:div w:id="864825801">
          <w:marLeft w:val="0"/>
          <w:marRight w:val="0"/>
          <w:marTop w:val="270"/>
          <w:marBottom w:val="270"/>
          <w:divBdr>
            <w:top w:val="none" w:sz="0" w:space="0" w:color="auto"/>
            <w:left w:val="none" w:sz="0" w:space="0" w:color="auto"/>
            <w:bottom w:val="none" w:sz="0" w:space="0" w:color="auto"/>
            <w:right w:val="none" w:sz="0" w:space="0" w:color="auto"/>
          </w:divBdr>
        </w:div>
        <w:div w:id="2061898319">
          <w:marLeft w:val="0"/>
          <w:marRight w:val="0"/>
          <w:marTop w:val="270"/>
          <w:marBottom w:val="270"/>
          <w:divBdr>
            <w:top w:val="none" w:sz="0" w:space="0" w:color="auto"/>
            <w:left w:val="none" w:sz="0" w:space="0" w:color="auto"/>
            <w:bottom w:val="none" w:sz="0" w:space="0" w:color="auto"/>
            <w:right w:val="none" w:sz="0" w:space="0" w:color="auto"/>
          </w:divBdr>
        </w:div>
      </w:divsChild>
    </w:div>
    <w:div w:id="29958352">
      <w:bodyDiv w:val="1"/>
      <w:marLeft w:val="0"/>
      <w:marRight w:val="0"/>
      <w:marTop w:val="0"/>
      <w:marBottom w:val="0"/>
      <w:divBdr>
        <w:top w:val="none" w:sz="0" w:space="0" w:color="auto"/>
        <w:left w:val="none" w:sz="0" w:space="0" w:color="auto"/>
        <w:bottom w:val="none" w:sz="0" w:space="0" w:color="auto"/>
        <w:right w:val="none" w:sz="0" w:space="0" w:color="auto"/>
      </w:divBdr>
    </w:div>
    <w:div w:id="57099163">
      <w:bodyDiv w:val="1"/>
      <w:marLeft w:val="0"/>
      <w:marRight w:val="0"/>
      <w:marTop w:val="0"/>
      <w:marBottom w:val="0"/>
      <w:divBdr>
        <w:top w:val="none" w:sz="0" w:space="0" w:color="auto"/>
        <w:left w:val="none" w:sz="0" w:space="0" w:color="auto"/>
        <w:bottom w:val="none" w:sz="0" w:space="0" w:color="auto"/>
        <w:right w:val="none" w:sz="0" w:space="0" w:color="auto"/>
      </w:divBdr>
    </w:div>
    <w:div w:id="59910995">
      <w:bodyDiv w:val="1"/>
      <w:marLeft w:val="0"/>
      <w:marRight w:val="0"/>
      <w:marTop w:val="0"/>
      <w:marBottom w:val="0"/>
      <w:divBdr>
        <w:top w:val="none" w:sz="0" w:space="0" w:color="auto"/>
        <w:left w:val="none" w:sz="0" w:space="0" w:color="auto"/>
        <w:bottom w:val="none" w:sz="0" w:space="0" w:color="auto"/>
        <w:right w:val="none" w:sz="0" w:space="0" w:color="auto"/>
      </w:divBdr>
    </w:div>
    <w:div w:id="63728428">
      <w:bodyDiv w:val="1"/>
      <w:marLeft w:val="0"/>
      <w:marRight w:val="0"/>
      <w:marTop w:val="0"/>
      <w:marBottom w:val="0"/>
      <w:divBdr>
        <w:top w:val="none" w:sz="0" w:space="0" w:color="auto"/>
        <w:left w:val="none" w:sz="0" w:space="0" w:color="auto"/>
        <w:bottom w:val="none" w:sz="0" w:space="0" w:color="auto"/>
        <w:right w:val="none" w:sz="0" w:space="0" w:color="auto"/>
      </w:divBdr>
    </w:div>
    <w:div w:id="91820753">
      <w:bodyDiv w:val="1"/>
      <w:marLeft w:val="0"/>
      <w:marRight w:val="0"/>
      <w:marTop w:val="0"/>
      <w:marBottom w:val="0"/>
      <w:divBdr>
        <w:top w:val="none" w:sz="0" w:space="0" w:color="auto"/>
        <w:left w:val="none" w:sz="0" w:space="0" w:color="auto"/>
        <w:bottom w:val="none" w:sz="0" w:space="0" w:color="auto"/>
        <w:right w:val="none" w:sz="0" w:space="0" w:color="auto"/>
      </w:divBdr>
    </w:div>
    <w:div w:id="98185677">
      <w:bodyDiv w:val="1"/>
      <w:marLeft w:val="0"/>
      <w:marRight w:val="0"/>
      <w:marTop w:val="0"/>
      <w:marBottom w:val="0"/>
      <w:divBdr>
        <w:top w:val="none" w:sz="0" w:space="0" w:color="auto"/>
        <w:left w:val="none" w:sz="0" w:space="0" w:color="auto"/>
        <w:bottom w:val="none" w:sz="0" w:space="0" w:color="auto"/>
        <w:right w:val="none" w:sz="0" w:space="0" w:color="auto"/>
      </w:divBdr>
    </w:div>
    <w:div w:id="121922071">
      <w:bodyDiv w:val="1"/>
      <w:marLeft w:val="0"/>
      <w:marRight w:val="0"/>
      <w:marTop w:val="0"/>
      <w:marBottom w:val="0"/>
      <w:divBdr>
        <w:top w:val="none" w:sz="0" w:space="0" w:color="auto"/>
        <w:left w:val="none" w:sz="0" w:space="0" w:color="auto"/>
        <w:bottom w:val="none" w:sz="0" w:space="0" w:color="auto"/>
        <w:right w:val="none" w:sz="0" w:space="0" w:color="auto"/>
      </w:divBdr>
    </w:div>
    <w:div w:id="151602096">
      <w:bodyDiv w:val="1"/>
      <w:marLeft w:val="0"/>
      <w:marRight w:val="0"/>
      <w:marTop w:val="0"/>
      <w:marBottom w:val="0"/>
      <w:divBdr>
        <w:top w:val="none" w:sz="0" w:space="0" w:color="auto"/>
        <w:left w:val="none" w:sz="0" w:space="0" w:color="auto"/>
        <w:bottom w:val="none" w:sz="0" w:space="0" w:color="auto"/>
        <w:right w:val="none" w:sz="0" w:space="0" w:color="auto"/>
      </w:divBdr>
    </w:div>
    <w:div w:id="180822573">
      <w:bodyDiv w:val="1"/>
      <w:marLeft w:val="0"/>
      <w:marRight w:val="0"/>
      <w:marTop w:val="0"/>
      <w:marBottom w:val="0"/>
      <w:divBdr>
        <w:top w:val="none" w:sz="0" w:space="0" w:color="auto"/>
        <w:left w:val="none" w:sz="0" w:space="0" w:color="auto"/>
        <w:bottom w:val="none" w:sz="0" w:space="0" w:color="auto"/>
        <w:right w:val="none" w:sz="0" w:space="0" w:color="auto"/>
      </w:divBdr>
    </w:div>
    <w:div w:id="224218872">
      <w:bodyDiv w:val="1"/>
      <w:marLeft w:val="0"/>
      <w:marRight w:val="0"/>
      <w:marTop w:val="0"/>
      <w:marBottom w:val="0"/>
      <w:divBdr>
        <w:top w:val="none" w:sz="0" w:space="0" w:color="auto"/>
        <w:left w:val="none" w:sz="0" w:space="0" w:color="auto"/>
        <w:bottom w:val="none" w:sz="0" w:space="0" w:color="auto"/>
        <w:right w:val="none" w:sz="0" w:space="0" w:color="auto"/>
      </w:divBdr>
    </w:div>
    <w:div w:id="226841396">
      <w:bodyDiv w:val="1"/>
      <w:marLeft w:val="0"/>
      <w:marRight w:val="0"/>
      <w:marTop w:val="0"/>
      <w:marBottom w:val="0"/>
      <w:divBdr>
        <w:top w:val="none" w:sz="0" w:space="0" w:color="auto"/>
        <w:left w:val="none" w:sz="0" w:space="0" w:color="auto"/>
        <w:bottom w:val="none" w:sz="0" w:space="0" w:color="auto"/>
        <w:right w:val="none" w:sz="0" w:space="0" w:color="auto"/>
      </w:divBdr>
    </w:div>
    <w:div w:id="227738682">
      <w:bodyDiv w:val="1"/>
      <w:marLeft w:val="0"/>
      <w:marRight w:val="0"/>
      <w:marTop w:val="0"/>
      <w:marBottom w:val="0"/>
      <w:divBdr>
        <w:top w:val="none" w:sz="0" w:space="0" w:color="auto"/>
        <w:left w:val="none" w:sz="0" w:space="0" w:color="auto"/>
        <w:bottom w:val="none" w:sz="0" w:space="0" w:color="auto"/>
        <w:right w:val="none" w:sz="0" w:space="0" w:color="auto"/>
      </w:divBdr>
    </w:div>
    <w:div w:id="241912542">
      <w:bodyDiv w:val="1"/>
      <w:marLeft w:val="0"/>
      <w:marRight w:val="0"/>
      <w:marTop w:val="0"/>
      <w:marBottom w:val="0"/>
      <w:divBdr>
        <w:top w:val="none" w:sz="0" w:space="0" w:color="auto"/>
        <w:left w:val="none" w:sz="0" w:space="0" w:color="auto"/>
        <w:bottom w:val="none" w:sz="0" w:space="0" w:color="auto"/>
        <w:right w:val="none" w:sz="0" w:space="0" w:color="auto"/>
      </w:divBdr>
    </w:div>
    <w:div w:id="352725231">
      <w:bodyDiv w:val="1"/>
      <w:marLeft w:val="0"/>
      <w:marRight w:val="0"/>
      <w:marTop w:val="0"/>
      <w:marBottom w:val="0"/>
      <w:divBdr>
        <w:top w:val="none" w:sz="0" w:space="0" w:color="auto"/>
        <w:left w:val="none" w:sz="0" w:space="0" w:color="auto"/>
        <w:bottom w:val="none" w:sz="0" w:space="0" w:color="auto"/>
        <w:right w:val="none" w:sz="0" w:space="0" w:color="auto"/>
      </w:divBdr>
    </w:div>
    <w:div w:id="383870252">
      <w:bodyDiv w:val="1"/>
      <w:marLeft w:val="0"/>
      <w:marRight w:val="0"/>
      <w:marTop w:val="0"/>
      <w:marBottom w:val="0"/>
      <w:divBdr>
        <w:top w:val="none" w:sz="0" w:space="0" w:color="auto"/>
        <w:left w:val="none" w:sz="0" w:space="0" w:color="auto"/>
        <w:bottom w:val="none" w:sz="0" w:space="0" w:color="auto"/>
        <w:right w:val="none" w:sz="0" w:space="0" w:color="auto"/>
      </w:divBdr>
    </w:div>
    <w:div w:id="398599855">
      <w:bodyDiv w:val="1"/>
      <w:marLeft w:val="0"/>
      <w:marRight w:val="0"/>
      <w:marTop w:val="0"/>
      <w:marBottom w:val="0"/>
      <w:divBdr>
        <w:top w:val="none" w:sz="0" w:space="0" w:color="auto"/>
        <w:left w:val="none" w:sz="0" w:space="0" w:color="auto"/>
        <w:bottom w:val="none" w:sz="0" w:space="0" w:color="auto"/>
        <w:right w:val="none" w:sz="0" w:space="0" w:color="auto"/>
      </w:divBdr>
    </w:div>
    <w:div w:id="443815679">
      <w:bodyDiv w:val="1"/>
      <w:marLeft w:val="0"/>
      <w:marRight w:val="0"/>
      <w:marTop w:val="0"/>
      <w:marBottom w:val="0"/>
      <w:divBdr>
        <w:top w:val="none" w:sz="0" w:space="0" w:color="auto"/>
        <w:left w:val="none" w:sz="0" w:space="0" w:color="auto"/>
        <w:bottom w:val="none" w:sz="0" w:space="0" w:color="auto"/>
        <w:right w:val="none" w:sz="0" w:space="0" w:color="auto"/>
      </w:divBdr>
    </w:div>
    <w:div w:id="470637563">
      <w:bodyDiv w:val="1"/>
      <w:marLeft w:val="0"/>
      <w:marRight w:val="0"/>
      <w:marTop w:val="0"/>
      <w:marBottom w:val="0"/>
      <w:divBdr>
        <w:top w:val="none" w:sz="0" w:space="0" w:color="auto"/>
        <w:left w:val="none" w:sz="0" w:space="0" w:color="auto"/>
        <w:bottom w:val="none" w:sz="0" w:space="0" w:color="auto"/>
        <w:right w:val="none" w:sz="0" w:space="0" w:color="auto"/>
      </w:divBdr>
      <w:divsChild>
        <w:div w:id="2071881159">
          <w:marLeft w:val="0"/>
          <w:marRight w:val="0"/>
          <w:marTop w:val="270"/>
          <w:marBottom w:val="270"/>
          <w:divBdr>
            <w:top w:val="none" w:sz="0" w:space="0" w:color="auto"/>
            <w:left w:val="none" w:sz="0" w:space="0" w:color="auto"/>
            <w:bottom w:val="none" w:sz="0" w:space="0" w:color="auto"/>
            <w:right w:val="none" w:sz="0" w:space="0" w:color="auto"/>
          </w:divBdr>
        </w:div>
        <w:div w:id="421611438">
          <w:marLeft w:val="0"/>
          <w:marRight w:val="0"/>
          <w:marTop w:val="270"/>
          <w:marBottom w:val="270"/>
          <w:divBdr>
            <w:top w:val="none" w:sz="0" w:space="0" w:color="auto"/>
            <w:left w:val="none" w:sz="0" w:space="0" w:color="auto"/>
            <w:bottom w:val="none" w:sz="0" w:space="0" w:color="auto"/>
            <w:right w:val="none" w:sz="0" w:space="0" w:color="auto"/>
          </w:divBdr>
        </w:div>
        <w:div w:id="1791825572">
          <w:marLeft w:val="0"/>
          <w:marRight w:val="0"/>
          <w:marTop w:val="270"/>
          <w:marBottom w:val="270"/>
          <w:divBdr>
            <w:top w:val="none" w:sz="0" w:space="0" w:color="auto"/>
            <w:left w:val="none" w:sz="0" w:space="0" w:color="auto"/>
            <w:bottom w:val="none" w:sz="0" w:space="0" w:color="auto"/>
            <w:right w:val="none" w:sz="0" w:space="0" w:color="auto"/>
          </w:divBdr>
        </w:div>
      </w:divsChild>
    </w:div>
    <w:div w:id="511838345">
      <w:bodyDiv w:val="1"/>
      <w:marLeft w:val="0"/>
      <w:marRight w:val="0"/>
      <w:marTop w:val="0"/>
      <w:marBottom w:val="0"/>
      <w:divBdr>
        <w:top w:val="none" w:sz="0" w:space="0" w:color="auto"/>
        <w:left w:val="none" w:sz="0" w:space="0" w:color="auto"/>
        <w:bottom w:val="none" w:sz="0" w:space="0" w:color="auto"/>
        <w:right w:val="none" w:sz="0" w:space="0" w:color="auto"/>
      </w:divBdr>
    </w:div>
    <w:div w:id="538056635">
      <w:bodyDiv w:val="1"/>
      <w:marLeft w:val="0"/>
      <w:marRight w:val="0"/>
      <w:marTop w:val="0"/>
      <w:marBottom w:val="0"/>
      <w:divBdr>
        <w:top w:val="none" w:sz="0" w:space="0" w:color="auto"/>
        <w:left w:val="none" w:sz="0" w:space="0" w:color="auto"/>
        <w:bottom w:val="none" w:sz="0" w:space="0" w:color="auto"/>
        <w:right w:val="none" w:sz="0" w:space="0" w:color="auto"/>
      </w:divBdr>
    </w:div>
    <w:div w:id="577901992">
      <w:bodyDiv w:val="1"/>
      <w:marLeft w:val="0"/>
      <w:marRight w:val="0"/>
      <w:marTop w:val="0"/>
      <w:marBottom w:val="0"/>
      <w:divBdr>
        <w:top w:val="none" w:sz="0" w:space="0" w:color="auto"/>
        <w:left w:val="none" w:sz="0" w:space="0" w:color="auto"/>
        <w:bottom w:val="none" w:sz="0" w:space="0" w:color="auto"/>
        <w:right w:val="none" w:sz="0" w:space="0" w:color="auto"/>
      </w:divBdr>
    </w:div>
    <w:div w:id="617296890">
      <w:bodyDiv w:val="1"/>
      <w:marLeft w:val="0"/>
      <w:marRight w:val="0"/>
      <w:marTop w:val="0"/>
      <w:marBottom w:val="0"/>
      <w:divBdr>
        <w:top w:val="none" w:sz="0" w:space="0" w:color="auto"/>
        <w:left w:val="none" w:sz="0" w:space="0" w:color="auto"/>
        <w:bottom w:val="none" w:sz="0" w:space="0" w:color="auto"/>
        <w:right w:val="none" w:sz="0" w:space="0" w:color="auto"/>
      </w:divBdr>
    </w:div>
    <w:div w:id="647250669">
      <w:bodyDiv w:val="1"/>
      <w:marLeft w:val="0"/>
      <w:marRight w:val="0"/>
      <w:marTop w:val="0"/>
      <w:marBottom w:val="0"/>
      <w:divBdr>
        <w:top w:val="none" w:sz="0" w:space="0" w:color="auto"/>
        <w:left w:val="none" w:sz="0" w:space="0" w:color="auto"/>
        <w:bottom w:val="none" w:sz="0" w:space="0" w:color="auto"/>
        <w:right w:val="none" w:sz="0" w:space="0" w:color="auto"/>
      </w:divBdr>
    </w:div>
    <w:div w:id="691224937">
      <w:bodyDiv w:val="1"/>
      <w:marLeft w:val="0"/>
      <w:marRight w:val="0"/>
      <w:marTop w:val="0"/>
      <w:marBottom w:val="0"/>
      <w:divBdr>
        <w:top w:val="none" w:sz="0" w:space="0" w:color="auto"/>
        <w:left w:val="none" w:sz="0" w:space="0" w:color="auto"/>
        <w:bottom w:val="none" w:sz="0" w:space="0" w:color="auto"/>
        <w:right w:val="none" w:sz="0" w:space="0" w:color="auto"/>
      </w:divBdr>
    </w:div>
    <w:div w:id="703988328">
      <w:bodyDiv w:val="1"/>
      <w:marLeft w:val="0"/>
      <w:marRight w:val="0"/>
      <w:marTop w:val="0"/>
      <w:marBottom w:val="0"/>
      <w:divBdr>
        <w:top w:val="none" w:sz="0" w:space="0" w:color="auto"/>
        <w:left w:val="none" w:sz="0" w:space="0" w:color="auto"/>
        <w:bottom w:val="none" w:sz="0" w:space="0" w:color="auto"/>
        <w:right w:val="none" w:sz="0" w:space="0" w:color="auto"/>
      </w:divBdr>
    </w:div>
    <w:div w:id="717704115">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6460085">
      <w:bodyDiv w:val="1"/>
      <w:marLeft w:val="0"/>
      <w:marRight w:val="0"/>
      <w:marTop w:val="0"/>
      <w:marBottom w:val="0"/>
      <w:divBdr>
        <w:top w:val="none" w:sz="0" w:space="0" w:color="auto"/>
        <w:left w:val="none" w:sz="0" w:space="0" w:color="auto"/>
        <w:bottom w:val="none" w:sz="0" w:space="0" w:color="auto"/>
        <w:right w:val="none" w:sz="0" w:space="0" w:color="auto"/>
      </w:divBdr>
    </w:div>
    <w:div w:id="785196518">
      <w:bodyDiv w:val="1"/>
      <w:marLeft w:val="0"/>
      <w:marRight w:val="0"/>
      <w:marTop w:val="0"/>
      <w:marBottom w:val="0"/>
      <w:divBdr>
        <w:top w:val="none" w:sz="0" w:space="0" w:color="auto"/>
        <w:left w:val="none" w:sz="0" w:space="0" w:color="auto"/>
        <w:bottom w:val="none" w:sz="0" w:space="0" w:color="auto"/>
        <w:right w:val="none" w:sz="0" w:space="0" w:color="auto"/>
      </w:divBdr>
    </w:div>
    <w:div w:id="801658695">
      <w:bodyDiv w:val="1"/>
      <w:marLeft w:val="0"/>
      <w:marRight w:val="0"/>
      <w:marTop w:val="0"/>
      <w:marBottom w:val="0"/>
      <w:divBdr>
        <w:top w:val="none" w:sz="0" w:space="0" w:color="auto"/>
        <w:left w:val="none" w:sz="0" w:space="0" w:color="auto"/>
        <w:bottom w:val="none" w:sz="0" w:space="0" w:color="auto"/>
        <w:right w:val="none" w:sz="0" w:space="0" w:color="auto"/>
      </w:divBdr>
    </w:div>
    <w:div w:id="802388707">
      <w:bodyDiv w:val="1"/>
      <w:marLeft w:val="0"/>
      <w:marRight w:val="0"/>
      <w:marTop w:val="0"/>
      <w:marBottom w:val="0"/>
      <w:divBdr>
        <w:top w:val="none" w:sz="0" w:space="0" w:color="auto"/>
        <w:left w:val="none" w:sz="0" w:space="0" w:color="auto"/>
        <w:bottom w:val="none" w:sz="0" w:space="0" w:color="auto"/>
        <w:right w:val="none" w:sz="0" w:space="0" w:color="auto"/>
      </w:divBdr>
    </w:div>
    <w:div w:id="803156399">
      <w:bodyDiv w:val="1"/>
      <w:marLeft w:val="0"/>
      <w:marRight w:val="0"/>
      <w:marTop w:val="0"/>
      <w:marBottom w:val="0"/>
      <w:divBdr>
        <w:top w:val="none" w:sz="0" w:space="0" w:color="auto"/>
        <w:left w:val="none" w:sz="0" w:space="0" w:color="auto"/>
        <w:bottom w:val="none" w:sz="0" w:space="0" w:color="auto"/>
        <w:right w:val="none" w:sz="0" w:space="0" w:color="auto"/>
      </w:divBdr>
    </w:div>
    <w:div w:id="856499363">
      <w:bodyDiv w:val="1"/>
      <w:marLeft w:val="0"/>
      <w:marRight w:val="0"/>
      <w:marTop w:val="0"/>
      <w:marBottom w:val="0"/>
      <w:divBdr>
        <w:top w:val="none" w:sz="0" w:space="0" w:color="auto"/>
        <w:left w:val="none" w:sz="0" w:space="0" w:color="auto"/>
        <w:bottom w:val="none" w:sz="0" w:space="0" w:color="auto"/>
        <w:right w:val="none" w:sz="0" w:space="0" w:color="auto"/>
      </w:divBdr>
    </w:div>
    <w:div w:id="876893467">
      <w:bodyDiv w:val="1"/>
      <w:marLeft w:val="0"/>
      <w:marRight w:val="0"/>
      <w:marTop w:val="0"/>
      <w:marBottom w:val="0"/>
      <w:divBdr>
        <w:top w:val="none" w:sz="0" w:space="0" w:color="auto"/>
        <w:left w:val="none" w:sz="0" w:space="0" w:color="auto"/>
        <w:bottom w:val="none" w:sz="0" w:space="0" w:color="auto"/>
        <w:right w:val="none" w:sz="0" w:space="0" w:color="auto"/>
      </w:divBdr>
    </w:div>
    <w:div w:id="878472278">
      <w:bodyDiv w:val="1"/>
      <w:marLeft w:val="0"/>
      <w:marRight w:val="0"/>
      <w:marTop w:val="0"/>
      <w:marBottom w:val="0"/>
      <w:divBdr>
        <w:top w:val="none" w:sz="0" w:space="0" w:color="auto"/>
        <w:left w:val="none" w:sz="0" w:space="0" w:color="auto"/>
        <w:bottom w:val="none" w:sz="0" w:space="0" w:color="auto"/>
        <w:right w:val="none" w:sz="0" w:space="0" w:color="auto"/>
      </w:divBdr>
    </w:div>
    <w:div w:id="937103646">
      <w:bodyDiv w:val="1"/>
      <w:marLeft w:val="0"/>
      <w:marRight w:val="0"/>
      <w:marTop w:val="0"/>
      <w:marBottom w:val="0"/>
      <w:divBdr>
        <w:top w:val="none" w:sz="0" w:space="0" w:color="auto"/>
        <w:left w:val="none" w:sz="0" w:space="0" w:color="auto"/>
        <w:bottom w:val="none" w:sz="0" w:space="0" w:color="auto"/>
        <w:right w:val="none" w:sz="0" w:space="0" w:color="auto"/>
      </w:divBdr>
    </w:div>
    <w:div w:id="941960560">
      <w:bodyDiv w:val="1"/>
      <w:marLeft w:val="0"/>
      <w:marRight w:val="0"/>
      <w:marTop w:val="0"/>
      <w:marBottom w:val="0"/>
      <w:divBdr>
        <w:top w:val="none" w:sz="0" w:space="0" w:color="auto"/>
        <w:left w:val="none" w:sz="0" w:space="0" w:color="auto"/>
        <w:bottom w:val="none" w:sz="0" w:space="0" w:color="auto"/>
        <w:right w:val="none" w:sz="0" w:space="0" w:color="auto"/>
      </w:divBdr>
    </w:div>
    <w:div w:id="967710287">
      <w:bodyDiv w:val="1"/>
      <w:marLeft w:val="0"/>
      <w:marRight w:val="0"/>
      <w:marTop w:val="0"/>
      <w:marBottom w:val="0"/>
      <w:divBdr>
        <w:top w:val="none" w:sz="0" w:space="0" w:color="auto"/>
        <w:left w:val="none" w:sz="0" w:space="0" w:color="auto"/>
        <w:bottom w:val="none" w:sz="0" w:space="0" w:color="auto"/>
        <w:right w:val="none" w:sz="0" w:space="0" w:color="auto"/>
      </w:divBdr>
    </w:div>
    <w:div w:id="1003509316">
      <w:bodyDiv w:val="1"/>
      <w:marLeft w:val="0"/>
      <w:marRight w:val="0"/>
      <w:marTop w:val="0"/>
      <w:marBottom w:val="0"/>
      <w:divBdr>
        <w:top w:val="none" w:sz="0" w:space="0" w:color="auto"/>
        <w:left w:val="none" w:sz="0" w:space="0" w:color="auto"/>
        <w:bottom w:val="none" w:sz="0" w:space="0" w:color="auto"/>
        <w:right w:val="none" w:sz="0" w:space="0" w:color="auto"/>
      </w:divBdr>
    </w:div>
    <w:div w:id="1013872003">
      <w:bodyDiv w:val="1"/>
      <w:marLeft w:val="0"/>
      <w:marRight w:val="0"/>
      <w:marTop w:val="0"/>
      <w:marBottom w:val="0"/>
      <w:divBdr>
        <w:top w:val="none" w:sz="0" w:space="0" w:color="auto"/>
        <w:left w:val="none" w:sz="0" w:space="0" w:color="auto"/>
        <w:bottom w:val="none" w:sz="0" w:space="0" w:color="auto"/>
        <w:right w:val="none" w:sz="0" w:space="0" w:color="auto"/>
      </w:divBdr>
    </w:div>
    <w:div w:id="1073234354">
      <w:bodyDiv w:val="1"/>
      <w:marLeft w:val="0"/>
      <w:marRight w:val="0"/>
      <w:marTop w:val="0"/>
      <w:marBottom w:val="0"/>
      <w:divBdr>
        <w:top w:val="none" w:sz="0" w:space="0" w:color="auto"/>
        <w:left w:val="none" w:sz="0" w:space="0" w:color="auto"/>
        <w:bottom w:val="none" w:sz="0" w:space="0" w:color="auto"/>
        <w:right w:val="none" w:sz="0" w:space="0" w:color="auto"/>
      </w:divBdr>
    </w:div>
    <w:div w:id="1078409006">
      <w:bodyDiv w:val="1"/>
      <w:marLeft w:val="0"/>
      <w:marRight w:val="0"/>
      <w:marTop w:val="0"/>
      <w:marBottom w:val="0"/>
      <w:divBdr>
        <w:top w:val="none" w:sz="0" w:space="0" w:color="auto"/>
        <w:left w:val="none" w:sz="0" w:space="0" w:color="auto"/>
        <w:bottom w:val="none" w:sz="0" w:space="0" w:color="auto"/>
        <w:right w:val="none" w:sz="0" w:space="0" w:color="auto"/>
      </w:divBdr>
    </w:div>
    <w:div w:id="1084259588">
      <w:bodyDiv w:val="1"/>
      <w:marLeft w:val="0"/>
      <w:marRight w:val="0"/>
      <w:marTop w:val="0"/>
      <w:marBottom w:val="0"/>
      <w:divBdr>
        <w:top w:val="none" w:sz="0" w:space="0" w:color="auto"/>
        <w:left w:val="none" w:sz="0" w:space="0" w:color="auto"/>
        <w:bottom w:val="none" w:sz="0" w:space="0" w:color="auto"/>
        <w:right w:val="none" w:sz="0" w:space="0" w:color="auto"/>
      </w:divBdr>
    </w:div>
    <w:div w:id="1152404842">
      <w:bodyDiv w:val="1"/>
      <w:marLeft w:val="0"/>
      <w:marRight w:val="0"/>
      <w:marTop w:val="0"/>
      <w:marBottom w:val="0"/>
      <w:divBdr>
        <w:top w:val="none" w:sz="0" w:space="0" w:color="auto"/>
        <w:left w:val="none" w:sz="0" w:space="0" w:color="auto"/>
        <w:bottom w:val="none" w:sz="0" w:space="0" w:color="auto"/>
        <w:right w:val="none" w:sz="0" w:space="0" w:color="auto"/>
      </w:divBdr>
    </w:div>
    <w:div w:id="1179999799">
      <w:bodyDiv w:val="1"/>
      <w:marLeft w:val="0"/>
      <w:marRight w:val="0"/>
      <w:marTop w:val="0"/>
      <w:marBottom w:val="0"/>
      <w:divBdr>
        <w:top w:val="none" w:sz="0" w:space="0" w:color="auto"/>
        <w:left w:val="none" w:sz="0" w:space="0" w:color="auto"/>
        <w:bottom w:val="none" w:sz="0" w:space="0" w:color="auto"/>
        <w:right w:val="none" w:sz="0" w:space="0" w:color="auto"/>
      </w:divBdr>
    </w:div>
    <w:div w:id="1211961415">
      <w:bodyDiv w:val="1"/>
      <w:marLeft w:val="0"/>
      <w:marRight w:val="0"/>
      <w:marTop w:val="0"/>
      <w:marBottom w:val="0"/>
      <w:divBdr>
        <w:top w:val="none" w:sz="0" w:space="0" w:color="auto"/>
        <w:left w:val="none" w:sz="0" w:space="0" w:color="auto"/>
        <w:bottom w:val="none" w:sz="0" w:space="0" w:color="auto"/>
        <w:right w:val="none" w:sz="0" w:space="0" w:color="auto"/>
      </w:divBdr>
    </w:div>
    <w:div w:id="1227447327">
      <w:bodyDiv w:val="1"/>
      <w:marLeft w:val="0"/>
      <w:marRight w:val="0"/>
      <w:marTop w:val="0"/>
      <w:marBottom w:val="0"/>
      <w:divBdr>
        <w:top w:val="none" w:sz="0" w:space="0" w:color="auto"/>
        <w:left w:val="none" w:sz="0" w:space="0" w:color="auto"/>
        <w:bottom w:val="none" w:sz="0" w:space="0" w:color="auto"/>
        <w:right w:val="none" w:sz="0" w:space="0" w:color="auto"/>
      </w:divBdr>
    </w:div>
    <w:div w:id="1268461259">
      <w:bodyDiv w:val="1"/>
      <w:marLeft w:val="0"/>
      <w:marRight w:val="0"/>
      <w:marTop w:val="0"/>
      <w:marBottom w:val="0"/>
      <w:divBdr>
        <w:top w:val="none" w:sz="0" w:space="0" w:color="auto"/>
        <w:left w:val="none" w:sz="0" w:space="0" w:color="auto"/>
        <w:bottom w:val="none" w:sz="0" w:space="0" w:color="auto"/>
        <w:right w:val="none" w:sz="0" w:space="0" w:color="auto"/>
      </w:divBdr>
    </w:div>
    <w:div w:id="1357147920">
      <w:bodyDiv w:val="1"/>
      <w:marLeft w:val="0"/>
      <w:marRight w:val="0"/>
      <w:marTop w:val="0"/>
      <w:marBottom w:val="0"/>
      <w:divBdr>
        <w:top w:val="none" w:sz="0" w:space="0" w:color="auto"/>
        <w:left w:val="none" w:sz="0" w:space="0" w:color="auto"/>
        <w:bottom w:val="none" w:sz="0" w:space="0" w:color="auto"/>
        <w:right w:val="none" w:sz="0" w:space="0" w:color="auto"/>
      </w:divBdr>
    </w:div>
    <w:div w:id="1423915009">
      <w:bodyDiv w:val="1"/>
      <w:marLeft w:val="0"/>
      <w:marRight w:val="0"/>
      <w:marTop w:val="0"/>
      <w:marBottom w:val="0"/>
      <w:divBdr>
        <w:top w:val="none" w:sz="0" w:space="0" w:color="auto"/>
        <w:left w:val="none" w:sz="0" w:space="0" w:color="auto"/>
        <w:bottom w:val="none" w:sz="0" w:space="0" w:color="auto"/>
        <w:right w:val="none" w:sz="0" w:space="0" w:color="auto"/>
      </w:divBdr>
    </w:div>
    <w:div w:id="1501198589">
      <w:bodyDiv w:val="1"/>
      <w:marLeft w:val="0"/>
      <w:marRight w:val="0"/>
      <w:marTop w:val="0"/>
      <w:marBottom w:val="0"/>
      <w:divBdr>
        <w:top w:val="none" w:sz="0" w:space="0" w:color="auto"/>
        <w:left w:val="none" w:sz="0" w:space="0" w:color="auto"/>
        <w:bottom w:val="none" w:sz="0" w:space="0" w:color="auto"/>
        <w:right w:val="none" w:sz="0" w:space="0" w:color="auto"/>
      </w:divBdr>
    </w:div>
    <w:div w:id="1518277907">
      <w:bodyDiv w:val="1"/>
      <w:marLeft w:val="0"/>
      <w:marRight w:val="0"/>
      <w:marTop w:val="0"/>
      <w:marBottom w:val="0"/>
      <w:divBdr>
        <w:top w:val="none" w:sz="0" w:space="0" w:color="auto"/>
        <w:left w:val="none" w:sz="0" w:space="0" w:color="auto"/>
        <w:bottom w:val="none" w:sz="0" w:space="0" w:color="auto"/>
        <w:right w:val="none" w:sz="0" w:space="0" w:color="auto"/>
      </w:divBdr>
    </w:div>
    <w:div w:id="1519931816">
      <w:bodyDiv w:val="1"/>
      <w:marLeft w:val="0"/>
      <w:marRight w:val="0"/>
      <w:marTop w:val="0"/>
      <w:marBottom w:val="0"/>
      <w:divBdr>
        <w:top w:val="none" w:sz="0" w:space="0" w:color="auto"/>
        <w:left w:val="none" w:sz="0" w:space="0" w:color="auto"/>
        <w:bottom w:val="none" w:sz="0" w:space="0" w:color="auto"/>
        <w:right w:val="none" w:sz="0" w:space="0" w:color="auto"/>
      </w:divBdr>
    </w:div>
    <w:div w:id="1561860430">
      <w:bodyDiv w:val="1"/>
      <w:marLeft w:val="0"/>
      <w:marRight w:val="0"/>
      <w:marTop w:val="0"/>
      <w:marBottom w:val="0"/>
      <w:divBdr>
        <w:top w:val="none" w:sz="0" w:space="0" w:color="auto"/>
        <w:left w:val="none" w:sz="0" w:space="0" w:color="auto"/>
        <w:bottom w:val="none" w:sz="0" w:space="0" w:color="auto"/>
        <w:right w:val="none" w:sz="0" w:space="0" w:color="auto"/>
      </w:divBdr>
    </w:div>
    <w:div w:id="1569419965">
      <w:bodyDiv w:val="1"/>
      <w:marLeft w:val="0"/>
      <w:marRight w:val="0"/>
      <w:marTop w:val="0"/>
      <w:marBottom w:val="0"/>
      <w:divBdr>
        <w:top w:val="none" w:sz="0" w:space="0" w:color="auto"/>
        <w:left w:val="none" w:sz="0" w:space="0" w:color="auto"/>
        <w:bottom w:val="none" w:sz="0" w:space="0" w:color="auto"/>
        <w:right w:val="none" w:sz="0" w:space="0" w:color="auto"/>
      </w:divBdr>
    </w:div>
    <w:div w:id="1682705238">
      <w:bodyDiv w:val="1"/>
      <w:marLeft w:val="0"/>
      <w:marRight w:val="0"/>
      <w:marTop w:val="0"/>
      <w:marBottom w:val="0"/>
      <w:divBdr>
        <w:top w:val="none" w:sz="0" w:space="0" w:color="auto"/>
        <w:left w:val="none" w:sz="0" w:space="0" w:color="auto"/>
        <w:bottom w:val="none" w:sz="0" w:space="0" w:color="auto"/>
        <w:right w:val="none" w:sz="0" w:space="0" w:color="auto"/>
      </w:divBdr>
    </w:div>
    <w:div w:id="1697805836">
      <w:bodyDiv w:val="1"/>
      <w:marLeft w:val="0"/>
      <w:marRight w:val="0"/>
      <w:marTop w:val="0"/>
      <w:marBottom w:val="0"/>
      <w:divBdr>
        <w:top w:val="none" w:sz="0" w:space="0" w:color="auto"/>
        <w:left w:val="none" w:sz="0" w:space="0" w:color="auto"/>
        <w:bottom w:val="none" w:sz="0" w:space="0" w:color="auto"/>
        <w:right w:val="none" w:sz="0" w:space="0" w:color="auto"/>
      </w:divBdr>
    </w:div>
    <w:div w:id="1769933373">
      <w:bodyDiv w:val="1"/>
      <w:marLeft w:val="0"/>
      <w:marRight w:val="0"/>
      <w:marTop w:val="0"/>
      <w:marBottom w:val="0"/>
      <w:divBdr>
        <w:top w:val="none" w:sz="0" w:space="0" w:color="auto"/>
        <w:left w:val="none" w:sz="0" w:space="0" w:color="auto"/>
        <w:bottom w:val="none" w:sz="0" w:space="0" w:color="auto"/>
        <w:right w:val="none" w:sz="0" w:space="0" w:color="auto"/>
      </w:divBdr>
    </w:div>
    <w:div w:id="1795753081">
      <w:bodyDiv w:val="1"/>
      <w:marLeft w:val="0"/>
      <w:marRight w:val="0"/>
      <w:marTop w:val="0"/>
      <w:marBottom w:val="0"/>
      <w:divBdr>
        <w:top w:val="none" w:sz="0" w:space="0" w:color="auto"/>
        <w:left w:val="none" w:sz="0" w:space="0" w:color="auto"/>
        <w:bottom w:val="none" w:sz="0" w:space="0" w:color="auto"/>
        <w:right w:val="none" w:sz="0" w:space="0" w:color="auto"/>
      </w:divBdr>
    </w:div>
    <w:div w:id="1802334220">
      <w:bodyDiv w:val="1"/>
      <w:marLeft w:val="0"/>
      <w:marRight w:val="0"/>
      <w:marTop w:val="0"/>
      <w:marBottom w:val="0"/>
      <w:divBdr>
        <w:top w:val="none" w:sz="0" w:space="0" w:color="auto"/>
        <w:left w:val="none" w:sz="0" w:space="0" w:color="auto"/>
        <w:bottom w:val="none" w:sz="0" w:space="0" w:color="auto"/>
        <w:right w:val="none" w:sz="0" w:space="0" w:color="auto"/>
      </w:divBdr>
    </w:div>
    <w:div w:id="1845633832">
      <w:bodyDiv w:val="1"/>
      <w:marLeft w:val="0"/>
      <w:marRight w:val="0"/>
      <w:marTop w:val="0"/>
      <w:marBottom w:val="0"/>
      <w:divBdr>
        <w:top w:val="none" w:sz="0" w:space="0" w:color="auto"/>
        <w:left w:val="none" w:sz="0" w:space="0" w:color="auto"/>
        <w:bottom w:val="none" w:sz="0" w:space="0" w:color="auto"/>
        <w:right w:val="none" w:sz="0" w:space="0" w:color="auto"/>
      </w:divBdr>
      <w:divsChild>
        <w:div w:id="873737739">
          <w:marLeft w:val="0"/>
          <w:marRight w:val="0"/>
          <w:marTop w:val="0"/>
          <w:marBottom w:val="0"/>
          <w:divBdr>
            <w:top w:val="none" w:sz="0" w:space="0" w:color="auto"/>
            <w:left w:val="none" w:sz="0" w:space="0" w:color="auto"/>
            <w:bottom w:val="none" w:sz="0" w:space="0" w:color="auto"/>
            <w:right w:val="none" w:sz="0" w:space="0" w:color="auto"/>
          </w:divBdr>
        </w:div>
      </w:divsChild>
    </w:div>
    <w:div w:id="1875338454">
      <w:bodyDiv w:val="1"/>
      <w:marLeft w:val="0"/>
      <w:marRight w:val="0"/>
      <w:marTop w:val="0"/>
      <w:marBottom w:val="0"/>
      <w:divBdr>
        <w:top w:val="none" w:sz="0" w:space="0" w:color="auto"/>
        <w:left w:val="none" w:sz="0" w:space="0" w:color="auto"/>
        <w:bottom w:val="none" w:sz="0" w:space="0" w:color="auto"/>
        <w:right w:val="none" w:sz="0" w:space="0" w:color="auto"/>
      </w:divBdr>
    </w:div>
    <w:div w:id="1893076868">
      <w:bodyDiv w:val="1"/>
      <w:marLeft w:val="0"/>
      <w:marRight w:val="0"/>
      <w:marTop w:val="0"/>
      <w:marBottom w:val="0"/>
      <w:divBdr>
        <w:top w:val="none" w:sz="0" w:space="0" w:color="auto"/>
        <w:left w:val="none" w:sz="0" w:space="0" w:color="auto"/>
        <w:bottom w:val="none" w:sz="0" w:space="0" w:color="auto"/>
        <w:right w:val="none" w:sz="0" w:space="0" w:color="auto"/>
      </w:divBdr>
    </w:div>
    <w:div w:id="1918632052">
      <w:bodyDiv w:val="1"/>
      <w:marLeft w:val="0"/>
      <w:marRight w:val="0"/>
      <w:marTop w:val="0"/>
      <w:marBottom w:val="0"/>
      <w:divBdr>
        <w:top w:val="none" w:sz="0" w:space="0" w:color="auto"/>
        <w:left w:val="none" w:sz="0" w:space="0" w:color="auto"/>
        <w:bottom w:val="none" w:sz="0" w:space="0" w:color="auto"/>
        <w:right w:val="none" w:sz="0" w:space="0" w:color="auto"/>
      </w:divBdr>
    </w:div>
    <w:div w:id="1935480382">
      <w:bodyDiv w:val="1"/>
      <w:marLeft w:val="0"/>
      <w:marRight w:val="0"/>
      <w:marTop w:val="0"/>
      <w:marBottom w:val="0"/>
      <w:divBdr>
        <w:top w:val="none" w:sz="0" w:space="0" w:color="auto"/>
        <w:left w:val="none" w:sz="0" w:space="0" w:color="auto"/>
        <w:bottom w:val="none" w:sz="0" w:space="0" w:color="auto"/>
        <w:right w:val="none" w:sz="0" w:space="0" w:color="auto"/>
      </w:divBdr>
    </w:div>
    <w:div w:id="1940675065">
      <w:bodyDiv w:val="1"/>
      <w:marLeft w:val="0"/>
      <w:marRight w:val="0"/>
      <w:marTop w:val="0"/>
      <w:marBottom w:val="0"/>
      <w:divBdr>
        <w:top w:val="none" w:sz="0" w:space="0" w:color="auto"/>
        <w:left w:val="none" w:sz="0" w:space="0" w:color="auto"/>
        <w:bottom w:val="none" w:sz="0" w:space="0" w:color="auto"/>
        <w:right w:val="none" w:sz="0" w:space="0" w:color="auto"/>
      </w:divBdr>
    </w:div>
    <w:div w:id="1945183400">
      <w:bodyDiv w:val="1"/>
      <w:marLeft w:val="0"/>
      <w:marRight w:val="0"/>
      <w:marTop w:val="0"/>
      <w:marBottom w:val="0"/>
      <w:divBdr>
        <w:top w:val="none" w:sz="0" w:space="0" w:color="auto"/>
        <w:left w:val="none" w:sz="0" w:space="0" w:color="auto"/>
        <w:bottom w:val="none" w:sz="0" w:space="0" w:color="auto"/>
        <w:right w:val="none" w:sz="0" w:space="0" w:color="auto"/>
      </w:divBdr>
    </w:div>
    <w:div w:id="1952088036">
      <w:bodyDiv w:val="1"/>
      <w:marLeft w:val="0"/>
      <w:marRight w:val="0"/>
      <w:marTop w:val="0"/>
      <w:marBottom w:val="0"/>
      <w:divBdr>
        <w:top w:val="none" w:sz="0" w:space="0" w:color="auto"/>
        <w:left w:val="none" w:sz="0" w:space="0" w:color="auto"/>
        <w:bottom w:val="none" w:sz="0" w:space="0" w:color="auto"/>
        <w:right w:val="none" w:sz="0" w:space="0" w:color="auto"/>
      </w:divBdr>
    </w:div>
    <w:div w:id="1960145112">
      <w:bodyDiv w:val="1"/>
      <w:marLeft w:val="0"/>
      <w:marRight w:val="0"/>
      <w:marTop w:val="0"/>
      <w:marBottom w:val="0"/>
      <w:divBdr>
        <w:top w:val="none" w:sz="0" w:space="0" w:color="auto"/>
        <w:left w:val="none" w:sz="0" w:space="0" w:color="auto"/>
        <w:bottom w:val="none" w:sz="0" w:space="0" w:color="auto"/>
        <w:right w:val="none" w:sz="0" w:space="0" w:color="auto"/>
      </w:divBdr>
    </w:div>
    <w:div w:id="1966228468">
      <w:bodyDiv w:val="1"/>
      <w:marLeft w:val="0"/>
      <w:marRight w:val="0"/>
      <w:marTop w:val="0"/>
      <w:marBottom w:val="0"/>
      <w:divBdr>
        <w:top w:val="none" w:sz="0" w:space="0" w:color="auto"/>
        <w:left w:val="none" w:sz="0" w:space="0" w:color="auto"/>
        <w:bottom w:val="none" w:sz="0" w:space="0" w:color="auto"/>
        <w:right w:val="none" w:sz="0" w:space="0" w:color="auto"/>
      </w:divBdr>
      <w:divsChild>
        <w:div w:id="562102655">
          <w:marLeft w:val="0"/>
          <w:marRight w:val="0"/>
          <w:marTop w:val="0"/>
          <w:marBottom w:val="0"/>
          <w:divBdr>
            <w:top w:val="none" w:sz="0" w:space="0" w:color="auto"/>
            <w:left w:val="none" w:sz="0" w:space="0" w:color="auto"/>
            <w:bottom w:val="none" w:sz="0" w:space="0" w:color="auto"/>
            <w:right w:val="none" w:sz="0" w:space="0" w:color="auto"/>
          </w:divBdr>
        </w:div>
      </w:divsChild>
    </w:div>
    <w:div w:id="1982347115">
      <w:bodyDiv w:val="1"/>
      <w:marLeft w:val="0"/>
      <w:marRight w:val="0"/>
      <w:marTop w:val="0"/>
      <w:marBottom w:val="0"/>
      <w:divBdr>
        <w:top w:val="none" w:sz="0" w:space="0" w:color="auto"/>
        <w:left w:val="none" w:sz="0" w:space="0" w:color="auto"/>
        <w:bottom w:val="none" w:sz="0" w:space="0" w:color="auto"/>
        <w:right w:val="none" w:sz="0" w:space="0" w:color="auto"/>
      </w:divBdr>
    </w:div>
    <w:div w:id="1993672924">
      <w:bodyDiv w:val="1"/>
      <w:marLeft w:val="0"/>
      <w:marRight w:val="0"/>
      <w:marTop w:val="0"/>
      <w:marBottom w:val="0"/>
      <w:divBdr>
        <w:top w:val="none" w:sz="0" w:space="0" w:color="auto"/>
        <w:left w:val="none" w:sz="0" w:space="0" w:color="auto"/>
        <w:bottom w:val="none" w:sz="0" w:space="0" w:color="auto"/>
        <w:right w:val="none" w:sz="0" w:space="0" w:color="auto"/>
      </w:divBdr>
    </w:div>
    <w:div w:id="2078556036">
      <w:bodyDiv w:val="1"/>
      <w:marLeft w:val="0"/>
      <w:marRight w:val="0"/>
      <w:marTop w:val="0"/>
      <w:marBottom w:val="0"/>
      <w:divBdr>
        <w:top w:val="none" w:sz="0" w:space="0" w:color="auto"/>
        <w:left w:val="none" w:sz="0" w:space="0" w:color="auto"/>
        <w:bottom w:val="none" w:sz="0" w:space="0" w:color="auto"/>
        <w:right w:val="none" w:sz="0" w:space="0" w:color="auto"/>
      </w:divBdr>
    </w:div>
    <w:div w:id="2079941924">
      <w:bodyDiv w:val="1"/>
      <w:marLeft w:val="0"/>
      <w:marRight w:val="0"/>
      <w:marTop w:val="0"/>
      <w:marBottom w:val="0"/>
      <w:divBdr>
        <w:top w:val="none" w:sz="0" w:space="0" w:color="auto"/>
        <w:left w:val="none" w:sz="0" w:space="0" w:color="auto"/>
        <w:bottom w:val="none" w:sz="0" w:space="0" w:color="auto"/>
        <w:right w:val="none" w:sz="0" w:space="0" w:color="auto"/>
      </w:divBdr>
    </w:div>
    <w:div w:id="2093236865">
      <w:bodyDiv w:val="1"/>
      <w:marLeft w:val="0"/>
      <w:marRight w:val="0"/>
      <w:marTop w:val="0"/>
      <w:marBottom w:val="0"/>
      <w:divBdr>
        <w:top w:val="none" w:sz="0" w:space="0" w:color="auto"/>
        <w:left w:val="none" w:sz="0" w:space="0" w:color="auto"/>
        <w:bottom w:val="none" w:sz="0" w:space="0" w:color="auto"/>
        <w:right w:val="none" w:sz="0" w:space="0" w:color="auto"/>
      </w:divBdr>
    </w:div>
    <w:div w:id="2121338348">
      <w:bodyDiv w:val="1"/>
      <w:marLeft w:val="0"/>
      <w:marRight w:val="0"/>
      <w:marTop w:val="0"/>
      <w:marBottom w:val="0"/>
      <w:divBdr>
        <w:top w:val="none" w:sz="0" w:space="0" w:color="auto"/>
        <w:left w:val="none" w:sz="0" w:space="0" w:color="auto"/>
        <w:bottom w:val="none" w:sz="0" w:space="0" w:color="auto"/>
        <w:right w:val="none" w:sz="0" w:space="0" w:color="auto"/>
      </w:divBdr>
    </w:div>
    <w:div w:id="21227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erine.simpson@glasgow.ac.uk" TargetMode="External"/><Relationship Id="rId13" Type="http://schemas.openxmlformats.org/officeDocument/2006/relationships/hyperlink" Target="http://www.birdlif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00267-006-0310-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holas.hanley@glasgow.ac.uk" TargetMode="External"/><Relationship Id="rId5" Type="http://schemas.openxmlformats.org/officeDocument/2006/relationships/webSettings" Target="webSettings.xml"/><Relationship Id="rId15" Type="http://schemas.openxmlformats.org/officeDocument/2006/relationships/hyperlink" Target="https://www.nuclnp.org.uk/" TargetMode="External"/><Relationship Id="rId10" Type="http://schemas.openxmlformats.org/officeDocument/2006/relationships/hyperlink" Target="mailto:p.armsworth@utk.edu" TargetMode="External"/><Relationship Id="rId4" Type="http://schemas.openxmlformats.org/officeDocument/2006/relationships/settings" Target="settings.xml"/><Relationship Id="rId9" Type="http://schemas.openxmlformats.org/officeDocument/2006/relationships/hyperlink" Target="mailto:M.Dallimer@leeds.ac.uk" TargetMode="External"/><Relationship Id="rId14" Type="http://schemas.openxmlformats.org/officeDocument/2006/relationships/hyperlink" Target="https://doi.org/10.1257/jep.27.1.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8F2AC-4004-4884-A44B-C1860D9A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49</Pages>
  <Words>21415</Words>
  <Characters>122072</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143201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Needham</dc:creator>
  <cp:keywords/>
  <dc:description/>
  <cp:lastModifiedBy>Katherine Simpson</cp:lastModifiedBy>
  <cp:revision>8</cp:revision>
  <cp:lastPrinted>2021-08-23T10:30:00Z</cp:lastPrinted>
  <dcterms:created xsi:type="dcterms:W3CDTF">2021-08-23T10:26:00Z</dcterms:created>
  <dcterms:modified xsi:type="dcterms:W3CDTF">2021-08-23T13:45:00Z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81c7ca24-9007-37e1-86bb-4ae602448046</vt:lpwstr>
  </property>
  <property fmtid="{D5CDD505-2E9C-101B-9397-08002B2CF9AE}" pid="24" name="Mendeley Citation Style_1">
    <vt:lpwstr>http://www.zotero.org/styles/chicago-author-date</vt:lpwstr>
  </property>
</Properties>
</file>