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6B9B" w14:textId="2C889531" w:rsidR="008438FF" w:rsidRPr="004A6532" w:rsidRDefault="008438FF" w:rsidP="008438FF">
      <w:pPr>
        <w:spacing w:line="360" w:lineRule="auto"/>
        <w:jc w:val="both"/>
        <w:rPr>
          <w:rFonts w:ascii="Times New Roman" w:hAnsi="Times New Roman" w:cs="Times New Roman"/>
          <w:b/>
          <w:bCs/>
          <w:sz w:val="32"/>
          <w:szCs w:val="32"/>
        </w:rPr>
      </w:pPr>
      <w:r w:rsidRPr="004A6532">
        <w:rPr>
          <w:rFonts w:ascii="Times New Roman" w:hAnsi="Times New Roman" w:cs="Times New Roman"/>
          <w:b/>
          <w:bCs/>
          <w:sz w:val="32"/>
          <w:szCs w:val="32"/>
        </w:rPr>
        <w:t>Understanding the design characteristics and performance of collective payment agri-environment schemes</w:t>
      </w:r>
    </w:p>
    <w:p w14:paraId="13581964" w14:textId="77777777" w:rsidR="004A6532" w:rsidRDefault="004A6532" w:rsidP="004A653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Authors: Mary Nthambi, Martin Dallimer and Nick Hanley </w:t>
      </w:r>
    </w:p>
    <w:p w14:paraId="0D7720A2" w14:textId="77777777" w:rsidR="008438FF" w:rsidRPr="00A019E1" w:rsidRDefault="008438FF" w:rsidP="008438FF">
      <w:pPr>
        <w:pStyle w:val="ListParagraph"/>
        <w:numPr>
          <w:ilvl w:val="0"/>
          <w:numId w:val="25"/>
        </w:num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Rationale of the review</w:t>
      </w:r>
    </w:p>
    <w:p w14:paraId="2E2B9C21" w14:textId="78B9E7D5"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hAnsi="Times New Roman" w:cs="Times New Roman"/>
          <w:sz w:val="24"/>
          <w:szCs w:val="24"/>
        </w:rPr>
        <w:t>Overall, the assessment and design of agri-environment schemes are characterised by two main perspectives – effectiveness and participation (</w:t>
      </w:r>
      <w:proofErr w:type="spellStart"/>
      <w:r w:rsidRPr="00A019E1">
        <w:rPr>
          <w:rFonts w:ascii="Times New Roman" w:hAnsi="Times New Roman" w:cs="Times New Roman"/>
          <w:sz w:val="24"/>
          <w:szCs w:val="24"/>
        </w:rPr>
        <w:t>Dik</w:t>
      </w:r>
      <w:proofErr w:type="spellEnd"/>
      <w:r w:rsidRPr="00A019E1">
        <w:rPr>
          <w:rFonts w:ascii="Times New Roman" w:hAnsi="Times New Roman" w:cs="Times New Roman"/>
          <w:sz w:val="24"/>
          <w:szCs w:val="24"/>
        </w:rPr>
        <w:t xml:space="preserve">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2021). In recent times, there is growing interest from policymakers and researchers in </w:t>
      </w:r>
      <w:r w:rsidRPr="00A019E1">
        <w:rPr>
          <w:rFonts w:ascii="Times New Roman" w:eastAsia="Times New Roman" w:hAnsi="Times New Roman" w:cs="Times New Roman"/>
          <w:i/>
          <w:iCs/>
          <w:sz w:val="24"/>
          <w:szCs w:val="24"/>
          <w:lang w:eastAsia="en-GB"/>
        </w:rPr>
        <w:t>collective payment</w:t>
      </w:r>
      <w:r w:rsidRPr="00A019E1">
        <w:rPr>
          <w:rFonts w:ascii="Times New Roman" w:eastAsia="Times New Roman" w:hAnsi="Times New Roman" w:cs="Times New Roman"/>
          <w:sz w:val="24"/>
          <w:szCs w:val="24"/>
          <w:lang w:eastAsia="en-GB"/>
        </w:rPr>
        <w:t xml:space="preserve"> agri-environment schemes, where the central focus is on how groups of farmers/landowners participate together in conservation actions, and share the benefits </w:t>
      </w:r>
      <w:r w:rsidR="003606E4">
        <w:rPr>
          <w:rFonts w:ascii="Times New Roman" w:eastAsia="Times New Roman" w:hAnsi="Times New Roman" w:cs="Times New Roman"/>
          <w:sz w:val="24"/>
          <w:szCs w:val="24"/>
          <w:lang w:eastAsia="en-GB"/>
        </w:rPr>
        <w:t xml:space="preserve">of </w:t>
      </w:r>
      <w:r w:rsidRPr="00A019E1">
        <w:rPr>
          <w:rFonts w:ascii="Times New Roman" w:eastAsia="Times New Roman" w:hAnsi="Times New Roman" w:cs="Times New Roman"/>
          <w:sz w:val="24"/>
          <w:szCs w:val="24"/>
          <w:lang w:eastAsia="en-GB"/>
        </w:rPr>
        <w:t xml:space="preserve">biodiversity conservation </w:t>
      </w:r>
      <w:proofErr w:type="gramStart"/>
      <w:r w:rsidRPr="00A019E1">
        <w:rPr>
          <w:rFonts w:ascii="Times New Roman" w:eastAsia="Times New Roman" w:hAnsi="Times New Roman" w:cs="Times New Roman"/>
          <w:sz w:val="24"/>
          <w:szCs w:val="24"/>
          <w:lang w:eastAsia="en-GB"/>
        </w:rPr>
        <w:t>e.g.</w:t>
      </w:r>
      <w:proofErr w:type="gramEnd"/>
      <w:r w:rsidRPr="00A019E1">
        <w:rPr>
          <w:rFonts w:ascii="Times New Roman" w:eastAsia="Times New Roman" w:hAnsi="Times New Roman" w:cs="Times New Roman"/>
          <w:sz w:val="24"/>
          <w:szCs w:val="24"/>
          <w:lang w:eastAsia="en-GB"/>
        </w:rPr>
        <w:t xml:space="preserve"> reduced deforestation, planting and maintaining trees (</w:t>
      </w:r>
      <w:proofErr w:type="spellStart"/>
      <w:r w:rsidRPr="00A019E1">
        <w:rPr>
          <w:rFonts w:ascii="Times New Roman" w:eastAsia="Times New Roman" w:hAnsi="Times New Roman" w:cs="Times New Roman"/>
          <w:sz w:val="24"/>
          <w:szCs w:val="24"/>
          <w:lang w:eastAsia="en-GB"/>
        </w:rPr>
        <w:t>Kaczan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w:t>
      </w:r>
      <w:proofErr w:type="spellStart"/>
      <w:r w:rsidRPr="00A019E1">
        <w:rPr>
          <w:rFonts w:ascii="Times New Roman" w:eastAsia="Times New Roman" w:hAnsi="Times New Roman" w:cs="Times New Roman"/>
          <w:sz w:val="24"/>
          <w:szCs w:val="24"/>
          <w:lang w:eastAsia="en-GB"/>
        </w:rPr>
        <w:t>Dik</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2021; </w:t>
      </w:r>
      <w:proofErr w:type="spellStart"/>
      <w:r w:rsidRPr="00A019E1">
        <w:rPr>
          <w:rFonts w:ascii="Times New Roman" w:eastAsia="Times New Roman" w:hAnsi="Times New Roman" w:cs="Times New Roman"/>
          <w:sz w:val="24"/>
          <w:szCs w:val="24"/>
          <w:lang w:eastAsia="en-GB"/>
        </w:rPr>
        <w:t>Villamayor</w:t>
      </w:r>
      <w:proofErr w:type="spellEnd"/>
      <w:r w:rsidRPr="00A019E1">
        <w:rPr>
          <w:rFonts w:ascii="Times New Roman" w:eastAsia="Times New Roman" w:hAnsi="Times New Roman" w:cs="Times New Roman"/>
          <w:sz w:val="24"/>
          <w:szCs w:val="24"/>
          <w:lang w:eastAsia="en-GB"/>
        </w:rPr>
        <w:t xml:space="preserve">-Tomas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An agri-environment scheme is said to be collective if a group of farmers/landowners/communities in formal/informal organisations enter collective conservation contracts/agreements/commitments with public authorities/government (Franks, 2010; Midler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in exchange for a payment conditional on fulfilling specified environmental requirements or actions (Hayes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2019). Thus, farmers cannot decide on their own whether to participate or not in return for a payment but must decide as a group. Collective payment schemes award contract to such groups rather than to individuals.</w:t>
      </w:r>
    </w:p>
    <w:p w14:paraId="5A115715"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Such schemes have been argued to play three major roles:</w:t>
      </w:r>
    </w:p>
    <w:p w14:paraId="6646AA33" w14:textId="77777777" w:rsidR="008438FF" w:rsidRPr="00A019E1" w:rsidRDefault="008438FF" w:rsidP="008438FF">
      <w:pPr>
        <w:pStyle w:val="ListParagraph"/>
        <w:numPr>
          <w:ilvl w:val="0"/>
          <w:numId w:val="35"/>
        </w:num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improving landscape-scale conservation outcomes (</w:t>
      </w:r>
      <w:proofErr w:type="spellStart"/>
      <w:r w:rsidRPr="00A019E1">
        <w:rPr>
          <w:rFonts w:ascii="Times New Roman" w:eastAsia="Times New Roman" w:hAnsi="Times New Roman" w:cs="Times New Roman"/>
          <w:sz w:val="24"/>
          <w:szCs w:val="24"/>
          <w:lang w:eastAsia="en-GB"/>
        </w:rPr>
        <w:t>Westerink</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2013; </w:t>
      </w:r>
      <w:proofErr w:type="spellStart"/>
      <w:r w:rsidRPr="00A019E1">
        <w:rPr>
          <w:rFonts w:ascii="Times New Roman" w:eastAsia="Times New Roman" w:hAnsi="Times New Roman" w:cs="Times New Roman"/>
          <w:sz w:val="24"/>
          <w:szCs w:val="24"/>
          <w:lang w:eastAsia="en-GB"/>
        </w:rPr>
        <w:t>Barghusen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2020), </w:t>
      </w:r>
    </w:p>
    <w:p w14:paraId="3FFC641C" w14:textId="77777777" w:rsidR="008438FF" w:rsidRPr="00A019E1" w:rsidRDefault="008438FF" w:rsidP="008438FF">
      <w:pPr>
        <w:pStyle w:val="ListParagraph"/>
        <w:numPr>
          <w:ilvl w:val="0"/>
          <w:numId w:val="35"/>
        </w:num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encouraging the participation of local farmer networks/groups and </w:t>
      </w:r>
    </w:p>
    <w:p w14:paraId="50994A22" w14:textId="77777777" w:rsidR="008438FF" w:rsidRPr="00A019E1" w:rsidRDefault="008438FF" w:rsidP="008438FF">
      <w:pPr>
        <w:pStyle w:val="ListParagraph"/>
        <w:numPr>
          <w:ilvl w:val="0"/>
          <w:numId w:val="35"/>
        </w:num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providing a link between government/NGOs and local communities (</w:t>
      </w:r>
      <w:proofErr w:type="spellStart"/>
      <w:r w:rsidRPr="00A019E1">
        <w:rPr>
          <w:rFonts w:ascii="Times New Roman" w:eastAsia="Times New Roman" w:hAnsi="Times New Roman" w:cs="Times New Roman"/>
          <w:sz w:val="24"/>
          <w:szCs w:val="24"/>
          <w:lang w:eastAsia="en-GB"/>
        </w:rPr>
        <w:t>Dik</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2021). </w:t>
      </w:r>
    </w:p>
    <w:p w14:paraId="23BDCA87"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Collective payment schemes require that landowners/farmers hold land and resources under a common land title (Hayes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2019) to be able to work together and share rewards (</w:t>
      </w:r>
      <w:proofErr w:type="spellStart"/>
      <w:r w:rsidRPr="00A019E1">
        <w:rPr>
          <w:rFonts w:ascii="Times New Roman" w:eastAsia="Times New Roman" w:hAnsi="Times New Roman" w:cs="Times New Roman"/>
          <w:sz w:val="24"/>
          <w:szCs w:val="24"/>
          <w:lang w:eastAsia="en-GB"/>
        </w:rPr>
        <w:t>Kaczan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They also require participants to have common values and beliefs, be willing to work together to change a set of land practices, set rules and abide by them, and to share information (Franks, 2010). If a collective payment scheme is to be successful neighbouring landholders must work together (Franks, 2010), since failure to achieve, this will lead to “ecological gaps” occurring due to non-participating neighbours (Riley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2018). </w:t>
      </w:r>
    </w:p>
    <w:p w14:paraId="430F5E28" w14:textId="053D01E2"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lastRenderedPageBreak/>
        <w:t>Challenges to the effectiveness of collective action schemes have been identified in different studies. They include difficulties around the identity of participants as they interact within groups and with public authorities, and how such relations affect social capital (</w:t>
      </w:r>
      <w:proofErr w:type="spellStart"/>
      <w:r w:rsidRPr="00A019E1">
        <w:rPr>
          <w:rFonts w:ascii="Times New Roman" w:eastAsia="Times New Roman" w:hAnsi="Times New Roman" w:cs="Times New Roman"/>
          <w:sz w:val="24"/>
          <w:szCs w:val="24"/>
          <w:lang w:eastAsia="en-GB"/>
        </w:rPr>
        <w:t>Westerink</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2020). Social capital has been found to reduce as environmental collectives are transformed from self-governing organi</w:t>
      </w:r>
      <w:r w:rsidR="003606E4">
        <w:rPr>
          <w:rFonts w:ascii="Times New Roman" w:eastAsia="Times New Roman" w:hAnsi="Times New Roman" w:cs="Times New Roman"/>
          <w:sz w:val="24"/>
          <w:szCs w:val="24"/>
          <w:lang w:eastAsia="en-GB"/>
        </w:rPr>
        <w:t>s</w:t>
      </w:r>
      <w:r w:rsidRPr="00A019E1">
        <w:rPr>
          <w:rFonts w:ascii="Times New Roman" w:eastAsia="Times New Roman" w:hAnsi="Times New Roman" w:cs="Times New Roman"/>
          <w:sz w:val="24"/>
          <w:szCs w:val="24"/>
          <w:lang w:eastAsia="en-GB"/>
        </w:rPr>
        <w:t>ations to formal cooperatives leading to reduced biodiversity conservation (</w:t>
      </w:r>
      <w:proofErr w:type="spellStart"/>
      <w:r w:rsidRPr="00A019E1">
        <w:rPr>
          <w:rFonts w:ascii="Times New Roman" w:eastAsia="Times New Roman" w:hAnsi="Times New Roman" w:cs="Times New Roman"/>
          <w:sz w:val="24"/>
          <w:szCs w:val="24"/>
          <w:lang w:eastAsia="en-GB"/>
        </w:rPr>
        <w:t>Westerink</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2020). Furthermore, low social capital and trust can lead to a reduced incentive to engage in future collective/group level contracts (</w:t>
      </w:r>
      <w:proofErr w:type="spellStart"/>
      <w:r w:rsidRPr="00A019E1">
        <w:rPr>
          <w:rFonts w:ascii="Times New Roman" w:hAnsi="Times New Roman" w:cs="Times New Roman"/>
          <w:sz w:val="24"/>
          <w:szCs w:val="24"/>
        </w:rPr>
        <w:t>Narloch</w:t>
      </w:r>
      <w:proofErr w:type="spellEnd"/>
      <w:r w:rsidRPr="00A019E1">
        <w:rPr>
          <w:rFonts w:ascii="Times New Roman" w:hAnsi="Times New Roman" w:cs="Times New Roman"/>
          <w:sz w:val="24"/>
          <w:szCs w:val="24"/>
        </w:rPr>
        <w:t xml:space="preserve">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 If a collective payment scheme is to change behaviour, and provide social, economic and ecological benefits to participants, then its design should account for local institutional dynamics among other scheme characteristics (</w:t>
      </w:r>
      <w:r w:rsidRPr="00A019E1">
        <w:rPr>
          <w:rFonts w:ascii="Times New Roman" w:eastAsia="Times New Roman" w:hAnsi="Times New Roman" w:cs="Times New Roman"/>
          <w:sz w:val="24"/>
          <w:szCs w:val="24"/>
          <w:lang w:eastAsia="en-GB"/>
        </w:rPr>
        <w:t xml:space="preserve">Hayes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2019). These schemes are highly dependent on the nature of existing local institutions as they are characterised by collective decision-making: individual rewards are indirectly linked to individual member efforts and second-order collective action problems resulting from external relations (Hayes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2019). Building relationships with other potential members of a collective contract is associated with high transaction costs as farmers/landowners choose between different options (Franks, 2010). Amidst the above-stated arguments, collective payment schemes have been applied to deliver desirable biodiversity outcomes e.g., improve water quality (2019) and increase forest area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2017).</w:t>
      </w:r>
    </w:p>
    <w:p w14:paraId="3F9BF874"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To date, there has been a limited implementation of collective payment schemes, and little literature on this type of program. To be able to identify and understand why their implementation is limited despite their potential importance, a systematic review of existing empirical studies is required. So far two systematic reviews on collective payment schemes have been produced- Hayes et al. (2019) and </w:t>
      </w:r>
      <w:proofErr w:type="spellStart"/>
      <w:r w:rsidRPr="00A019E1">
        <w:rPr>
          <w:rFonts w:ascii="Times New Roman" w:eastAsia="Times New Roman" w:hAnsi="Times New Roman" w:cs="Times New Roman"/>
          <w:sz w:val="24"/>
          <w:szCs w:val="24"/>
          <w:lang w:eastAsia="en-GB"/>
        </w:rPr>
        <w:t>Westerink</w:t>
      </w:r>
      <w:proofErr w:type="spellEnd"/>
      <w:r w:rsidRPr="00A019E1">
        <w:rPr>
          <w:rFonts w:ascii="Times New Roman" w:eastAsia="Times New Roman" w:hAnsi="Times New Roman" w:cs="Times New Roman"/>
          <w:sz w:val="24"/>
          <w:szCs w:val="24"/>
          <w:lang w:eastAsia="en-GB"/>
        </w:rPr>
        <w:t xml:space="preserve"> et al. (2020). Hayes et al. (2019) review is </w:t>
      </w:r>
      <w:proofErr w:type="spellStart"/>
      <w:r w:rsidRPr="00A019E1">
        <w:rPr>
          <w:rFonts w:ascii="Times New Roman" w:eastAsia="Times New Roman" w:hAnsi="Times New Roman" w:cs="Times New Roman"/>
          <w:sz w:val="24"/>
          <w:szCs w:val="24"/>
          <w:lang w:eastAsia="en-GB"/>
        </w:rPr>
        <w:t>centered</w:t>
      </w:r>
      <w:proofErr w:type="spellEnd"/>
      <w:r w:rsidRPr="00A019E1">
        <w:rPr>
          <w:rFonts w:ascii="Times New Roman" w:eastAsia="Times New Roman" w:hAnsi="Times New Roman" w:cs="Times New Roman"/>
          <w:sz w:val="24"/>
          <w:szCs w:val="24"/>
          <w:lang w:eastAsia="en-GB"/>
        </w:rPr>
        <w:t xml:space="preserve"> around how local institutional dynamics change the behaviour of participants. </w:t>
      </w:r>
      <w:proofErr w:type="spellStart"/>
      <w:r w:rsidRPr="00A019E1">
        <w:rPr>
          <w:rFonts w:ascii="Times New Roman" w:eastAsia="Times New Roman" w:hAnsi="Times New Roman" w:cs="Times New Roman"/>
          <w:sz w:val="24"/>
          <w:szCs w:val="24"/>
          <w:lang w:eastAsia="en-GB"/>
        </w:rPr>
        <w:t>Westerink</w:t>
      </w:r>
      <w:proofErr w:type="spellEnd"/>
      <w:r w:rsidRPr="00A019E1">
        <w:rPr>
          <w:rFonts w:ascii="Times New Roman" w:eastAsia="Times New Roman" w:hAnsi="Times New Roman" w:cs="Times New Roman"/>
          <w:sz w:val="24"/>
          <w:szCs w:val="24"/>
          <w:lang w:eastAsia="en-GB"/>
        </w:rPr>
        <w:t xml:space="preserve"> et al. (2020) focus on the identity of collectives and the impact of changes on internal and external bonding and social capital. Even with these two reviews, there is still a need to provide a more detailed synthesis of the literature on the design characteristics of these schemes, whether and how their implementation strengthens social and cultural capital and the potential for within-group and second-order problems arising from external relationships. We also wish to identify important knowledge gaps.</w:t>
      </w:r>
    </w:p>
    <w:p w14:paraId="5D973E66"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Therefore, we synthesise existing literature to meet the following objectives, to identify: </w:t>
      </w:r>
    </w:p>
    <w:p w14:paraId="0E41BB1B" w14:textId="77777777" w:rsidR="008438FF" w:rsidRPr="00A019E1" w:rsidRDefault="008438FF" w:rsidP="008438FF">
      <w:pPr>
        <w:pStyle w:val="ListParagraph"/>
        <w:numPr>
          <w:ilvl w:val="0"/>
          <w:numId w:val="26"/>
        </w:num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lastRenderedPageBreak/>
        <w:t>scheme design characteristics and their role in enhancing cooperation to participate in collective payments schemes,</w:t>
      </w:r>
    </w:p>
    <w:p w14:paraId="0AB3AB71" w14:textId="77777777" w:rsidR="008438FF" w:rsidRPr="00A019E1" w:rsidRDefault="008438FF" w:rsidP="008438FF">
      <w:pPr>
        <w:pStyle w:val="ListParagraph"/>
        <w:numPr>
          <w:ilvl w:val="0"/>
          <w:numId w:val="26"/>
        </w:num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how collective payment schemes strengthen social and cultural capital,</w:t>
      </w:r>
    </w:p>
    <w:p w14:paraId="29C4BD1C" w14:textId="77777777" w:rsidR="008438FF" w:rsidRPr="00A019E1" w:rsidRDefault="008438FF" w:rsidP="008438FF">
      <w:pPr>
        <w:pStyle w:val="ListParagraph"/>
        <w:numPr>
          <w:ilvl w:val="0"/>
          <w:numId w:val="26"/>
        </w:num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potential within group and second-order problems arising from farmers/landowner relations with public authorities,</w:t>
      </w:r>
    </w:p>
    <w:p w14:paraId="7B979157" w14:textId="77777777" w:rsidR="008438FF" w:rsidRPr="00A019E1" w:rsidRDefault="008438FF" w:rsidP="008438FF">
      <w:pPr>
        <w:pStyle w:val="ListParagraph"/>
        <w:numPr>
          <w:ilvl w:val="0"/>
          <w:numId w:val="26"/>
        </w:num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existing research gaps</w:t>
      </w:r>
    </w:p>
    <w:p w14:paraId="00AFC353"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We meet these objectives through a systematic synthesis of literature using the scoping review method (Arksey and O’Malley, 2005).</w:t>
      </w:r>
    </w:p>
    <w:p w14:paraId="71E4FF6C" w14:textId="77777777" w:rsidR="008438FF" w:rsidRPr="00A019E1" w:rsidRDefault="008438FF" w:rsidP="008438FF">
      <w:pPr>
        <w:spacing w:line="360" w:lineRule="auto"/>
        <w:jc w:val="both"/>
        <w:rPr>
          <w:rFonts w:ascii="Times New Roman" w:eastAsia="Times New Roman" w:hAnsi="Times New Roman" w:cs="Times New Roman"/>
          <w:sz w:val="2"/>
          <w:szCs w:val="2"/>
          <w:lang w:eastAsia="en-GB"/>
        </w:rPr>
      </w:pPr>
    </w:p>
    <w:p w14:paraId="7927BBE2" w14:textId="77777777" w:rsidR="008438FF" w:rsidRPr="00A019E1" w:rsidRDefault="008438FF" w:rsidP="008438FF">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Research questions</w:t>
      </w:r>
    </w:p>
    <w:p w14:paraId="045FB6D4" w14:textId="58F1F882" w:rsidR="008438FF" w:rsidRPr="00A019E1" w:rsidRDefault="008438FF" w:rsidP="008438FF">
      <w:pPr>
        <w:spacing w:line="360" w:lineRule="auto"/>
        <w:jc w:val="both"/>
        <w:rPr>
          <w:rFonts w:ascii="Times New Roman" w:hAnsi="Times New Roman" w:cs="Times New Roman"/>
          <w:b/>
          <w:bCs/>
          <w:sz w:val="24"/>
          <w:szCs w:val="24"/>
        </w:rPr>
      </w:pPr>
      <w:r w:rsidRPr="00A019E1">
        <w:rPr>
          <w:rFonts w:ascii="Times New Roman" w:hAnsi="Times New Roman" w:cs="Times New Roman"/>
          <w:sz w:val="24"/>
          <w:szCs w:val="24"/>
        </w:rPr>
        <w:t xml:space="preserve">We implement our scoping review in form of a detailed systematic review summary (see also supplementary material </w:t>
      </w:r>
      <w:r w:rsidR="00056050">
        <w:rPr>
          <w:rFonts w:ascii="Times New Roman" w:hAnsi="Times New Roman" w:cs="Times New Roman"/>
          <w:sz w:val="24"/>
          <w:szCs w:val="24"/>
        </w:rPr>
        <w:t>– excel sheet summary on collective payment schemes</w:t>
      </w:r>
      <w:r w:rsidRPr="00A019E1">
        <w:rPr>
          <w:rFonts w:ascii="Times New Roman" w:hAnsi="Times New Roman" w:cs="Times New Roman"/>
          <w:sz w:val="24"/>
          <w:szCs w:val="24"/>
        </w:rPr>
        <w:t xml:space="preserve">) while answering the following questions: </w:t>
      </w:r>
    </w:p>
    <w:p w14:paraId="66F5A1E1" w14:textId="77777777" w:rsidR="008438FF" w:rsidRPr="00A019E1" w:rsidRDefault="008438FF" w:rsidP="008438FF">
      <w:pPr>
        <w:pStyle w:val="ListParagraph"/>
        <w:numPr>
          <w:ilvl w:val="0"/>
          <w:numId w:val="28"/>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What agri-environment design characteristics motivate farmers to </w:t>
      </w:r>
      <w:proofErr w:type="spellStart"/>
      <w:r w:rsidRPr="00A019E1">
        <w:rPr>
          <w:rFonts w:ascii="Times New Roman" w:hAnsi="Times New Roman" w:cs="Times New Roman"/>
          <w:sz w:val="24"/>
          <w:szCs w:val="24"/>
        </w:rPr>
        <w:t>enroll</w:t>
      </w:r>
      <w:proofErr w:type="spellEnd"/>
      <w:r w:rsidRPr="00A019E1">
        <w:rPr>
          <w:rFonts w:ascii="Times New Roman" w:hAnsi="Times New Roman" w:cs="Times New Roman"/>
          <w:sz w:val="24"/>
          <w:szCs w:val="24"/>
        </w:rPr>
        <w:t xml:space="preserve"> in collective payment schemes?</w:t>
      </w:r>
    </w:p>
    <w:p w14:paraId="78501DC9" w14:textId="77777777" w:rsidR="008438FF" w:rsidRPr="00A019E1" w:rsidRDefault="008438FF" w:rsidP="008438FF">
      <w:pPr>
        <w:pStyle w:val="ListParagraph"/>
        <w:numPr>
          <w:ilvl w:val="0"/>
          <w:numId w:val="28"/>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What role do collective payment schemes play in strengthening social and cultural capital?</w:t>
      </w:r>
    </w:p>
    <w:p w14:paraId="34939B2F" w14:textId="77777777" w:rsidR="008438FF" w:rsidRPr="00A019E1" w:rsidRDefault="008438FF" w:rsidP="008438FF">
      <w:pPr>
        <w:pStyle w:val="ListParagraph"/>
        <w:numPr>
          <w:ilvl w:val="0"/>
          <w:numId w:val="28"/>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What are the challenges that result from the interaction between farmer/landholder/community with public authorities/government?</w:t>
      </w:r>
    </w:p>
    <w:p w14:paraId="1DB53AF5" w14:textId="77777777" w:rsidR="008438FF" w:rsidRPr="00A019E1" w:rsidRDefault="008438FF" w:rsidP="008438FF">
      <w:pPr>
        <w:pStyle w:val="ListParagraph"/>
        <w:numPr>
          <w:ilvl w:val="0"/>
          <w:numId w:val="28"/>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What are the existing knowledge gaps in literature?</w:t>
      </w:r>
    </w:p>
    <w:p w14:paraId="4CA39D86" w14:textId="77777777" w:rsidR="008438FF" w:rsidRPr="00A019E1" w:rsidRDefault="008438FF" w:rsidP="008438FF">
      <w:pPr>
        <w:pStyle w:val="ListParagraph"/>
        <w:spacing w:line="360" w:lineRule="auto"/>
        <w:jc w:val="both"/>
        <w:rPr>
          <w:rFonts w:ascii="Times New Roman" w:hAnsi="Times New Roman" w:cs="Times New Roman"/>
          <w:sz w:val="14"/>
          <w:szCs w:val="14"/>
        </w:rPr>
      </w:pPr>
    </w:p>
    <w:p w14:paraId="3BDEF353" w14:textId="77777777" w:rsidR="008438FF" w:rsidRPr="00A019E1" w:rsidRDefault="008438FF" w:rsidP="008438FF">
      <w:pPr>
        <w:pStyle w:val="ListParagraph"/>
        <w:numPr>
          <w:ilvl w:val="0"/>
          <w:numId w:val="25"/>
        </w:numPr>
        <w:spacing w:line="360" w:lineRule="auto"/>
        <w:jc w:val="both"/>
        <w:rPr>
          <w:rFonts w:ascii="Times New Roman" w:hAnsi="Times New Roman" w:cs="Times New Roman"/>
          <w:sz w:val="24"/>
          <w:szCs w:val="24"/>
        </w:rPr>
      </w:pPr>
      <w:r w:rsidRPr="00A019E1">
        <w:rPr>
          <w:rFonts w:ascii="Times New Roman" w:hAnsi="Times New Roman" w:cs="Times New Roman"/>
          <w:b/>
          <w:bCs/>
          <w:sz w:val="24"/>
          <w:szCs w:val="24"/>
        </w:rPr>
        <w:t xml:space="preserve">Search strategy </w:t>
      </w:r>
    </w:p>
    <w:p w14:paraId="7329823A" w14:textId="77777777" w:rsidR="008438FF" w:rsidRPr="00A019E1" w:rsidRDefault="008438FF" w:rsidP="008438FF">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We found keywords and alternative terms from studies addressing collective payment schemes such as Marshall (2004), Kuhfuss et al. </w:t>
      </w:r>
      <w:r w:rsidRPr="00A019E1">
        <w:rPr>
          <w:rFonts w:ascii="Times New Roman" w:hAnsi="Times New Roman" w:cs="Times New Roman"/>
          <w:sz w:val="24"/>
          <w:szCs w:val="24"/>
          <w:lang w:val="fr-FR"/>
        </w:rPr>
        <w:t xml:space="preserve">(2016), Robinson et al. (2016), </w:t>
      </w:r>
      <w:proofErr w:type="spellStart"/>
      <w:r w:rsidRPr="00A019E1">
        <w:rPr>
          <w:rFonts w:ascii="Times New Roman" w:hAnsi="Times New Roman" w:cs="Times New Roman"/>
          <w:sz w:val="24"/>
          <w:szCs w:val="24"/>
          <w:lang w:val="fr-FR"/>
        </w:rPr>
        <w:t>Chervier</w:t>
      </w:r>
      <w:proofErr w:type="spellEnd"/>
      <w:r w:rsidRPr="00A019E1">
        <w:rPr>
          <w:rFonts w:ascii="Times New Roman" w:hAnsi="Times New Roman" w:cs="Times New Roman"/>
          <w:sz w:val="24"/>
          <w:szCs w:val="24"/>
          <w:lang w:val="fr-FR"/>
        </w:rPr>
        <w:t xml:space="preserve"> and Costedoat, (2017), Corso et al. (2017) and Riley et al. (2018). </w:t>
      </w:r>
      <w:r w:rsidRPr="00A019E1">
        <w:rPr>
          <w:rFonts w:ascii="Times New Roman" w:hAnsi="Times New Roman" w:cs="Times New Roman"/>
          <w:sz w:val="24"/>
          <w:szCs w:val="24"/>
        </w:rPr>
        <w:t>We defined different terms ‘collective</w:t>
      </w:r>
      <w:proofErr w:type="gramStart"/>
      <w:r w:rsidRPr="00A019E1">
        <w:rPr>
          <w:rFonts w:ascii="Times New Roman" w:hAnsi="Times New Roman" w:cs="Times New Roman"/>
          <w:sz w:val="24"/>
          <w:szCs w:val="24"/>
        </w:rPr>
        <w:t>’ ,</w:t>
      </w:r>
      <w:proofErr w:type="gramEnd"/>
      <w:r w:rsidRPr="00A019E1">
        <w:rPr>
          <w:rFonts w:ascii="Times New Roman" w:hAnsi="Times New Roman" w:cs="Times New Roman"/>
          <w:sz w:val="24"/>
          <w:szCs w:val="24"/>
        </w:rPr>
        <w:t>‘payments’, ‘collective contracts’ and ‘agri-environment schemes’ separately (see Table 1) without restricting their meanings to a particular geographical scope or environmental indicators.</w:t>
      </w:r>
    </w:p>
    <w:p w14:paraId="1A75EB6D" w14:textId="77777777" w:rsidR="008438FF" w:rsidRPr="00A019E1" w:rsidRDefault="008438FF" w:rsidP="008438FF">
      <w:pPr>
        <w:spacing w:line="360" w:lineRule="auto"/>
        <w:jc w:val="both"/>
        <w:rPr>
          <w:rFonts w:ascii="Times New Roman" w:hAnsi="Times New Roman" w:cs="Times New Roman"/>
          <w:sz w:val="24"/>
          <w:szCs w:val="24"/>
        </w:rPr>
      </w:pPr>
    </w:p>
    <w:p w14:paraId="38D56DEB" w14:textId="77777777" w:rsidR="008438FF" w:rsidRPr="00A019E1" w:rsidRDefault="008438FF" w:rsidP="008438FF">
      <w:pPr>
        <w:spacing w:line="360" w:lineRule="auto"/>
        <w:jc w:val="both"/>
        <w:rPr>
          <w:rFonts w:ascii="Times New Roman" w:hAnsi="Times New Roman" w:cs="Times New Roman"/>
          <w:sz w:val="24"/>
          <w:szCs w:val="24"/>
        </w:rPr>
      </w:pPr>
    </w:p>
    <w:p w14:paraId="3C5269DD" w14:textId="10740E98" w:rsidR="008438FF" w:rsidRDefault="008438FF" w:rsidP="008438FF">
      <w:pPr>
        <w:spacing w:line="360" w:lineRule="auto"/>
        <w:jc w:val="both"/>
        <w:rPr>
          <w:rFonts w:ascii="Times New Roman" w:hAnsi="Times New Roman" w:cs="Times New Roman"/>
          <w:sz w:val="24"/>
          <w:szCs w:val="24"/>
        </w:rPr>
      </w:pPr>
    </w:p>
    <w:p w14:paraId="4F609604" w14:textId="4767E527" w:rsidR="008F0BDE" w:rsidRDefault="008F0BDE" w:rsidP="008438FF">
      <w:pPr>
        <w:spacing w:line="360" w:lineRule="auto"/>
        <w:jc w:val="both"/>
        <w:rPr>
          <w:rFonts w:ascii="Times New Roman" w:hAnsi="Times New Roman" w:cs="Times New Roman"/>
          <w:sz w:val="24"/>
          <w:szCs w:val="24"/>
        </w:rPr>
      </w:pPr>
    </w:p>
    <w:p w14:paraId="77CEF0DE" w14:textId="77777777" w:rsidR="008F0BDE" w:rsidRPr="00A019E1" w:rsidRDefault="008F0BDE" w:rsidP="008438FF">
      <w:pPr>
        <w:spacing w:line="360" w:lineRule="auto"/>
        <w:jc w:val="both"/>
        <w:rPr>
          <w:rFonts w:ascii="Times New Roman" w:hAnsi="Times New Roman" w:cs="Times New Roman"/>
          <w:sz w:val="24"/>
          <w:szCs w:val="24"/>
        </w:rPr>
      </w:pPr>
    </w:p>
    <w:p w14:paraId="40B40F30" w14:textId="77777777" w:rsidR="008438FF" w:rsidRPr="00A019E1" w:rsidRDefault="008438FF" w:rsidP="008438FF">
      <w:pPr>
        <w:spacing w:line="360" w:lineRule="auto"/>
        <w:jc w:val="both"/>
        <w:rPr>
          <w:rFonts w:ascii="Times New Roman" w:hAnsi="Times New Roman" w:cs="Times New Roman"/>
          <w:sz w:val="24"/>
          <w:szCs w:val="24"/>
        </w:rPr>
      </w:pPr>
      <w:r w:rsidRPr="00A019E1">
        <w:rPr>
          <w:rFonts w:ascii="Times New Roman" w:hAnsi="Times New Roman" w:cs="Times New Roman"/>
          <w:b/>
          <w:bCs/>
          <w:sz w:val="24"/>
          <w:szCs w:val="24"/>
        </w:rPr>
        <w:t>Table 1: Definition of key terms in collective payment agri-environment schemes context</w:t>
      </w:r>
    </w:p>
    <w:tbl>
      <w:tblPr>
        <w:tblStyle w:val="TableGrid"/>
        <w:tblW w:w="988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5665"/>
        <w:gridCol w:w="2229"/>
      </w:tblGrid>
      <w:tr w:rsidR="008438FF" w:rsidRPr="00A019E1" w14:paraId="4E3B7B30" w14:textId="77777777" w:rsidTr="003050B8">
        <w:trPr>
          <w:trHeight w:val="401"/>
        </w:trPr>
        <w:tc>
          <w:tcPr>
            <w:tcW w:w="1990" w:type="dxa"/>
            <w:tcBorders>
              <w:top w:val="single" w:sz="4" w:space="0" w:color="auto"/>
              <w:bottom w:val="single" w:sz="4" w:space="0" w:color="auto"/>
            </w:tcBorders>
          </w:tcPr>
          <w:p w14:paraId="56B77E5A" w14:textId="77777777" w:rsidR="008438FF" w:rsidRPr="00A019E1" w:rsidRDefault="008438FF" w:rsidP="003050B8">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Term</w:t>
            </w:r>
          </w:p>
        </w:tc>
        <w:tc>
          <w:tcPr>
            <w:tcW w:w="5665" w:type="dxa"/>
            <w:tcBorders>
              <w:top w:val="single" w:sz="4" w:space="0" w:color="auto"/>
              <w:bottom w:val="single" w:sz="4" w:space="0" w:color="auto"/>
            </w:tcBorders>
          </w:tcPr>
          <w:p w14:paraId="58771B56" w14:textId="77777777" w:rsidR="008438FF" w:rsidRPr="00A019E1" w:rsidRDefault="008438FF" w:rsidP="003050B8">
            <w:pPr>
              <w:spacing w:line="360" w:lineRule="auto"/>
              <w:jc w:val="center"/>
              <w:rPr>
                <w:rFonts w:ascii="Times New Roman" w:hAnsi="Times New Roman" w:cs="Times New Roman"/>
                <w:b/>
                <w:bCs/>
                <w:sz w:val="24"/>
                <w:szCs w:val="24"/>
              </w:rPr>
            </w:pPr>
            <w:r w:rsidRPr="00A019E1">
              <w:rPr>
                <w:rFonts w:ascii="Times New Roman" w:hAnsi="Times New Roman" w:cs="Times New Roman"/>
                <w:b/>
                <w:bCs/>
                <w:sz w:val="24"/>
                <w:szCs w:val="24"/>
              </w:rPr>
              <w:t>Definition</w:t>
            </w:r>
          </w:p>
        </w:tc>
        <w:tc>
          <w:tcPr>
            <w:tcW w:w="2229" w:type="dxa"/>
            <w:tcBorders>
              <w:top w:val="single" w:sz="4" w:space="0" w:color="auto"/>
              <w:bottom w:val="single" w:sz="4" w:space="0" w:color="auto"/>
            </w:tcBorders>
          </w:tcPr>
          <w:p w14:paraId="6C608782" w14:textId="77777777" w:rsidR="008438FF" w:rsidRPr="00A019E1" w:rsidRDefault="008438FF" w:rsidP="003050B8">
            <w:pPr>
              <w:spacing w:line="360" w:lineRule="auto"/>
              <w:jc w:val="center"/>
              <w:rPr>
                <w:rFonts w:ascii="Times New Roman" w:hAnsi="Times New Roman" w:cs="Times New Roman"/>
                <w:b/>
                <w:bCs/>
                <w:sz w:val="24"/>
                <w:szCs w:val="24"/>
              </w:rPr>
            </w:pPr>
            <w:r w:rsidRPr="00A019E1">
              <w:rPr>
                <w:rFonts w:ascii="Times New Roman" w:hAnsi="Times New Roman" w:cs="Times New Roman"/>
                <w:b/>
                <w:bCs/>
                <w:sz w:val="24"/>
                <w:szCs w:val="24"/>
              </w:rPr>
              <w:t>Source (s)</w:t>
            </w:r>
          </w:p>
        </w:tc>
      </w:tr>
      <w:tr w:rsidR="008438FF" w:rsidRPr="00A019E1" w14:paraId="67D16F5B" w14:textId="77777777" w:rsidTr="003050B8">
        <w:trPr>
          <w:trHeight w:val="441"/>
        </w:trPr>
        <w:tc>
          <w:tcPr>
            <w:tcW w:w="1990" w:type="dxa"/>
            <w:tcBorders>
              <w:top w:val="single" w:sz="4" w:space="0" w:color="auto"/>
            </w:tcBorders>
          </w:tcPr>
          <w:p w14:paraId="5AF1CF1B"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Payment</w:t>
            </w:r>
          </w:p>
        </w:tc>
        <w:tc>
          <w:tcPr>
            <w:tcW w:w="5665" w:type="dxa"/>
            <w:tcBorders>
              <w:top w:val="single" w:sz="4" w:space="0" w:color="auto"/>
            </w:tcBorders>
          </w:tcPr>
          <w:p w14:paraId="09A32384"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The conditional compensation offered to a group of farmers as a reward for fulfilling scheme requirements </w:t>
            </w:r>
          </w:p>
        </w:tc>
        <w:tc>
          <w:tcPr>
            <w:tcW w:w="2229" w:type="dxa"/>
            <w:tcBorders>
              <w:top w:val="single" w:sz="4" w:space="0" w:color="auto"/>
            </w:tcBorders>
          </w:tcPr>
          <w:p w14:paraId="52963739" w14:textId="77777777" w:rsidR="008438FF" w:rsidRPr="00A019E1" w:rsidRDefault="008438FF" w:rsidP="003050B8">
            <w:pPr>
              <w:spacing w:line="360" w:lineRule="auto"/>
              <w:jc w:val="center"/>
              <w:rPr>
                <w:rFonts w:ascii="Times New Roman" w:hAnsi="Times New Roman" w:cs="Times New Roman"/>
                <w:sz w:val="24"/>
                <w:szCs w:val="24"/>
                <w:lang w:val="de-DE"/>
              </w:rPr>
            </w:pPr>
            <w:r w:rsidRPr="00A019E1">
              <w:rPr>
                <w:rFonts w:ascii="Times New Roman" w:eastAsia="Times New Roman" w:hAnsi="Times New Roman" w:cs="Times New Roman"/>
                <w:sz w:val="24"/>
                <w:szCs w:val="24"/>
                <w:lang w:eastAsia="en-GB"/>
              </w:rPr>
              <w:t xml:space="preserve">Hayes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(2019)</w:t>
            </w:r>
          </w:p>
        </w:tc>
      </w:tr>
      <w:tr w:rsidR="008438FF" w:rsidRPr="00A019E1" w14:paraId="65CD5F05" w14:textId="77777777" w:rsidTr="003050B8">
        <w:trPr>
          <w:trHeight w:val="401"/>
        </w:trPr>
        <w:tc>
          <w:tcPr>
            <w:tcW w:w="1990" w:type="dxa"/>
          </w:tcPr>
          <w:p w14:paraId="68A9D43E"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Collective</w:t>
            </w:r>
          </w:p>
        </w:tc>
        <w:tc>
          <w:tcPr>
            <w:tcW w:w="5665" w:type="dxa"/>
          </w:tcPr>
          <w:p w14:paraId="564034B9"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Is a legal entity or a group of farmers in charge of implementing agri-environment schemes in return for a conditional reward </w:t>
            </w:r>
          </w:p>
        </w:tc>
        <w:tc>
          <w:tcPr>
            <w:tcW w:w="2229" w:type="dxa"/>
          </w:tcPr>
          <w:p w14:paraId="7833941D" w14:textId="77777777" w:rsidR="008438FF" w:rsidRPr="00A019E1" w:rsidRDefault="008438FF" w:rsidP="003050B8">
            <w:pPr>
              <w:spacing w:line="360" w:lineRule="auto"/>
              <w:jc w:val="center"/>
              <w:rPr>
                <w:rFonts w:ascii="Times New Roman" w:hAnsi="Times New Roman" w:cs="Times New Roman"/>
                <w:sz w:val="24"/>
                <w:szCs w:val="24"/>
                <w:lang w:val="da-DK"/>
              </w:rPr>
            </w:pPr>
            <w:r w:rsidRPr="00A019E1">
              <w:rPr>
                <w:rFonts w:ascii="Times New Roman" w:hAnsi="Times New Roman" w:cs="Times New Roman"/>
                <w:sz w:val="24"/>
                <w:szCs w:val="24"/>
                <w:lang w:val="da-DK"/>
              </w:rPr>
              <w:t xml:space="preserve">Barghusen </w:t>
            </w:r>
            <w:r w:rsidRPr="00A019E1">
              <w:rPr>
                <w:rFonts w:ascii="Times New Roman" w:hAnsi="Times New Roman" w:cs="Times New Roman"/>
                <w:i/>
                <w:iCs/>
                <w:sz w:val="24"/>
                <w:szCs w:val="24"/>
                <w:lang w:val="da-DK"/>
              </w:rPr>
              <w:t>et al.</w:t>
            </w:r>
            <w:r w:rsidRPr="00A019E1">
              <w:rPr>
                <w:rFonts w:ascii="Times New Roman" w:hAnsi="Times New Roman" w:cs="Times New Roman"/>
                <w:sz w:val="24"/>
                <w:szCs w:val="24"/>
                <w:lang w:val="da-DK"/>
              </w:rPr>
              <w:t xml:space="preserve"> (2020)</w:t>
            </w:r>
          </w:p>
          <w:p w14:paraId="6DC626DA" w14:textId="77777777" w:rsidR="008438FF" w:rsidRPr="00A019E1" w:rsidRDefault="008438FF" w:rsidP="003050B8">
            <w:pPr>
              <w:spacing w:line="360" w:lineRule="auto"/>
              <w:rPr>
                <w:rFonts w:ascii="Times New Roman" w:hAnsi="Times New Roman" w:cs="Times New Roman"/>
                <w:sz w:val="24"/>
                <w:szCs w:val="24"/>
                <w:lang w:val="da-DK"/>
              </w:rPr>
            </w:pPr>
          </w:p>
        </w:tc>
      </w:tr>
      <w:tr w:rsidR="008438FF" w:rsidRPr="00A019E1" w14:paraId="3ED0A34A" w14:textId="77777777" w:rsidTr="003050B8">
        <w:trPr>
          <w:trHeight w:val="321"/>
        </w:trPr>
        <w:tc>
          <w:tcPr>
            <w:tcW w:w="1990" w:type="dxa"/>
          </w:tcPr>
          <w:p w14:paraId="12C33D54"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Agri-environment schemes</w:t>
            </w:r>
          </w:p>
        </w:tc>
        <w:tc>
          <w:tcPr>
            <w:tcW w:w="5665" w:type="dxa"/>
          </w:tcPr>
          <w:p w14:paraId="67147251"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Agri-environment schemes are the programs that government (s) has set up to help farmers to participate in biodiversity conservation through the adoption of environmentally friendly farm practices</w:t>
            </w:r>
          </w:p>
        </w:tc>
        <w:tc>
          <w:tcPr>
            <w:tcW w:w="2229" w:type="dxa"/>
          </w:tcPr>
          <w:p w14:paraId="16726D1D" w14:textId="77777777" w:rsidR="008438FF" w:rsidRPr="00A019E1" w:rsidRDefault="008438FF" w:rsidP="003050B8">
            <w:pPr>
              <w:spacing w:line="360" w:lineRule="auto"/>
              <w:jc w:val="center"/>
              <w:rPr>
                <w:rFonts w:ascii="Times New Roman" w:hAnsi="Times New Roman" w:cs="Times New Roman"/>
                <w:sz w:val="24"/>
                <w:szCs w:val="24"/>
              </w:rPr>
            </w:pPr>
            <w:r w:rsidRPr="00A019E1">
              <w:rPr>
                <w:rFonts w:ascii="Times New Roman" w:hAnsi="Times New Roman" w:cs="Times New Roman"/>
                <w:sz w:val="24"/>
                <w:szCs w:val="24"/>
              </w:rPr>
              <w:t>EEA, (2021)</w:t>
            </w:r>
          </w:p>
        </w:tc>
      </w:tr>
      <w:tr w:rsidR="008438FF" w:rsidRPr="00A019E1" w14:paraId="2C7BE1BD" w14:textId="77777777" w:rsidTr="003050B8">
        <w:trPr>
          <w:trHeight w:val="321"/>
        </w:trPr>
        <w:tc>
          <w:tcPr>
            <w:tcW w:w="1990" w:type="dxa"/>
            <w:tcBorders>
              <w:bottom w:val="single" w:sz="4" w:space="0" w:color="auto"/>
            </w:tcBorders>
          </w:tcPr>
          <w:p w14:paraId="651518BC"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Collective contracts</w:t>
            </w:r>
          </w:p>
        </w:tc>
        <w:tc>
          <w:tcPr>
            <w:tcW w:w="5665" w:type="dxa"/>
            <w:tcBorders>
              <w:bottom w:val="single" w:sz="4" w:space="0" w:color="auto"/>
            </w:tcBorders>
          </w:tcPr>
          <w:p w14:paraId="7562CFBE"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These are agreements between the government and group of farmers/landholders with formal scheme conditions and requirements</w:t>
            </w:r>
          </w:p>
        </w:tc>
        <w:tc>
          <w:tcPr>
            <w:tcW w:w="2229" w:type="dxa"/>
            <w:tcBorders>
              <w:bottom w:val="single" w:sz="4" w:space="0" w:color="auto"/>
            </w:tcBorders>
          </w:tcPr>
          <w:p w14:paraId="6AC897FE" w14:textId="77777777" w:rsidR="008438FF" w:rsidRPr="00A019E1" w:rsidRDefault="008438FF" w:rsidP="003050B8">
            <w:pPr>
              <w:spacing w:line="360" w:lineRule="auto"/>
              <w:rPr>
                <w:rFonts w:ascii="Times New Roman" w:hAnsi="Times New Roman" w:cs="Times New Roman"/>
                <w:sz w:val="24"/>
                <w:szCs w:val="24"/>
              </w:rPr>
            </w:pPr>
            <w:r w:rsidRPr="00A019E1">
              <w:rPr>
                <w:rFonts w:ascii="Times New Roman" w:hAnsi="Times New Roman" w:cs="Times New Roman"/>
                <w:sz w:val="24"/>
                <w:szCs w:val="24"/>
              </w:rPr>
              <w:t xml:space="preserve">   Franks, (2010)</w:t>
            </w:r>
          </w:p>
        </w:tc>
      </w:tr>
    </w:tbl>
    <w:p w14:paraId="278FC9E2" w14:textId="77777777" w:rsidR="008438FF" w:rsidRPr="00A019E1" w:rsidRDefault="008438FF" w:rsidP="008438FF">
      <w:pPr>
        <w:pStyle w:val="ListParagraph"/>
        <w:spacing w:line="360" w:lineRule="auto"/>
        <w:jc w:val="both"/>
        <w:rPr>
          <w:rFonts w:ascii="Times New Roman" w:hAnsi="Times New Roman" w:cs="Times New Roman"/>
          <w:b/>
          <w:bCs/>
          <w:sz w:val="24"/>
          <w:szCs w:val="24"/>
        </w:rPr>
      </w:pPr>
    </w:p>
    <w:p w14:paraId="52409BBF" w14:textId="77777777" w:rsidR="008438FF" w:rsidRPr="00A019E1" w:rsidRDefault="008438FF" w:rsidP="008438FF">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2.1 Database search process</w:t>
      </w:r>
    </w:p>
    <w:p w14:paraId="13A3D484" w14:textId="2A6ED72F" w:rsidR="008438FF" w:rsidRDefault="008438FF" w:rsidP="008438FF">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We searched Scopus and Web of science up to February 2022 using a combination of different keywords (see Table 2).  Our search was limited to English language but was not limited to </w:t>
      </w:r>
      <w:r w:rsidR="00056050">
        <w:rPr>
          <w:rFonts w:ascii="Times New Roman" w:hAnsi="Times New Roman" w:cs="Times New Roman"/>
          <w:sz w:val="24"/>
          <w:szCs w:val="24"/>
        </w:rPr>
        <w:t xml:space="preserve">a </w:t>
      </w:r>
      <w:r w:rsidRPr="00A019E1">
        <w:rPr>
          <w:rFonts w:ascii="Times New Roman" w:hAnsi="Times New Roman" w:cs="Times New Roman"/>
          <w:sz w:val="24"/>
          <w:szCs w:val="24"/>
        </w:rPr>
        <w:t xml:space="preserve">date or geographical scope. Boolean “OR” and “AND” were used to combine different keywords, asterisk (*) sign to shorten such words with several endings and “…” to limit search to a set of keywords. To identify studies, not in the databases we searched, we screened through reference lists of selected studies. </w:t>
      </w:r>
    </w:p>
    <w:p w14:paraId="4582AB35" w14:textId="77777777" w:rsidR="00056050" w:rsidRPr="00A019E1" w:rsidRDefault="00056050" w:rsidP="008438FF">
      <w:pPr>
        <w:spacing w:line="360" w:lineRule="auto"/>
        <w:jc w:val="both"/>
        <w:rPr>
          <w:rFonts w:ascii="Times New Roman" w:hAnsi="Times New Roman" w:cs="Times New Roman"/>
          <w:sz w:val="24"/>
          <w:szCs w:val="24"/>
        </w:rPr>
      </w:pPr>
    </w:p>
    <w:p w14:paraId="0F1C9589" w14:textId="77777777" w:rsidR="008438FF" w:rsidRPr="00A019E1" w:rsidRDefault="008438FF" w:rsidP="008438FF">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Table 2: Keywords and search strings</w:t>
      </w:r>
    </w:p>
    <w:tbl>
      <w:tblPr>
        <w:tblStyle w:val="TableGrid"/>
        <w:tblW w:w="9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59"/>
        <w:gridCol w:w="4896"/>
      </w:tblGrid>
      <w:tr w:rsidR="008438FF" w:rsidRPr="00A019E1" w14:paraId="61E41490" w14:textId="77777777" w:rsidTr="003050B8">
        <w:trPr>
          <w:trHeight w:val="364"/>
          <w:jc w:val="center"/>
        </w:trPr>
        <w:tc>
          <w:tcPr>
            <w:tcW w:w="4895" w:type="dxa"/>
            <w:gridSpan w:val="2"/>
            <w:tcBorders>
              <w:top w:val="single" w:sz="4" w:space="0" w:color="auto"/>
              <w:bottom w:val="single" w:sz="4" w:space="0" w:color="auto"/>
            </w:tcBorders>
          </w:tcPr>
          <w:p w14:paraId="56A16A7B" w14:textId="77777777" w:rsidR="008438FF" w:rsidRPr="00A019E1" w:rsidRDefault="008438FF" w:rsidP="003050B8">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Payment for results</w:t>
            </w:r>
          </w:p>
        </w:tc>
        <w:tc>
          <w:tcPr>
            <w:tcW w:w="4896" w:type="dxa"/>
            <w:tcBorders>
              <w:top w:val="single" w:sz="4" w:space="0" w:color="auto"/>
              <w:bottom w:val="single" w:sz="4" w:space="0" w:color="auto"/>
            </w:tcBorders>
          </w:tcPr>
          <w:p w14:paraId="097ED5FE" w14:textId="77777777" w:rsidR="008438FF" w:rsidRPr="00A019E1" w:rsidRDefault="008438FF" w:rsidP="003050B8">
            <w:pPr>
              <w:spacing w:line="360" w:lineRule="auto"/>
              <w:rPr>
                <w:rFonts w:ascii="Times New Roman" w:hAnsi="Times New Roman" w:cs="Times New Roman"/>
                <w:b/>
                <w:bCs/>
                <w:sz w:val="24"/>
                <w:szCs w:val="24"/>
              </w:rPr>
            </w:pPr>
            <w:r w:rsidRPr="00A019E1">
              <w:rPr>
                <w:rFonts w:ascii="Times New Roman" w:hAnsi="Times New Roman" w:cs="Times New Roman"/>
                <w:b/>
                <w:bCs/>
                <w:sz w:val="24"/>
                <w:szCs w:val="24"/>
              </w:rPr>
              <w:t>Agri-environment schemes</w:t>
            </w:r>
          </w:p>
        </w:tc>
      </w:tr>
      <w:tr w:rsidR="008438FF" w:rsidRPr="00A019E1" w14:paraId="58A25621" w14:textId="77777777" w:rsidTr="003050B8">
        <w:trPr>
          <w:trHeight w:val="1692"/>
          <w:jc w:val="center"/>
        </w:trPr>
        <w:tc>
          <w:tcPr>
            <w:tcW w:w="4536" w:type="dxa"/>
            <w:tcBorders>
              <w:top w:val="single" w:sz="4" w:space="0" w:color="auto"/>
              <w:bottom w:val="single" w:sz="4" w:space="0" w:color="auto"/>
            </w:tcBorders>
          </w:tcPr>
          <w:p w14:paraId="05F5C75C"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lastRenderedPageBreak/>
              <w:t xml:space="preserve">“collective”, OR “community”, </w:t>
            </w:r>
          </w:p>
          <w:p w14:paraId="40EDCF3E"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OR “group contracts”, OR </w:t>
            </w:r>
          </w:p>
          <w:p w14:paraId="7E34478D"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“collaborative”, OR </w:t>
            </w:r>
          </w:p>
          <w:p w14:paraId="36A9D7BF"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t>
            </w:r>
            <w:proofErr w:type="gramStart"/>
            <w:r w:rsidRPr="00A019E1">
              <w:rPr>
                <w:rFonts w:ascii="Times New Roman" w:hAnsi="Times New Roman" w:cs="Times New Roman"/>
                <w:sz w:val="24"/>
                <w:szCs w:val="24"/>
              </w:rPr>
              <w:t>cooperative</w:t>
            </w:r>
            <w:proofErr w:type="gramEnd"/>
            <w:r w:rsidRPr="00A019E1">
              <w:rPr>
                <w:rFonts w:ascii="Times New Roman" w:hAnsi="Times New Roman" w:cs="Times New Roman"/>
                <w:sz w:val="24"/>
                <w:szCs w:val="24"/>
              </w:rPr>
              <w:t xml:space="preserve"> schemes”, OR </w:t>
            </w:r>
          </w:p>
          <w:p w14:paraId="2CC6870A"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t>
            </w:r>
            <w:proofErr w:type="gramStart"/>
            <w:r w:rsidRPr="00A019E1">
              <w:rPr>
                <w:rFonts w:ascii="Times New Roman" w:hAnsi="Times New Roman" w:cs="Times New Roman"/>
                <w:sz w:val="24"/>
                <w:szCs w:val="24"/>
              </w:rPr>
              <w:t>collective</w:t>
            </w:r>
            <w:proofErr w:type="gramEnd"/>
            <w:r w:rsidRPr="00A019E1">
              <w:rPr>
                <w:rFonts w:ascii="Times New Roman" w:hAnsi="Times New Roman" w:cs="Times New Roman"/>
                <w:sz w:val="24"/>
                <w:szCs w:val="24"/>
              </w:rPr>
              <w:t xml:space="preserve"> payments”, OR</w:t>
            </w:r>
          </w:p>
          <w:p w14:paraId="57375D81"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 “</w:t>
            </w:r>
            <w:proofErr w:type="gramStart"/>
            <w:r w:rsidRPr="00A019E1">
              <w:rPr>
                <w:rFonts w:ascii="Times New Roman" w:hAnsi="Times New Roman" w:cs="Times New Roman"/>
                <w:sz w:val="24"/>
                <w:szCs w:val="24"/>
              </w:rPr>
              <w:t>collective</w:t>
            </w:r>
            <w:proofErr w:type="gramEnd"/>
            <w:r w:rsidRPr="00A019E1">
              <w:rPr>
                <w:rFonts w:ascii="Times New Roman" w:hAnsi="Times New Roman" w:cs="Times New Roman"/>
                <w:sz w:val="24"/>
                <w:szCs w:val="24"/>
              </w:rPr>
              <w:t xml:space="preserve"> action”</w:t>
            </w:r>
          </w:p>
        </w:tc>
        <w:tc>
          <w:tcPr>
            <w:tcW w:w="5255" w:type="dxa"/>
            <w:gridSpan w:val="2"/>
            <w:tcBorders>
              <w:top w:val="single" w:sz="4" w:space="0" w:color="auto"/>
              <w:bottom w:val="single" w:sz="4" w:space="0" w:color="auto"/>
            </w:tcBorders>
          </w:tcPr>
          <w:p w14:paraId="020AF3A9"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 AND</w:t>
            </w:r>
          </w:p>
          <w:p w14:paraId="79324D0B"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“payment schemes” OR, “agri-environ*” OR     </w:t>
            </w:r>
            <w:proofErr w:type="gramStart"/>
            <w:r w:rsidRPr="00A019E1">
              <w:rPr>
                <w:rFonts w:ascii="Times New Roman" w:hAnsi="Times New Roman" w:cs="Times New Roman"/>
                <w:sz w:val="24"/>
                <w:szCs w:val="24"/>
              </w:rPr>
              <w:t xml:space="preserve">   “</w:t>
            </w:r>
            <w:proofErr w:type="gramEnd"/>
            <w:r w:rsidRPr="00A019E1">
              <w:rPr>
                <w:rFonts w:ascii="Times New Roman" w:hAnsi="Times New Roman" w:cs="Times New Roman"/>
                <w:sz w:val="24"/>
                <w:szCs w:val="24"/>
              </w:rPr>
              <w:t>social capital” OR, “cultural capital”, OR</w:t>
            </w:r>
          </w:p>
          <w:p w14:paraId="19C2971C"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t>
            </w:r>
            <w:proofErr w:type="gramStart"/>
            <w:r w:rsidRPr="00A019E1">
              <w:rPr>
                <w:rFonts w:ascii="Times New Roman" w:hAnsi="Times New Roman" w:cs="Times New Roman"/>
                <w:sz w:val="24"/>
                <w:szCs w:val="24"/>
              </w:rPr>
              <w:t>agri</w:t>
            </w:r>
            <w:proofErr w:type="gramEnd"/>
            <w:r w:rsidRPr="00A019E1">
              <w:rPr>
                <w:rFonts w:ascii="Times New Roman" w:hAnsi="Times New Roman" w:cs="Times New Roman"/>
                <w:sz w:val="24"/>
                <w:szCs w:val="24"/>
              </w:rPr>
              <w:t>-environmental governance” OR</w:t>
            </w:r>
          </w:p>
          <w:p w14:paraId="592BDE2B"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t>
            </w:r>
            <w:proofErr w:type="gramStart"/>
            <w:r w:rsidRPr="00A019E1">
              <w:rPr>
                <w:rFonts w:ascii="Times New Roman" w:hAnsi="Times New Roman" w:cs="Times New Roman"/>
                <w:sz w:val="24"/>
                <w:szCs w:val="24"/>
              </w:rPr>
              <w:t>agri</w:t>
            </w:r>
            <w:proofErr w:type="gramEnd"/>
            <w:r w:rsidRPr="00A019E1">
              <w:rPr>
                <w:rFonts w:ascii="Times New Roman" w:hAnsi="Times New Roman" w:cs="Times New Roman"/>
                <w:sz w:val="24"/>
                <w:szCs w:val="24"/>
              </w:rPr>
              <w:t xml:space="preserve">-environ* problems”, OR </w:t>
            </w:r>
          </w:p>
          <w:p w14:paraId="02F6FF07" w14:textId="77777777" w:rsidR="008438FF" w:rsidRPr="00A019E1" w:rsidRDefault="008438FF" w:rsidP="003050B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“cost-effectiveness” OR “agri- environment”</w:t>
            </w:r>
          </w:p>
        </w:tc>
      </w:tr>
    </w:tbl>
    <w:p w14:paraId="32DAEE9C" w14:textId="7C76C901" w:rsidR="008438FF" w:rsidRPr="00056050" w:rsidRDefault="008438FF" w:rsidP="00056050">
      <w:pPr>
        <w:pStyle w:val="ListParagraph"/>
        <w:numPr>
          <w:ilvl w:val="1"/>
          <w:numId w:val="46"/>
        </w:numPr>
        <w:spacing w:line="360" w:lineRule="auto"/>
        <w:jc w:val="both"/>
        <w:rPr>
          <w:rFonts w:ascii="Times New Roman" w:hAnsi="Times New Roman" w:cs="Times New Roman"/>
          <w:b/>
          <w:bCs/>
          <w:sz w:val="24"/>
          <w:szCs w:val="24"/>
        </w:rPr>
      </w:pPr>
      <w:r w:rsidRPr="00056050">
        <w:rPr>
          <w:rFonts w:ascii="Times New Roman" w:hAnsi="Times New Roman" w:cs="Times New Roman"/>
          <w:b/>
          <w:bCs/>
          <w:sz w:val="24"/>
          <w:szCs w:val="24"/>
        </w:rPr>
        <w:t>Selected studies</w:t>
      </w:r>
    </w:p>
    <w:p w14:paraId="1400A81F" w14:textId="28388C54" w:rsidR="008438FF" w:rsidRPr="00A019E1" w:rsidRDefault="008438FF" w:rsidP="008438FF">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We included articles from peer-reviewed journals in the English language. First, we transferred these studies into Endnote online software from where we removed all duplicates. Then we reviewed studies based on titles and abstracts. Further, we selected studies that meet eligibility criteria through full-text screening. A selected study was said to be eligible if (</w:t>
      </w:r>
      <w:proofErr w:type="spellStart"/>
      <w:r w:rsidRPr="00A019E1">
        <w:rPr>
          <w:rFonts w:ascii="Times New Roman" w:hAnsi="Times New Roman" w:cs="Times New Roman"/>
          <w:sz w:val="24"/>
          <w:szCs w:val="24"/>
        </w:rPr>
        <w:t>i</w:t>
      </w:r>
      <w:proofErr w:type="spellEnd"/>
      <w:r w:rsidRPr="00A019E1">
        <w:rPr>
          <w:rFonts w:ascii="Times New Roman" w:hAnsi="Times New Roman" w:cs="Times New Roman"/>
          <w:sz w:val="24"/>
          <w:szCs w:val="24"/>
        </w:rPr>
        <w:t xml:space="preserve">), it was empirical and findings were derived through analysis of primary or secondary data in real-life case study areas, (ii), it was on agricultural collectives or group-level payments or social capital, or collective contracts or cost-sharing commitments, and incentives for cooperation in collective action, or (iii) it indicated that farmers work together in groups or engaged in collective participation to deliver environmental outcomes in return of a reward, or (iv) was on factors influencing the participation of farmers in collective payment schemes, and or (iv) on coordinated farmland biodiversity conservation. We excluded systematic reviews, book chapters, reports, editorials, commentaries, and studies not focusing on the empirical application of payment for results or </w:t>
      </w:r>
      <w:r w:rsidR="00056050" w:rsidRPr="00A019E1">
        <w:rPr>
          <w:rFonts w:ascii="Times New Roman" w:hAnsi="Times New Roman" w:cs="Times New Roman"/>
          <w:sz w:val="24"/>
          <w:szCs w:val="24"/>
        </w:rPr>
        <w:t>suggesting</w:t>
      </w:r>
      <w:r w:rsidRPr="00A019E1">
        <w:rPr>
          <w:rFonts w:ascii="Times New Roman" w:hAnsi="Times New Roman" w:cs="Times New Roman"/>
          <w:sz w:val="24"/>
          <w:szCs w:val="24"/>
        </w:rPr>
        <w:t xml:space="preserve"> an environmental indicator and or unrelated to agri-environment schemes.</w:t>
      </w:r>
    </w:p>
    <w:p w14:paraId="783E71BE" w14:textId="77777777" w:rsidR="008438FF" w:rsidRPr="00A019E1" w:rsidRDefault="008438FF" w:rsidP="008438FF">
      <w:pPr>
        <w:spacing w:line="360" w:lineRule="auto"/>
        <w:jc w:val="both"/>
        <w:rPr>
          <w:rFonts w:ascii="Times New Roman" w:hAnsi="Times New Roman" w:cs="Times New Roman"/>
          <w:b/>
          <w:bCs/>
          <w:sz w:val="2"/>
          <w:szCs w:val="2"/>
        </w:rPr>
      </w:pPr>
    </w:p>
    <w:p w14:paraId="0E9E86FA" w14:textId="77777777" w:rsidR="008438FF" w:rsidRPr="00A019E1" w:rsidRDefault="008438FF" w:rsidP="008438FF">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 xml:space="preserve">2.3 Data extraction process </w:t>
      </w:r>
    </w:p>
    <w:p w14:paraId="72ACEF85" w14:textId="7FAC0865" w:rsidR="008438FF" w:rsidRPr="00A019E1" w:rsidRDefault="008438FF" w:rsidP="008438FF">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We conducted a comprehensive data extraction process consisting of six parts. The first part consists of study characteristics such as name of the first author, year of publication, title, the objective of the study, study type, study area, and data type etc. The second part has data on collective payment schemes design characteristics namely: suppliers, buyers, basis for collective action and size surface area under consideration (if specified). The third part </w:t>
      </w:r>
      <w:proofErr w:type="gramStart"/>
      <w:r w:rsidRPr="00A019E1">
        <w:rPr>
          <w:rFonts w:ascii="Times New Roman" w:hAnsi="Times New Roman" w:cs="Times New Roman"/>
          <w:sz w:val="24"/>
          <w:szCs w:val="24"/>
        </w:rPr>
        <w:t>consists</w:t>
      </w:r>
      <w:proofErr w:type="gramEnd"/>
      <w:r w:rsidRPr="00A019E1">
        <w:rPr>
          <w:rFonts w:ascii="Times New Roman" w:hAnsi="Times New Roman" w:cs="Times New Roman"/>
          <w:sz w:val="24"/>
          <w:szCs w:val="24"/>
        </w:rPr>
        <w:t xml:space="preserve"> the existing land use/management practices, desired land-use changes, who signs the contract, contract duration, type of cooperation/contract name, contract enforcement, payment type and compensation mechanism etc. The fourth part contains information on the implied/indicated effect on social and cultural capital, causes of heterogeneity on scheme design, and factors determining participation in the scheme. The fifth part has information on the main study </w:t>
      </w:r>
      <w:r w:rsidRPr="00A019E1">
        <w:rPr>
          <w:rFonts w:ascii="Times New Roman" w:hAnsi="Times New Roman" w:cs="Times New Roman"/>
          <w:sz w:val="24"/>
          <w:szCs w:val="24"/>
        </w:rPr>
        <w:lastRenderedPageBreak/>
        <w:t>findings, study weaknesses, and future research gaps. The final part has a list of references for the studies included in our review. A detailed summary of this review is attached in form of an excel sheet (see supplementary material).</w:t>
      </w:r>
    </w:p>
    <w:p w14:paraId="6F6DC530" w14:textId="77777777" w:rsidR="008438FF" w:rsidRPr="00A019E1" w:rsidRDefault="008438FF" w:rsidP="008438FF">
      <w:pPr>
        <w:spacing w:line="360" w:lineRule="auto"/>
        <w:jc w:val="both"/>
        <w:rPr>
          <w:rFonts w:ascii="Times New Roman" w:hAnsi="Times New Roman" w:cs="Times New Roman"/>
          <w:sz w:val="24"/>
          <w:szCs w:val="24"/>
        </w:rPr>
      </w:pPr>
    </w:p>
    <w:p w14:paraId="6132B6A6" w14:textId="77777777" w:rsidR="008438FF" w:rsidRPr="00A019E1" w:rsidRDefault="008438FF" w:rsidP="008438FF">
      <w:pPr>
        <w:spacing w:line="360" w:lineRule="auto"/>
        <w:jc w:val="both"/>
        <w:rPr>
          <w:rFonts w:ascii="Times New Roman" w:hAnsi="Times New Roman" w:cs="Times New Roman"/>
          <w:sz w:val="2"/>
          <w:szCs w:val="2"/>
        </w:rPr>
      </w:pPr>
    </w:p>
    <w:p w14:paraId="7195F404" w14:textId="77777777" w:rsidR="008438FF" w:rsidRPr="00A019E1" w:rsidRDefault="008438FF" w:rsidP="008438FF">
      <w:pPr>
        <w:spacing w:line="360" w:lineRule="auto"/>
        <w:jc w:val="both"/>
        <w:rPr>
          <w:rFonts w:ascii="Times New Roman" w:hAnsi="Times New Roman" w:cs="Times New Roman"/>
          <w:sz w:val="2"/>
          <w:szCs w:val="2"/>
        </w:rPr>
      </w:pPr>
    </w:p>
    <w:p w14:paraId="20BF2502" w14:textId="77777777" w:rsidR="008438FF" w:rsidRPr="00A019E1" w:rsidRDefault="008438FF" w:rsidP="008438FF">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2.4 Data analysis strategy</w:t>
      </w:r>
    </w:p>
    <w:p w14:paraId="5FFB7266" w14:textId="77777777" w:rsidR="008438FF" w:rsidRPr="00A019E1" w:rsidRDefault="008438FF" w:rsidP="008438FF">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We analysed extracted data using descriptive statistics and drew interpretations and conclusions from pooling together themes from different studies.</w:t>
      </w:r>
    </w:p>
    <w:p w14:paraId="4C60A77E" w14:textId="77777777" w:rsidR="008438FF" w:rsidRPr="00A019E1" w:rsidRDefault="008438FF" w:rsidP="008438FF">
      <w:pPr>
        <w:spacing w:line="360" w:lineRule="auto"/>
        <w:jc w:val="both"/>
        <w:rPr>
          <w:rFonts w:ascii="Times New Roman" w:hAnsi="Times New Roman" w:cs="Times New Roman"/>
          <w:sz w:val="2"/>
          <w:szCs w:val="2"/>
        </w:rPr>
      </w:pPr>
    </w:p>
    <w:p w14:paraId="330670F4" w14:textId="77777777" w:rsidR="008438FF" w:rsidRPr="00A019E1" w:rsidRDefault="008438FF" w:rsidP="008438FF">
      <w:pPr>
        <w:spacing w:line="360" w:lineRule="auto"/>
        <w:jc w:val="both"/>
        <w:rPr>
          <w:rFonts w:ascii="Times New Roman" w:hAnsi="Times New Roman" w:cs="Times New Roman"/>
          <w:sz w:val="24"/>
          <w:szCs w:val="24"/>
        </w:rPr>
      </w:pPr>
      <w:r w:rsidRPr="00A019E1">
        <w:rPr>
          <w:rFonts w:ascii="Times New Roman" w:hAnsi="Times New Roman" w:cs="Times New Roman"/>
          <w:b/>
          <w:bCs/>
          <w:sz w:val="24"/>
          <w:szCs w:val="24"/>
        </w:rPr>
        <w:t>3. Results</w:t>
      </w:r>
    </w:p>
    <w:p w14:paraId="192814DD" w14:textId="7C6F2E40" w:rsidR="008438FF" w:rsidRPr="00A019E1" w:rsidRDefault="008438FF" w:rsidP="008438FF">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Our search using different combinations of our keywords in Web of Science and Scopus gave us a total of 959 articles out of which 32 articles met our set criteria for inclusion in our review. The studies we selected were carried out in Cambodia, France, Netherlands, United Kingdom, USA, Wales, Australia, Peru, Tanzania, Switzerland, Spain, Kenya, Canada, Mexico, Bolivia, Indonesia, Uganda, Ecuador and the Kyrgyz Republic. The studies were carried out purely in various habitats - agricultural habitats (16%), forests (28%) and watersheds/aquatic habitats (22%). However</w:t>
      </w:r>
      <w:r w:rsidR="00056050">
        <w:rPr>
          <w:rFonts w:ascii="Times New Roman" w:hAnsi="Times New Roman" w:cs="Times New Roman"/>
          <w:sz w:val="24"/>
          <w:szCs w:val="24"/>
        </w:rPr>
        <w:t>,</w:t>
      </w:r>
      <w:r w:rsidRPr="00A019E1">
        <w:rPr>
          <w:rFonts w:ascii="Times New Roman" w:hAnsi="Times New Roman" w:cs="Times New Roman"/>
          <w:sz w:val="24"/>
          <w:szCs w:val="24"/>
        </w:rPr>
        <w:t xml:space="preserve"> there are studies that focused </w:t>
      </w:r>
      <w:r w:rsidR="00056050" w:rsidRPr="00A019E1">
        <w:rPr>
          <w:rFonts w:ascii="Times New Roman" w:hAnsi="Times New Roman" w:cs="Times New Roman"/>
          <w:sz w:val="24"/>
          <w:szCs w:val="24"/>
        </w:rPr>
        <w:t>on mixed</w:t>
      </w:r>
      <w:r w:rsidRPr="00A019E1">
        <w:rPr>
          <w:rFonts w:ascii="Times New Roman" w:hAnsi="Times New Roman" w:cs="Times New Roman"/>
          <w:sz w:val="24"/>
          <w:szCs w:val="24"/>
        </w:rPr>
        <w:t xml:space="preserve"> habitats - combining agricultural area with woodlands or grasslands or shrubs or wetlands (9%), grassland combined with forest or shrubs or wetland (13%), and energy (3%). In these habitats, collective payment schemes implemented were referred using terms that denote different forms of cooperation/contract types – collective contracts (41%), collective incentive schemes/collective action (25%), collaborative/joint implementation (16%), collective agreements (9%), group contracts (6%) and cooperatives (3%). Farmers/landholders fulfilled conservation goals in return for conditional rewards presented in two forms: in-kind (22%) and monetary payments (59%) while in the rest of the studies though related to collective payment schemes, rewards were not clearly stated (19%).</w:t>
      </w:r>
    </w:p>
    <w:p w14:paraId="31B51C0E" w14:textId="77777777" w:rsidR="008438FF" w:rsidRPr="00A019E1" w:rsidRDefault="008438FF" w:rsidP="008438FF">
      <w:pPr>
        <w:spacing w:line="360" w:lineRule="auto"/>
        <w:jc w:val="both"/>
        <w:rPr>
          <w:rFonts w:ascii="Times New Roman" w:hAnsi="Times New Roman" w:cs="Times New Roman"/>
          <w:sz w:val="24"/>
          <w:szCs w:val="24"/>
        </w:rPr>
      </w:pPr>
    </w:p>
    <w:p w14:paraId="0C0220A7" w14:textId="77777777" w:rsidR="008438FF" w:rsidRPr="00A019E1" w:rsidRDefault="008438FF" w:rsidP="008438FF">
      <w:pPr>
        <w:spacing w:line="360" w:lineRule="auto"/>
        <w:jc w:val="both"/>
        <w:rPr>
          <w:rFonts w:ascii="Times New Roman" w:hAnsi="Times New Roman" w:cs="Times New Roman"/>
          <w:sz w:val="24"/>
          <w:szCs w:val="24"/>
        </w:rPr>
      </w:pPr>
    </w:p>
    <w:p w14:paraId="48AB58CB" w14:textId="77777777" w:rsidR="008438FF" w:rsidRPr="00A019E1" w:rsidRDefault="008438FF" w:rsidP="008438FF">
      <w:pPr>
        <w:spacing w:line="360" w:lineRule="auto"/>
        <w:jc w:val="both"/>
        <w:rPr>
          <w:rFonts w:ascii="Times New Roman" w:hAnsi="Times New Roman" w:cs="Times New Roman"/>
          <w:sz w:val="24"/>
          <w:szCs w:val="24"/>
        </w:rPr>
      </w:pPr>
    </w:p>
    <w:p w14:paraId="707A5170" w14:textId="77777777" w:rsidR="008438FF" w:rsidRPr="00A019E1" w:rsidRDefault="008438FF" w:rsidP="008438FF">
      <w:pPr>
        <w:spacing w:line="360" w:lineRule="auto"/>
        <w:jc w:val="both"/>
        <w:rPr>
          <w:rFonts w:ascii="Times New Roman" w:hAnsi="Times New Roman" w:cs="Times New Roman"/>
          <w:sz w:val="24"/>
          <w:szCs w:val="24"/>
        </w:rPr>
      </w:pPr>
    </w:p>
    <w:p w14:paraId="1F9332E5" w14:textId="77777777" w:rsidR="008438FF" w:rsidRPr="00A019E1" w:rsidRDefault="008438FF" w:rsidP="008438FF">
      <w:pPr>
        <w:spacing w:line="360" w:lineRule="auto"/>
        <w:jc w:val="both"/>
        <w:rPr>
          <w:rFonts w:ascii="Times New Roman" w:hAnsi="Times New Roman" w:cs="Times New Roman"/>
          <w:sz w:val="24"/>
          <w:szCs w:val="24"/>
        </w:rPr>
      </w:pPr>
    </w:p>
    <w:p w14:paraId="6D1442BF" w14:textId="77777777" w:rsidR="008438FF" w:rsidRPr="00A019E1" w:rsidRDefault="008438FF" w:rsidP="008438FF">
      <w:pPr>
        <w:spacing w:line="360" w:lineRule="auto"/>
        <w:jc w:val="both"/>
        <w:rPr>
          <w:rFonts w:ascii="Times New Roman" w:hAnsi="Times New Roman" w:cs="Times New Roman"/>
          <w:sz w:val="24"/>
          <w:szCs w:val="24"/>
        </w:rPr>
      </w:pPr>
    </w:p>
    <w:p w14:paraId="7B6D4AFB" w14:textId="52BD1575" w:rsidR="008438FF" w:rsidRDefault="008438FF" w:rsidP="008438FF">
      <w:pPr>
        <w:spacing w:line="360" w:lineRule="auto"/>
        <w:jc w:val="both"/>
        <w:rPr>
          <w:rFonts w:ascii="Times New Roman" w:hAnsi="Times New Roman" w:cs="Times New Roman"/>
          <w:sz w:val="24"/>
          <w:szCs w:val="24"/>
        </w:rPr>
      </w:pPr>
    </w:p>
    <w:p w14:paraId="3AED1D6B" w14:textId="77777777" w:rsidR="007853F0" w:rsidRPr="00A019E1" w:rsidRDefault="007853F0" w:rsidP="008438FF">
      <w:pPr>
        <w:spacing w:line="360" w:lineRule="auto"/>
        <w:jc w:val="both"/>
        <w:rPr>
          <w:rFonts w:ascii="Times New Roman" w:hAnsi="Times New Roman" w:cs="Times New Roman"/>
          <w:sz w:val="24"/>
          <w:szCs w:val="24"/>
        </w:rPr>
      </w:pPr>
    </w:p>
    <w:p w14:paraId="2AE27306" w14:textId="77777777" w:rsidR="008438FF" w:rsidRPr="00A019E1" w:rsidRDefault="008438FF" w:rsidP="008438FF">
      <w:pPr>
        <w:spacing w:line="360" w:lineRule="auto"/>
        <w:jc w:val="both"/>
        <w:rPr>
          <w:rFonts w:ascii="Times New Roman" w:hAnsi="Times New Roman" w:cs="Times New Roman"/>
          <w:sz w:val="24"/>
          <w:szCs w:val="24"/>
        </w:rPr>
      </w:pPr>
      <w:r w:rsidRPr="00A019E1">
        <w:rPr>
          <w:rFonts w:ascii="Times New Roman" w:hAnsi="Times New Roman" w:cs="Times New Roman"/>
          <w:noProof/>
          <w:sz w:val="24"/>
          <w:szCs w:val="24"/>
          <w:lang w:eastAsia="en-GB"/>
        </w:rPr>
        <mc:AlternateContent>
          <mc:Choice Requires="wpg">
            <w:drawing>
              <wp:anchor distT="0" distB="0" distL="114300" distR="114300" simplePos="0" relativeHeight="251678720" behindDoc="0" locked="0" layoutInCell="1" allowOverlap="1" wp14:anchorId="6035DCBC" wp14:editId="0D62101C">
                <wp:simplePos x="0" y="0"/>
                <wp:positionH relativeFrom="margin">
                  <wp:align>center</wp:align>
                </wp:positionH>
                <wp:positionV relativeFrom="paragraph">
                  <wp:posOffset>83404</wp:posOffset>
                </wp:positionV>
                <wp:extent cx="6231752" cy="7058642"/>
                <wp:effectExtent l="0" t="0" r="17145" b="28575"/>
                <wp:wrapNone/>
                <wp:docPr id="1" name="Group 1"/>
                <wp:cNvGraphicFramePr/>
                <a:graphic xmlns:a="http://schemas.openxmlformats.org/drawingml/2006/main">
                  <a:graphicData uri="http://schemas.microsoft.com/office/word/2010/wordprocessingGroup">
                    <wpg:wgp>
                      <wpg:cNvGrpSpPr/>
                      <wpg:grpSpPr>
                        <a:xfrm>
                          <a:off x="0" y="0"/>
                          <a:ext cx="6231752" cy="7058642"/>
                          <a:chOff x="0" y="0"/>
                          <a:chExt cx="6231752" cy="7238360"/>
                        </a:xfrm>
                      </wpg:grpSpPr>
                      <wps:wsp>
                        <wps:cNvPr id="2" name="Rectangle: Rounded Corners 2"/>
                        <wps:cNvSpPr/>
                        <wps:spPr>
                          <a:xfrm>
                            <a:off x="0" y="0"/>
                            <a:ext cx="6231752" cy="7238360"/>
                          </a:xfrm>
                          <a:prstGeom prst="roundRect">
                            <a:avLst>
                              <a:gd name="adj" fmla="val 6220"/>
                            </a:avLst>
                          </a:prstGeom>
                          <a:solidFill>
                            <a:sysClr val="window" lastClr="FFFFFF"/>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152400" y="272143"/>
                            <a:ext cx="3053378" cy="761312"/>
                          </a:xfrm>
                          <a:prstGeom prst="roundRect">
                            <a:avLst/>
                          </a:prstGeom>
                          <a:solidFill>
                            <a:sysClr val="window" lastClr="FFFFFF"/>
                          </a:solidFill>
                          <a:ln w="3175" cap="flat" cmpd="sng" algn="ctr">
                            <a:solidFill>
                              <a:srgbClr val="92D050"/>
                            </a:solidFill>
                            <a:prstDash val="solid"/>
                            <a:miter lim="800000"/>
                          </a:ln>
                          <a:effectLst/>
                        </wps:spPr>
                        <wps:txbx>
                          <w:txbxContent>
                            <w:p w14:paraId="726FACAF" w14:textId="77777777" w:rsidR="008438FF" w:rsidRPr="00C9393A" w:rsidRDefault="008438FF" w:rsidP="008438FF">
                              <w:pPr>
                                <w:jc w:val="center"/>
                                <w:rPr>
                                  <w:rFonts w:ascii="Times New Roman" w:hAnsi="Times New Roman" w:cs="Times New Roman"/>
                                  <w:sz w:val="24"/>
                                  <w:szCs w:val="24"/>
                                </w:rPr>
                              </w:pPr>
                              <w:r w:rsidRPr="00C9393A">
                                <w:rPr>
                                  <w:rFonts w:ascii="Times New Roman" w:hAnsi="Times New Roman" w:cs="Times New Roman"/>
                                  <w:sz w:val="24"/>
                                  <w:szCs w:val="24"/>
                                </w:rPr>
                                <w:t>Total number of articles</w:t>
                              </w:r>
                              <w:r>
                                <w:rPr>
                                  <w:rFonts w:ascii="Times New Roman" w:hAnsi="Times New Roman" w:cs="Times New Roman"/>
                                  <w:sz w:val="24"/>
                                  <w:szCs w:val="24"/>
                                </w:rPr>
                                <w:t xml:space="preserve"> identified after using our search terms</w:t>
                              </w:r>
                              <w:r w:rsidRPr="00C9393A">
                                <w:rPr>
                                  <w:rFonts w:ascii="Times New Roman" w:hAnsi="Times New Roman" w:cs="Times New Roman"/>
                                  <w:sz w:val="24"/>
                                  <w:szCs w:val="24"/>
                                </w:rPr>
                                <w:t xml:space="preserve"> (n = </w:t>
                              </w:r>
                              <w:r>
                                <w:rPr>
                                  <w:rFonts w:ascii="Times New Roman" w:hAnsi="Times New Roman" w:cs="Times New Roman"/>
                                  <w:sz w:val="24"/>
                                  <w:szCs w:val="24"/>
                                </w:rPr>
                                <w:t>959</w:t>
                              </w:r>
                              <w:r w:rsidRPr="00C9393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174171" y="2645229"/>
                            <a:ext cx="3050698" cy="1175657"/>
                          </a:xfrm>
                          <a:prstGeom prst="roundRect">
                            <a:avLst/>
                          </a:prstGeom>
                          <a:solidFill>
                            <a:sysClr val="window" lastClr="FFFFFF"/>
                          </a:solidFill>
                          <a:ln w="3175" cap="flat" cmpd="sng" algn="ctr">
                            <a:solidFill>
                              <a:srgbClr val="92D050"/>
                            </a:solidFill>
                            <a:prstDash val="solid"/>
                            <a:miter lim="800000"/>
                          </a:ln>
                          <a:effectLst/>
                        </wps:spPr>
                        <wps:txbx>
                          <w:txbxContent>
                            <w:p w14:paraId="69DB0D00" w14:textId="77777777" w:rsidR="008438FF" w:rsidRPr="00C9393A" w:rsidRDefault="008438FF" w:rsidP="008438FF">
                              <w:pPr>
                                <w:jc w:val="center"/>
                                <w:rPr>
                                  <w:rFonts w:ascii="Times New Roman" w:hAnsi="Times New Roman" w:cs="Times New Roman"/>
                                  <w:sz w:val="24"/>
                                  <w:szCs w:val="24"/>
                                </w:rPr>
                              </w:pPr>
                              <w:r w:rsidRPr="00C9393A">
                                <w:rPr>
                                  <w:rFonts w:ascii="Times New Roman" w:hAnsi="Times New Roman" w:cs="Times New Roman"/>
                                  <w:sz w:val="24"/>
                                  <w:szCs w:val="24"/>
                                </w:rPr>
                                <w:t>Articles selected after removal of duplicates, commentaries, books and book chapters and studies with no link to</w:t>
                              </w:r>
                              <w:r>
                                <w:rPr>
                                  <w:rFonts w:ascii="Times New Roman" w:hAnsi="Times New Roman" w:cs="Times New Roman"/>
                                  <w:sz w:val="24"/>
                                  <w:szCs w:val="24"/>
                                </w:rPr>
                                <w:t xml:space="preserve"> agri-environment schemes </w:t>
                              </w:r>
                              <w:r w:rsidRPr="00C9393A">
                                <w:rPr>
                                  <w:rFonts w:ascii="Times New Roman" w:hAnsi="Times New Roman" w:cs="Times New Roman"/>
                                  <w:sz w:val="24"/>
                                  <w:szCs w:val="24"/>
                                </w:rPr>
                                <w:t xml:space="preserve">(n = </w:t>
                              </w:r>
                              <w:r w:rsidRPr="00C55495">
                                <w:rPr>
                                  <w:rFonts w:ascii="Times New Roman" w:eastAsia="Times New Roman" w:hAnsi="Times New Roman" w:cs="Times New Roman"/>
                                  <w:sz w:val="24"/>
                                  <w:szCs w:val="24"/>
                                  <w:lang w:eastAsia="en-GB"/>
                                </w:rPr>
                                <w:t>105</w:t>
                              </w:r>
                              <w:r w:rsidRPr="00C9393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689963" y="2285800"/>
                            <a:ext cx="2331192" cy="1053425"/>
                          </a:xfrm>
                          <a:prstGeom prst="rect">
                            <a:avLst/>
                          </a:prstGeom>
                          <a:solidFill>
                            <a:sysClr val="window" lastClr="FFFFFF"/>
                          </a:solidFill>
                          <a:ln w="3175" cap="flat" cmpd="sng" algn="ctr">
                            <a:solidFill>
                              <a:srgbClr val="ED7D31">
                                <a:lumMod val="40000"/>
                                <a:lumOff val="60000"/>
                              </a:srgbClr>
                            </a:solidFill>
                            <a:prstDash val="sysDash"/>
                            <a:miter lim="800000"/>
                          </a:ln>
                          <a:effectLst/>
                        </wps:spPr>
                        <wps:txbx>
                          <w:txbxContent>
                            <w:p w14:paraId="64D6F7E6" w14:textId="77777777" w:rsidR="008438FF" w:rsidRPr="00C9393A" w:rsidRDefault="008438FF" w:rsidP="008438FF">
                              <w:pPr>
                                <w:spacing w:line="276" w:lineRule="auto"/>
                                <w:rPr>
                                  <w:rFonts w:ascii="Times New Roman" w:hAnsi="Times New Roman" w:cs="Times New Roman"/>
                                  <w:sz w:val="24"/>
                                  <w:szCs w:val="24"/>
                                </w:rPr>
                              </w:pPr>
                              <w:r w:rsidRPr="00C9393A">
                                <w:rPr>
                                  <w:rFonts w:ascii="Times New Roman" w:hAnsi="Times New Roman" w:cs="Times New Roman"/>
                                  <w:sz w:val="24"/>
                                  <w:szCs w:val="24"/>
                                </w:rPr>
                                <w:t xml:space="preserve">Articles (n = </w:t>
                              </w:r>
                              <w:r>
                                <w:rPr>
                                  <w:rFonts w:ascii="Times New Roman" w:hAnsi="Times New Roman" w:cs="Times New Roman"/>
                                  <w:sz w:val="24"/>
                                  <w:szCs w:val="24"/>
                                </w:rPr>
                                <w:t>129</w:t>
                              </w:r>
                              <w:r w:rsidRPr="00C9393A">
                                <w:rPr>
                                  <w:rFonts w:ascii="Times New Roman" w:hAnsi="Times New Roman" w:cs="Times New Roman"/>
                                  <w:sz w:val="24"/>
                                  <w:szCs w:val="24"/>
                                </w:rPr>
                                <w:t>) were excluded because the</w:t>
                              </w:r>
                              <w:r>
                                <w:rPr>
                                  <w:rFonts w:ascii="Times New Roman" w:hAnsi="Times New Roman" w:cs="Times New Roman"/>
                                  <w:sz w:val="24"/>
                                  <w:szCs w:val="24"/>
                                </w:rPr>
                                <w:t>y were not peer reviewed articles related to</w:t>
                              </w:r>
                              <w:r w:rsidRPr="00C9393A">
                                <w:rPr>
                                  <w:rFonts w:ascii="Times New Roman" w:hAnsi="Times New Roman" w:cs="Times New Roman"/>
                                  <w:sz w:val="24"/>
                                  <w:szCs w:val="24"/>
                                </w:rPr>
                                <w:t xml:space="preserve"> </w:t>
                              </w:r>
                              <w:r>
                                <w:rPr>
                                  <w:rFonts w:ascii="Times New Roman" w:hAnsi="Times New Roman" w:cs="Times New Roman"/>
                                  <w:sz w:val="24"/>
                                  <w:szCs w:val="24"/>
                                </w:rPr>
                                <w:t>agri-environment schemes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Down 6"/>
                        <wps:cNvSpPr/>
                        <wps:spPr>
                          <a:xfrm>
                            <a:off x="1673678" y="1045029"/>
                            <a:ext cx="107501" cy="324556"/>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Down 7"/>
                        <wps:cNvSpPr/>
                        <wps:spPr>
                          <a:xfrm>
                            <a:off x="1630135" y="3820886"/>
                            <a:ext cx="115885" cy="36703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174171" y="4212772"/>
                            <a:ext cx="3061191" cy="991241"/>
                          </a:xfrm>
                          <a:prstGeom prst="roundRect">
                            <a:avLst/>
                          </a:prstGeom>
                          <a:solidFill>
                            <a:sysClr val="window" lastClr="FFFFFF"/>
                          </a:solidFill>
                          <a:ln w="3175" cap="flat" cmpd="sng" algn="ctr">
                            <a:solidFill>
                              <a:srgbClr val="92D050"/>
                            </a:solidFill>
                            <a:prstDash val="solid"/>
                            <a:miter lim="800000"/>
                          </a:ln>
                          <a:effectLst/>
                        </wps:spPr>
                        <wps:txbx>
                          <w:txbxContent>
                            <w:p w14:paraId="2CE81FAF" w14:textId="09D98B6F" w:rsidR="008438FF" w:rsidRPr="00C9393A" w:rsidRDefault="008438FF" w:rsidP="008438FF">
                              <w:pPr>
                                <w:jc w:val="center"/>
                                <w:rPr>
                                  <w:rFonts w:ascii="Times New Roman" w:hAnsi="Times New Roman" w:cs="Times New Roman"/>
                                  <w:sz w:val="24"/>
                                  <w:szCs w:val="24"/>
                                </w:rPr>
                              </w:pPr>
                              <w:r w:rsidRPr="00C9393A">
                                <w:rPr>
                                  <w:rFonts w:ascii="Times New Roman" w:hAnsi="Times New Roman" w:cs="Times New Roman"/>
                                  <w:sz w:val="24"/>
                                  <w:szCs w:val="24"/>
                                </w:rPr>
                                <w:t>Abstract and titles</w:t>
                              </w:r>
                              <w:r>
                                <w:rPr>
                                  <w:rFonts w:ascii="Times New Roman" w:hAnsi="Times New Roman" w:cs="Times New Roman"/>
                                  <w:sz w:val="24"/>
                                  <w:szCs w:val="24"/>
                                </w:rPr>
                                <w:t xml:space="preserve"> after </w:t>
                              </w:r>
                              <w:r w:rsidR="000051D8">
                                <w:rPr>
                                  <w:rFonts w:ascii="Times New Roman" w:hAnsi="Times New Roman" w:cs="Times New Roman"/>
                                  <w:sz w:val="24"/>
                                  <w:szCs w:val="24"/>
                                </w:rPr>
                                <w:t>exclusion</w:t>
                              </w:r>
                              <w:r>
                                <w:rPr>
                                  <w:rFonts w:ascii="Times New Roman" w:hAnsi="Times New Roman" w:cs="Times New Roman"/>
                                  <w:sz w:val="24"/>
                                  <w:szCs w:val="24"/>
                                </w:rPr>
                                <w:t xml:space="preserve"> of articles with no mention of collective payment schemes or any relevant information to this regard</w:t>
                              </w:r>
                              <w:r w:rsidRPr="00C9393A">
                                <w:rPr>
                                  <w:rFonts w:ascii="Times New Roman" w:hAnsi="Times New Roman" w:cs="Times New Roman"/>
                                  <w:sz w:val="24"/>
                                  <w:szCs w:val="24"/>
                                </w:rPr>
                                <w:t xml:space="preserve"> (n = </w:t>
                              </w:r>
                              <w:r>
                                <w:rPr>
                                  <w:rFonts w:ascii="Times New Roman" w:hAnsi="Times New Roman" w:cs="Times New Roman"/>
                                  <w:sz w:val="24"/>
                                  <w:szCs w:val="24"/>
                                </w:rPr>
                                <w:t>67</w:t>
                              </w:r>
                              <w:r w:rsidRPr="00C9393A">
                                <w:rPr>
                                  <w:rFonts w:ascii="Times New Roman" w:hAnsi="Times New Roman" w:cs="Times New Roman"/>
                                  <w:sz w:val="24"/>
                                  <w:szCs w:val="24"/>
                                </w:rPr>
                                <w:t>)</w:t>
                              </w:r>
                            </w:p>
                            <w:p w14:paraId="60143512" w14:textId="77777777" w:rsidR="008438FF" w:rsidRDefault="008438FF" w:rsidP="008438FF">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689669" y="3446860"/>
                            <a:ext cx="2322195" cy="3663328"/>
                          </a:xfrm>
                          <a:prstGeom prst="rect">
                            <a:avLst/>
                          </a:prstGeom>
                          <a:solidFill>
                            <a:sysClr val="window" lastClr="FFFFFF"/>
                          </a:solidFill>
                          <a:ln w="3175" cap="flat" cmpd="sng" algn="ctr">
                            <a:solidFill>
                              <a:srgbClr val="ED7D31">
                                <a:lumMod val="40000"/>
                                <a:lumOff val="60000"/>
                              </a:srgbClr>
                            </a:solidFill>
                            <a:prstDash val="sysDash"/>
                            <a:miter lim="800000"/>
                          </a:ln>
                          <a:effectLst/>
                        </wps:spPr>
                        <wps:txbx>
                          <w:txbxContent>
                            <w:p w14:paraId="244896C2" w14:textId="77777777" w:rsidR="008438FF" w:rsidRDefault="008438FF" w:rsidP="008438FF">
                              <w:pPr>
                                <w:spacing w:line="276" w:lineRule="auto"/>
                                <w:rPr>
                                  <w:rFonts w:ascii="Times New Roman" w:hAnsi="Times New Roman" w:cs="Times New Roman"/>
                                  <w:sz w:val="24"/>
                                  <w:szCs w:val="24"/>
                                </w:rPr>
                              </w:pPr>
                              <w:r>
                                <w:rPr>
                                  <w:rFonts w:ascii="Times New Roman" w:hAnsi="Times New Roman" w:cs="Times New Roman"/>
                                  <w:sz w:val="24"/>
                                  <w:szCs w:val="24"/>
                                </w:rPr>
                                <w:t xml:space="preserve">Full text articles were excluded </w:t>
                              </w:r>
                              <w:r w:rsidRPr="00B060F9">
                                <w:rPr>
                                  <w:rFonts w:ascii="Times New Roman" w:hAnsi="Times New Roman" w:cs="Times New Roman"/>
                                  <w:sz w:val="24"/>
                                  <w:szCs w:val="24"/>
                                </w:rPr>
                                <w:t xml:space="preserve">because: </w:t>
                              </w:r>
                            </w:p>
                            <w:p w14:paraId="0FCC5172" w14:textId="77777777" w:rsidR="008438FF" w:rsidRDefault="008438FF" w:rsidP="008438FF">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Had no secondary and primary data on collective payment schemes or</w:t>
                              </w:r>
                            </w:p>
                            <w:p w14:paraId="2C5D390A" w14:textId="77777777" w:rsidR="008438FF" w:rsidRDefault="008438FF" w:rsidP="008438FF">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No mention of collective incentives/external rewards, social capital in collective schemes, group-level payments, cost-sharing commitments etc or</w:t>
                              </w:r>
                            </w:p>
                            <w:p w14:paraId="0F61F812" w14:textId="77777777" w:rsidR="008438FF" w:rsidRDefault="008438FF" w:rsidP="008438FF">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No mention of factors influencing participation in collective payment schemes</w:t>
                              </w:r>
                            </w:p>
                            <w:p w14:paraId="3C76904C" w14:textId="77777777" w:rsidR="008438FF" w:rsidRPr="00274570" w:rsidRDefault="008438FF" w:rsidP="008438FF">
                              <w:pPr>
                                <w:spacing w:line="276" w:lineRule="auto"/>
                                <w:ind w:left="36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Down 11"/>
                        <wps:cNvSpPr/>
                        <wps:spPr>
                          <a:xfrm>
                            <a:off x="1630135" y="5203372"/>
                            <a:ext cx="129540" cy="33210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174171" y="5529943"/>
                            <a:ext cx="3045648" cy="860612"/>
                          </a:xfrm>
                          <a:prstGeom prst="roundRect">
                            <a:avLst/>
                          </a:prstGeom>
                          <a:solidFill>
                            <a:sysClr val="window" lastClr="FFFFFF"/>
                          </a:solidFill>
                          <a:ln w="3175" cap="flat" cmpd="sng" algn="ctr">
                            <a:solidFill>
                              <a:srgbClr val="92D050"/>
                            </a:solidFill>
                            <a:prstDash val="solid"/>
                            <a:miter lim="800000"/>
                          </a:ln>
                          <a:effectLst/>
                        </wps:spPr>
                        <wps:txbx>
                          <w:txbxContent>
                            <w:p w14:paraId="7DFF5F55" w14:textId="77777777" w:rsidR="008438FF" w:rsidRPr="00D3080D" w:rsidRDefault="008438FF" w:rsidP="008438FF">
                              <w:pPr>
                                <w:jc w:val="center"/>
                                <w:rPr>
                                  <w:rFonts w:ascii="Times New Roman" w:hAnsi="Times New Roman" w:cs="Times New Roman"/>
                                  <w:sz w:val="24"/>
                                  <w:szCs w:val="24"/>
                                </w:rPr>
                              </w:pPr>
                              <w:r w:rsidRPr="00D3080D">
                                <w:rPr>
                                  <w:rFonts w:ascii="Times New Roman" w:hAnsi="Times New Roman" w:cs="Times New Roman"/>
                                  <w:sz w:val="24"/>
                                  <w:szCs w:val="24"/>
                                </w:rPr>
                                <w:t xml:space="preserve">Full-text screening and </w:t>
                              </w:r>
                              <w:r>
                                <w:rPr>
                                  <w:rFonts w:ascii="Times New Roman" w:hAnsi="Times New Roman" w:cs="Times New Roman"/>
                                  <w:sz w:val="24"/>
                                  <w:szCs w:val="24"/>
                                </w:rPr>
                                <w:t xml:space="preserve">number of empirical studies included in our review </w:t>
                              </w:r>
                              <w:r w:rsidRPr="00D3080D">
                                <w:rPr>
                                  <w:rFonts w:ascii="Times New Roman" w:hAnsi="Times New Roman" w:cs="Times New Roman"/>
                                  <w:sz w:val="24"/>
                                  <w:szCs w:val="24"/>
                                </w:rPr>
                                <w:t>(n = 3</w:t>
                              </w:r>
                              <w:r>
                                <w:rPr>
                                  <w:rFonts w:ascii="Times New Roman" w:hAnsi="Times New Roman" w:cs="Times New Roman"/>
                                  <w:sz w:val="24"/>
                                  <w:szCs w:val="24"/>
                                </w:rPr>
                                <w:t>2</w:t>
                              </w:r>
                              <w:r w:rsidRPr="00D3080D">
                                <w:rPr>
                                  <w:rFonts w:ascii="Times New Roman" w:hAnsi="Times New Roman" w:cs="Times New Roman"/>
                                  <w:sz w:val="24"/>
                                  <w:szCs w:val="24"/>
                                </w:rPr>
                                <w:t>)</w:t>
                              </w:r>
                            </w:p>
                            <w:p w14:paraId="48F94327" w14:textId="77777777" w:rsidR="008438FF" w:rsidRDefault="008438FF" w:rsidP="008438FF">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Right 14"/>
                        <wps:cNvSpPr/>
                        <wps:spPr>
                          <a:xfrm flipV="1">
                            <a:off x="3224871" y="5878631"/>
                            <a:ext cx="453358" cy="73158"/>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174171" y="1382486"/>
                            <a:ext cx="3053378" cy="761312"/>
                          </a:xfrm>
                          <a:prstGeom prst="roundRect">
                            <a:avLst/>
                          </a:prstGeom>
                          <a:solidFill>
                            <a:sysClr val="window" lastClr="FFFFFF"/>
                          </a:solidFill>
                          <a:ln w="3175" cap="flat" cmpd="sng" algn="ctr">
                            <a:solidFill>
                              <a:srgbClr val="92D050"/>
                            </a:solidFill>
                            <a:prstDash val="solid"/>
                            <a:miter lim="800000"/>
                          </a:ln>
                          <a:effectLst/>
                        </wps:spPr>
                        <wps:txbx>
                          <w:txbxContent>
                            <w:p w14:paraId="07C953E2" w14:textId="77777777" w:rsidR="008438FF" w:rsidRPr="00C9393A" w:rsidRDefault="008438FF" w:rsidP="008438FF">
                              <w:pPr>
                                <w:jc w:val="center"/>
                                <w:rPr>
                                  <w:rFonts w:ascii="Times New Roman" w:hAnsi="Times New Roman" w:cs="Times New Roman"/>
                                  <w:sz w:val="24"/>
                                  <w:szCs w:val="24"/>
                                </w:rPr>
                              </w:pPr>
                              <w:r w:rsidRPr="00C9393A">
                                <w:rPr>
                                  <w:rFonts w:ascii="Times New Roman" w:hAnsi="Times New Roman" w:cs="Times New Roman"/>
                                  <w:sz w:val="24"/>
                                  <w:szCs w:val="24"/>
                                </w:rPr>
                                <w:t xml:space="preserve">Total number of </w:t>
                              </w:r>
                              <w:r>
                                <w:rPr>
                                  <w:rFonts w:ascii="Times New Roman" w:hAnsi="Times New Roman" w:cs="Times New Roman"/>
                                  <w:sz w:val="24"/>
                                  <w:szCs w:val="24"/>
                                </w:rPr>
                                <w:t xml:space="preserve">studies that had relevance to agri-environment schemes </w:t>
                              </w:r>
                              <w:r w:rsidRPr="00C9393A">
                                <w:rPr>
                                  <w:rFonts w:ascii="Times New Roman" w:hAnsi="Times New Roman" w:cs="Times New Roman"/>
                                  <w:sz w:val="24"/>
                                  <w:szCs w:val="24"/>
                                </w:rPr>
                                <w:t xml:space="preserve">(n = </w:t>
                              </w:r>
                              <w:r>
                                <w:rPr>
                                  <w:rFonts w:ascii="Times New Roman" w:hAnsi="Times New Roman" w:cs="Times New Roman"/>
                                  <w:sz w:val="24"/>
                                  <w:szCs w:val="24"/>
                                </w:rPr>
                                <w:t>234</w:t>
                              </w:r>
                              <w:r w:rsidRPr="00C9393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row: Down 16"/>
                        <wps:cNvSpPr/>
                        <wps:spPr>
                          <a:xfrm>
                            <a:off x="1630135" y="2133600"/>
                            <a:ext cx="119263" cy="51483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Right 24"/>
                        <wps:cNvSpPr/>
                        <wps:spPr>
                          <a:xfrm rot="480000">
                            <a:off x="3230335" y="2999015"/>
                            <a:ext cx="480056" cy="8507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35DCBC" id="Group 1" o:spid="_x0000_s1041" style="position:absolute;left:0;text-align:left;margin-left:0;margin-top:6.55pt;width:490.7pt;height:555.8pt;z-index:251678720;mso-position-horizontal:center;mso-position-horizontal-relative:margin;mso-height-relative:margin" coordsize="62317,7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">
                <v:roundrect id="Rectangle: Rounded Corners 2" o:spid="_x0000_s1042" style="position:absolute;width:62317;height:72383;visibility:visible;mso-wrap-style:square;v-text-anchor:middle" arcsize="40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" fillcolor="window" strokecolor="#e7e6e6" strokeweight="1pt">
                  <v:stroke joinstyle="miter"/>
                </v:roundrect>
                <v:roundrect id="Rectangle: Rounded Corners 3" o:spid="_x0000_s1043" style="position:absolute;left:1524;top:2721;width:30533;height:7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" fillcolor="window" strokecolor="#92d050" strokeweight=".25pt">
                  <v:stroke joinstyle="miter"/>
                  <v:textbox>
                    <w:txbxContent>
                      <w:p w14:paraId="726FACAF" w14:textId="77777777" w:rsidR="008438FF" w:rsidRPr="00C9393A" w:rsidRDefault="008438FF" w:rsidP="008438FF">
                        <w:pPr>
                          <w:jc w:val="center"/>
                          <w:rPr>
                            <w:rFonts w:ascii="Times New Roman" w:hAnsi="Times New Roman" w:cs="Times New Roman"/>
                            <w:sz w:val="24"/>
                            <w:szCs w:val="24"/>
                          </w:rPr>
                        </w:pPr>
                        <w:r w:rsidRPr="00C9393A">
                          <w:rPr>
                            <w:rFonts w:ascii="Times New Roman" w:hAnsi="Times New Roman" w:cs="Times New Roman"/>
                            <w:sz w:val="24"/>
                            <w:szCs w:val="24"/>
                          </w:rPr>
                          <w:t>Total number of articles</w:t>
                        </w:r>
                        <w:r>
                          <w:rPr>
                            <w:rFonts w:ascii="Times New Roman" w:hAnsi="Times New Roman" w:cs="Times New Roman"/>
                            <w:sz w:val="24"/>
                            <w:szCs w:val="24"/>
                          </w:rPr>
                          <w:t xml:space="preserve"> identified after using our search terms</w:t>
                        </w:r>
                        <w:r w:rsidRPr="00C9393A">
                          <w:rPr>
                            <w:rFonts w:ascii="Times New Roman" w:hAnsi="Times New Roman" w:cs="Times New Roman"/>
                            <w:sz w:val="24"/>
                            <w:szCs w:val="24"/>
                          </w:rPr>
                          <w:t xml:space="preserve"> (n = </w:t>
                        </w:r>
                        <w:r>
                          <w:rPr>
                            <w:rFonts w:ascii="Times New Roman" w:hAnsi="Times New Roman" w:cs="Times New Roman"/>
                            <w:sz w:val="24"/>
                            <w:szCs w:val="24"/>
                          </w:rPr>
                          <w:t>959</w:t>
                        </w:r>
                        <w:r w:rsidRPr="00C9393A">
                          <w:rPr>
                            <w:rFonts w:ascii="Times New Roman" w:hAnsi="Times New Roman" w:cs="Times New Roman"/>
                            <w:sz w:val="24"/>
                            <w:szCs w:val="24"/>
                          </w:rPr>
                          <w:t>)</w:t>
                        </w:r>
                      </w:p>
                    </w:txbxContent>
                  </v:textbox>
                </v:roundrect>
                <v:roundrect id="Rectangle: Rounded Corners 4" o:spid="_x0000_s1044" style="position:absolute;left:1741;top:26452;width:30507;height:11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" fillcolor="window" strokecolor="#92d050" strokeweight=".25pt">
                  <v:stroke joinstyle="miter"/>
                  <v:textbox>
                    <w:txbxContent>
                      <w:p w14:paraId="69DB0D00" w14:textId="77777777" w:rsidR="008438FF" w:rsidRPr="00C9393A" w:rsidRDefault="008438FF" w:rsidP="008438FF">
                        <w:pPr>
                          <w:jc w:val="center"/>
                          <w:rPr>
                            <w:rFonts w:ascii="Times New Roman" w:hAnsi="Times New Roman" w:cs="Times New Roman"/>
                            <w:sz w:val="24"/>
                            <w:szCs w:val="24"/>
                          </w:rPr>
                        </w:pPr>
                        <w:r w:rsidRPr="00C9393A">
                          <w:rPr>
                            <w:rFonts w:ascii="Times New Roman" w:hAnsi="Times New Roman" w:cs="Times New Roman"/>
                            <w:sz w:val="24"/>
                            <w:szCs w:val="24"/>
                          </w:rPr>
                          <w:t>Articles selected after removal of duplicates, commentaries, books and book chapters and studies with no link to</w:t>
                        </w:r>
                        <w:r>
                          <w:rPr>
                            <w:rFonts w:ascii="Times New Roman" w:hAnsi="Times New Roman" w:cs="Times New Roman"/>
                            <w:sz w:val="24"/>
                            <w:szCs w:val="24"/>
                          </w:rPr>
                          <w:t xml:space="preserve"> agri-environment schemes </w:t>
                        </w:r>
                        <w:r w:rsidRPr="00C9393A">
                          <w:rPr>
                            <w:rFonts w:ascii="Times New Roman" w:hAnsi="Times New Roman" w:cs="Times New Roman"/>
                            <w:sz w:val="24"/>
                            <w:szCs w:val="24"/>
                          </w:rPr>
                          <w:t xml:space="preserve">(n = </w:t>
                        </w:r>
                        <w:r w:rsidRPr="00C55495">
                          <w:rPr>
                            <w:rFonts w:ascii="Times New Roman" w:eastAsia="Times New Roman" w:hAnsi="Times New Roman" w:cs="Times New Roman"/>
                            <w:sz w:val="24"/>
                            <w:szCs w:val="24"/>
                            <w:lang w:eastAsia="en-GB"/>
                          </w:rPr>
                          <w:t>105</w:t>
                        </w:r>
                        <w:r w:rsidRPr="00C9393A">
                          <w:rPr>
                            <w:rFonts w:ascii="Times New Roman" w:hAnsi="Times New Roman" w:cs="Times New Roman"/>
                            <w:sz w:val="24"/>
                            <w:szCs w:val="24"/>
                          </w:rPr>
                          <w:t>)</w:t>
                        </w:r>
                      </w:p>
                    </w:txbxContent>
                  </v:textbox>
                </v:roundrect>
                <v:rect id="Rectangle 5" o:spid="_x0000_s1045" style="position:absolute;left:36899;top:22858;width:23312;height:10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" fillcolor="window" strokecolor="#f8cbad" strokeweight=".25pt">
                  <v:stroke dashstyle="3 1"/>
                  <v:textbox>
                    <w:txbxContent>
                      <w:p w14:paraId="64D6F7E6" w14:textId="77777777" w:rsidR="008438FF" w:rsidRPr="00C9393A" w:rsidRDefault="008438FF" w:rsidP="008438FF">
                        <w:pPr>
                          <w:spacing w:line="276" w:lineRule="auto"/>
                          <w:rPr>
                            <w:rFonts w:ascii="Times New Roman" w:hAnsi="Times New Roman" w:cs="Times New Roman"/>
                            <w:sz w:val="24"/>
                            <w:szCs w:val="24"/>
                          </w:rPr>
                        </w:pPr>
                        <w:r w:rsidRPr="00C9393A">
                          <w:rPr>
                            <w:rFonts w:ascii="Times New Roman" w:hAnsi="Times New Roman" w:cs="Times New Roman"/>
                            <w:sz w:val="24"/>
                            <w:szCs w:val="24"/>
                          </w:rPr>
                          <w:t xml:space="preserve">Articles (n = </w:t>
                        </w:r>
                        <w:r>
                          <w:rPr>
                            <w:rFonts w:ascii="Times New Roman" w:hAnsi="Times New Roman" w:cs="Times New Roman"/>
                            <w:sz w:val="24"/>
                            <w:szCs w:val="24"/>
                          </w:rPr>
                          <w:t>129</w:t>
                        </w:r>
                        <w:r w:rsidRPr="00C9393A">
                          <w:rPr>
                            <w:rFonts w:ascii="Times New Roman" w:hAnsi="Times New Roman" w:cs="Times New Roman"/>
                            <w:sz w:val="24"/>
                            <w:szCs w:val="24"/>
                          </w:rPr>
                          <w:t>) were excluded because the</w:t>
                        </w:r>
                        <w:r>
                          <w:rPr>
                            <w:rFonts w:ascii="Times New Roman" w:hAnsi="Times New Roman" w:cs="Times New Roman"/>
                            <w:sz w:val="24"/>
                            <w:szCs w:val="24"/>
                          </w:rPr>
                          <w:t>y were not peer reviewed articles related to</w:t>
                        </w:r>
                        <w:r w:rsidRPr="00C9393A">
                          <w:rPr>
                            <w:rFonts w:ascii="Times New Roman" w:hAnsi="Times New Roman" w:cs="Times New Roman"/>
                            <w:sz w:val="24"/>
                            <w:szCs w:val="24"/>
                          </w:rPr>
                          <w:t xml:space="preserve"> </w:t>
                        </w:r>
                        <w:r>
                          <w:rPr>
                            <w:rFonts w:ascii="Times New Roman" w:hAnsi="Times New Roman" w:cs="Times New Roman"/>
                            <w:sz w:val="24"/>
                            <w:szCs w:val="24"/>
                          </w:rPr>
                          <w:t>agri-environment schemes</w:t>
                        </w:r>
                      </w:p>
                    </w:txbxContent>
                  </v:textbox>
                </v:rect>
                <v:shape id="Arrow: Down 6" o:spid="_x0000_s1046" type="#_x0000_t67" style="position:absolute;left:16736;top:10450;width:1075;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" adj="18023" fillcolor="windowText" strokeweight="1pt"/>
                <v:shape id="Arrow: Down 7" o:spid="_x0000_s1047" type="#_x0000_t67" style="position:absolute;left:16301;top:38208;width:1159;height:3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" adj="18190" fillcolor="windowText" strokeweight="1pt"/>
                <v:roundrect id="Rectangle: Rounded Corners 9" o:spid="_x0000_s1048" style="position:absolute;left:1741;top:42127;width:30612;height:99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" fillcolor="window" strokecolor="#92d050" strokeweight=".25pt">
                  <v:stroke joinstyle="miter"/>
                  <v:textbox>
                    <w:txbxContent>
                      <w:p w14:paraId="2CE81FAF" w14:textId="09D98B6F" w:rsidR="008438FF" w:rsidRPr="00C9393A" w:rsidRDefault="008438FF" w:rsidP="008438FF">
                        <w:pPr>
                          <w:jc w:val="center"/>
                          <w:rPr>
                            <w:rFonts w:ascii="Times New Roman" w:hAnsi="Times New Roman" w:cs="Times New Roman"/>
                            <w:sz w:val="24"/>
                            <w:szCs w:val="24"/>
                          </w:rPr>
                        </w:pPr>
                        <w:r w:rsidRPr="00C9393A">
                          <w:rPr>
                            <w:rFonts w:ascii="Times New Roman" w:hAnsi="Times New Roman" w:cs="Times New Roman"/>
                            <w:sz w:val="24"/>
                            <w:szCs w:val="24"/>
                          </w:rPr>
                          <w:t>Abstract and titles</w:t>
                        </w:r>
                        <w:r>
                          <w:rPr>
                            <w:rFonts w:ascii="Times New Roman" w:hAnsi="Times New Roman" w:cs="Times New Roman"/>
                            <w:sz w:val="24"/>
                            <w:szCs w:val="24"/>
                          </w:rPr>
                          <w:t xml:space="preserve"> after </w:t>
                        </w:r>
                        <w:r w:rsidR="000051D8">
                          <w:rPr>
                            <w:rFonts w:ascii="Times New Roman" w:hAnsi="Times New Roman" w:cs="Times New Roman"/>
                            <w:sz w:val="24"/>
                            <w:szCs w:val="24"/>
                          </w:rPr>
                          <w:t>exclusion</w:t>
                        </w:r>
                        <w:r>
                          <w:rPr>
                            <w:rFonts w:ascii="Times New Roman" w:hAnsi="Times New Roman" w:cs="Times New Roman"/>
                            <w:sz w:val="24"/>
                            <w:szCs w:val="24"/>
                          </w:rPr>
                          <w:t xml:space="preserve"> of articles with no mention of collective payment schemes or any relevant information to this regard</w:t>
                        </w:r>
                        <w:r w:rsidRPr="00C9393A">
                          <w:rPr>
                            <w:rFonts w:ascii="Times New Roman" w:hAnsi="Times New Roman" w:cs="Times New Roman"/>
                            <w:sz w:val="24"/>
                            <w:szCs w:val="24"/>
                          </w:rPr>
                          <w:t xml:space="preserve"> (n = </w:t>
                        </w:r>
                        <w:r>
                          <w:rPr>
                            <w:rFonts w:ascii="Times New Roman" w:hAnsi="Times New Roman" w:cs="Times New Roman"/>
                            <w:sz w:val="24"/>
                            <w:szCs w:val="24"/>
                          </w:rPr>
                          <w:t>67</w:t>
                        </w:r>
                        <w:r w:rsidRPr="00C9393A">
                          <w:rPr>
                            <w:rFonts w:ascii="Times New Roman" w:hAnsi="Times New Roman" w:cs="Times New Roman"/>
                            <w:sz w:val="24"/>
                            <w:szCs w:val="24"/>
                          </w:rPr>
                          <w:t>)</w:t>
                        </w:r>
                      </w:p>
                      <w:p w14:paraId="60143512" w14:textId="77777777" w:rsidR="008438FF" w:rsidRDefault="008438FF" w:rsidP="008438FF">
                        <w:r>
                          <w:t xml:space="preserve">                                                              </w:t>
                        </w:r>
                      </w:p>
                    </w:txbxContent>
                  </v:textbox>
                </v:roundrect>
                <v:rect id="Rectangle 10" o:spid="_x0000_s1049" style="position:absolute;left:36896;top:34468;width:23222;height:36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" fillcolor="window" strokecolor="#f8cbad" strokeweight=".25pt">
                  <v:stroke dashstyle="3 1"/>
                  <v:textbox>
                    <w:txbxContent>
                      <w:p w14:paraId="244896C2" w14:textId="77777777" w:rsidR="008438FF" w:rsidRDefault="008438FF" w:rsidP="008438FF">
                        <w:pPr>
                          <w:spacing w:line="276" w:lineRule="auto"/>
                          <w:rPr>
                            <w:rFonts w:ascii="Times New Roman" w:hAnsi="Times New Roman" w:cs="Times New Roman"/>
                            <w:sz w:val="24"/>
                            <w:szCs w:val="24"/>
                          </w:rPr>
                        </w:pPr>
                        <w:r>
                          <w:rPr>
                            <w:rFonts w:ascii="Times New Roman" w:hAnsi="Times New Roman" w:cs="Times New Roman"/>
                            <w:sz w:val="24"/>
                            <w:szCs w:val="24"/>
                          </w:rPr>
                          <w:t xml:space="preserve">Full text articles were excluded </w:t>
                        </w:r>
                        <w:r w:rsidRPr="00B060F9">
                          <w:rPr>
                            <w:rFonts w:ascii="Times New Roman" w:hAnsi="Times New Roman" w:cs="Times New Roman"/>
                            <w:sz w:val="24"/>
                            <w:szCs w:val="24"/>
                          </w:rPr>
                          <w:t xml:space="preserve">because: </w:t>
                        </w:r>
                      </w:p>
                      <w:p w14:paraId="0FCC5172" w14:textId="77777777" w:rsidR="008438FF" w:rsidRDefault="008438FF" w:rsidP="008438FF">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Had no secondary and primary data on collective payment schemes or</w:t>
                        </w:r>
                      </w:p>
                      <w:p w14:paraId="2C5D390A" w14:textId="77777777" w:rsidR="008438FF" w:rsidRDefault="008438FF" w:rsidP="008438FF">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No mention of collective incentives/external rewards, social capital in collective schemes, group-level payments, cost-sharing commitments etc or</w:t>
                        </w:r>
                      </w:p>
                      <w:p w14:paraId="0F61F812" w14:textId="77777777" w:rsidR="008438FF" w:rsidRDefault="008438FF" w:rsidP="008438FF">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No mention of factors influencing participation in collective payment schemes</w:t>
                        </w:r>
                      </w:p>
                      <w:p w14:paraId="3C76904C" w14:textId="77777777" w:rsidR="008438FF" w:rsidRPr="00274570" w:rsidRDefault="008438FF" w:rsidP="008438FF">
                        <w:pPr>
                          <w:spacing w:line="276" w:lineRule="auto"/>
                          <w:ind w:left="360"/>
                          <w:rPr>
                            <w:rFonts w:ascii="Times New Roman" w:hAnsi="Times New Roman" w:cs="Times New Roman"/>
                            <w:sz w:val="24"/>
                            <w:szCs w:val="24"/>
                          </w:rPr>
                        </w:pPr>
                      </w:p>
                    </w:txbxContent>
                  </v:textbox>
                </v:rect>
                <v:shape id="Arrow: Down 11" o:spid="_x0000_s1050" type="#_x0000_t67" style="position:absolute;left:16301;top:52033;width:1295;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" adj="17387" fillcolor="windowText" strokeweight="1pt"/>
                <v:roundrect id="Rectangle: Rounded Corners 13" o:spid="_x0000_s1051" style="position:absolute;left:1741;top:55299;width:30457;height:86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" fillcolor="window" strokecolor="#92d050" strokeweight=".25pt">
                  <v:stroke joinstyle="miter"/>
                  <v:textbox>
                    <w:txbxContent>
                      <w:p w14:paraId="7DFF5F55" w14:textId="77777777" w:rsidR="008438FF" w:rsidRPr="00D3080D" w:rsidRDefault="008438FF" w:rsidP="008438FF">
                        <w:pPr>
                          <w:jc w:val="center"/>
                          <w:rPr>
                            <w:rFonts w:ascii="Times New Roman" w:hAnsi="Times New Roman" w:cs="Times New Roman"/>
                            <w:sz w:val="24"/>
                            <w:szCs w:val="24"/>
                          </w:rPr>
                        </w:pPr>
                        <w:r w:rsidRPr="00D3080D">
                          <w:rPr>
                            <w:rFonts w:ascii="Times New Roman" w:hAnsi="Times New Roman" w:cs="Times New Roman"/>
                            <w:sz w:val="24"/>
                            <w:szCs w:val="24"/>
                          </w:rPr>
                          <w:t xml:space="preserve">Full-text screening and </w:t>
                        </w:r>
                        <w:r>
                          <w:rPr>
                            <w:rFonts w:ascii="Times New Roman" w:hAnsi="Times New Roman" w:cs="Times New Roman"/>
                            <w:sz w:val="24"/>
                            <w:szCs w:val="24"/>
                          </w:rPr>
                          <w:t xml:space="preserve">number of empirical studies included in our review </w:t>
                        </w:r>
                        <w:r w:rsidRPr="00D3080D">
                          <w:rPr>
                            <w:rFonts w:ascii="Times New Roman" w:hAnsi="Times New Roman" w:cs="Times New Roman"/>
                            <w:sz w:val="24"/>
                            <w:szCs w:val="24"/>
                          </w:rPr>
                          <w:t>(n = 3</w:t>
                        </w:r>
                        <w:r>
                          <w:rPr>
                            <w:rFonts w:ascii="Times New Roman" w:hAnsi="Times New Roman" w:cs="Times New Roman"/>
                            <w:sz w:val="24"/>
                            <w:szCs w:val="24"/>
                          </w:rPr>
                          <w:t>2</w:t>
                        </w:r>
                        <w:r w:rsidRPr="00D3080D">
                          <w:rPr>
                            <w:rFonts w:ascii="Times New Roman" w:hAnsi="Times New Roman" w:cs="Times New Roman"/>
                            <w:sz w:val="24"/>
                            <w:szCs w:val="24"/>
                          </w:rPr>
                          <w:t>)</w:t>
                        </w:r>
                      </w:p>
                      <w:p w14:paraId="48F94327" w14:textId="77777777" w:rsidR="008438FF" w:rsidRDefault="008438FF" w:rsidP="008438FF">
                        <w:r>
                          <w:t xml:space="preserve">                                                              </w:t>
                        </w:r>
                      </w:p>
                    </w:txbxContent>
                  </v:textbox>
                </v:roundrect>
                <v:shape id="Arrow: Right 14" o:spid="_x0000_s1052" type="#_x0000_t13" style="position:absolute;left:32248;top:58786;width:4534;height:73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" adj="19857" fillcolor="windowText" strokeweight="1pt"/>
                <v:roundrect id="Rectangle: Rounded Corners 15" o:spid="_x0000_s1053" style="position:absolute;left:1741;top:13824;width:30534;height:7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" fillcolor="window" strokecolor="#92d050" strokeweight=".25pt">
                  <v:stroke joinstyle="miter"/>
                  <v:textbox>
                    <w:txbxContent>
                      <w:p w14:paraId="07C953E2" w14:textId="77777777" w:rsidR="008438FF" w:rsidRPr="00C9393A" w:rsidRDefault="008438FF" w:rsidP="008438FF">
                        <w:pPr>
                          <w:jc w:val="center"/>
                          <w:rPr>
                            <w:rFonts w:ascii="Times New Roman" w:hAnsi="Times New Roman" w:cs="Times New Roman"/>
                            <w:sz w:val="24"/>
                            <w:szCs w:val="24"/>
                          </w:rPr>
                        </w:pPr>
                        <w:r w:rsidRPr="00C9393A">
                          <w:rPr>
                            <w:rFonts w:ascii="Times New Roman" w:hAnsi="Times New Roman" w:cs="Times New Roman"/>
                            <w:sz w:val="24"/>
                            <w:szCs w:val="24"/>
                          </w:rPr>
                          <w:t xml:space="preserve">Total number of </w:t>
                        </w:r>
                        <w:r>
                          <w:rPr>
                            <w:rFonts w:ascii="Times New Roman" w:hAnsi="Times New Roman" w:cs="Times New Roman"/>
                            <w:sz w:val="24"/>
                            <w:szCs w:val="24"/>
                          </w:rPr>
                          <w:t xml:space="preserve">studies that had relevance to agri-environment schemes </w:t>
                        </w:r>
                        <w:r w:rsidRPr="00C9393A">
                          <w:rPr>
                            <w:rFonts w:ascii="Times New Roman" w:hAnsi="Times New Roman" w:cs="Times New Roman"/>
                            <w:sz w:val="24"/>
                            <w:szCs w:val="24"/>
                          </w:rPr>
                          <w:t xml:space="preserve">(n = </w:t>
                        </w:r>
                        <w:r>
                          <w:rPr>
                            <w:rFonts w:ascii="Times New Roman" w:hAnsi="Times New Roman" w:cs="Times New Roman"/>
                            <w:sz w:val="24"/>
                            <w:szCs w:val="24"/>
                          </w:rPr>
                          <w:t>234</w:t>
                        </w:r>
                        <w:r w:rsidRPr="00C9393A">
                          <w:rPr>
                            <w:rFonts w:ascii="Times New Roman" w:hAnsi="Times New Roman" w:cs="Times New Roman"/>
                            <w:sz w:val="24"/>
                            <w:szCs w:val="24"/>
                          </w:rPr>
                          <w:t>)</w:t>
                        </w:r>
                      </w:p>
                    </w:txbxContent>
                  </v:textbox>
                </v:roundrect>
                <v:shape id="Arrow: Down 16" o:spid="_x0000_s1054" type="#_x0000_t67" style="position:absolute;left:16301;top:21336;width:1192;height:5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" adj="19098" fillcolor="windowText" strokeweight="1pt"/>
                <v:shape id="Arrow: Right 24" o:spid="_x0000_s1055" type="#_x0000_t13" style="position:absolute;left:32303;top:29990;width:4800;height:850;rotation: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" adj="19686" fillcolor="black [3200]" strokecolor="black [1600]" strokeweight="1pt"/>
                <w10:wrap anchorx="margin"/>
              </v:group>
            </w:pict>
          </mc:Fallback>
        </mc:AlternateContent>
      </w:r>
    </w:p>
    <w:p w14:paraId="4C638020" w14:textId="77777777" w:rsidR="008438FF" w:rsidRPr="00A019E1" w:rsidRDefault="008438FF" w:rsidP="008438FF">
      <w:pPr>
        <w:spacing w:line="360" w:lineRule="auto"/>
        <w:jc w:val="both"/>
        <w:rPr>
          <w:rFonts w:ascii="Times New Roman" w:hAnsi="Times New Roman" w:cs="Times New Roman"/>
          <w:sz w:val="24"/>
          <w:szCs w:val="24"/>
        </w:rPr>
      </w:pPr>
    </w:p>
    <w:p w14:paraId="20372863" w14:textId="77777777" w:rsidR="008438FF" w:rsidRPr="00A019E1" w:rsidRDefault="008438FF" w:rsidP="008438FF">
      <w:pPr>
        <w:spacing w:line="360" w:lineRule="auto"/>
        <w:jc w:val="both"/>
        <w:rPr>
          <w:rFonts w:ascii="Times New Roman" w:hAnsi="Times New Roman" w:cs="Times New Roman"/>
          <w:sz w:val="24"/>
          <w:szCs w:val="24"/>
        </w:rPr>
      </w:pPr>
    </w:p>
    <w:p w14:paraId="7F1532DB" w14:textId="77777777" w:rsidR="008438FF" w:rsidRPr="00A019E1" w:rsidRDefault="008438FF" w:rsidP="008438FF">
      <w:pPr>
        <w:tabs>
          <w:tab w:val="left" w:pos="6663"/>
        </w:tabs>
        <w:spacing w:line="360" w:lineRule="auto"/>
        <w:jc w:val="both"/>
        <w:rPr>
          <w:rFonts w:ascii="Times New Roman" w:hAnsi="Times New Roman" w:cs="Times New Roman"/>
          <w:sz w:val="24"/>
          <w:szCs w:val="24"/>
        </w:rPr>
      </w:pPr>
    </w:p>
    <w:p w14:paraId="6B4CF40A" w14:textId="77777777" w:rsidR="008438FF" w:rsidRPr="00A019E1" w:rsidRDefault="008438FF" w:rsidP="008438FF">
      <w:pPr>
        <w:spacing w:line="360" w:lineRule="auto"/>
        <w:jc w:val="both"/>
        <w:rPr>
          <w:rFonts w:ascii="Times New Roman" w:hAnsi="Times New Roman" w:cs="Times New Roman"/>
          <w:sz w:val="24"/>
          <w:szCs w:val="24"/>
        </w:rPr>
      </w:pPr>
    </w:p>
    <w:p w14:paraId="023B26D6" w14:textId="77777777" w:rsidR="008438FF" w:rsidRPr="00A019E1" w:rsidRDefault="008438FF" w:rsidP="008438FF">
      <w:pPr>
        <w:spacing w:line="360" w:lineRule="auto"/>
        <w:jc w:val="both"/>
        <w:rPr>
          <w:rFonts w:ascii="Times New Roman" w:hAnsi="Times New Roman" w:cs="Times New Roman"/>
          <w:sz w:val="24"/>
          <w:szCs w:val="24"/>
        </w:rPr>
      </w:pPr>
    </w:p>
    <w:p w14:paraId="324D9551" w14:textId="77777777" w:rsidR="008438FF" w:rsidRPr="00A019E1" w:rsidRDefault="008438FF" w:rsidP="008438FF">
      <w:pPr>
        <w:spacing w:line="360" w:lineRule="auto"/>
        <w:jc w:val="both"/>
        <w:rPr>
          <w:rFonts w:ascii="Times New Roman" w:hAnsi="Times New Roman" w:cs="Times New Roman"/>
          <w:sz w:val="24"/>
          <w:szCs w:val="24"/>
        </w:rPr>
      </w:pPr>
    </w:p>
    <w:p w14:paraId="65661965" w14:textId="77777777" w:rsidR="008438FF" w:rsidRPr="00A019E1" w:rsidRDefault="008438FF" w:rsidP="008438FF">
      <w:pPr>
        <w:spacing w:line="360" w:lineRule="auto"/>
        <w:jc w:val="both"/>
        <w:rPr>
          <w:rFonts w:ascii="Times New Roman" w:hAnsi="Times New Roman" w:cs="Times New Roman"/>
          <w:sz w:val="24"/>
          <w:szCs w:val="24"/>
        </w:rPr>
      </w:pPr>
    </w:p>
    <w:p w14:paraId="18E927C9" w14:textId="77777777" w:rsidR="008438FF" w:rsidRPr="00A019E1" w:rsidRDefault="008438FF" w:rsidP="008438FF">
      <w:pPr>
        <w:spacing w:line="360" w:lineRule="auto"/>
        <w:jc w:val="both"/>
        <w:rPr>
          <w:rFonts w:ascii="Times New Roman" w:hAnsi="Times New Roman" w:cs="Times New Roman"/>
          <w:sz w:val="24"/>
          <w:szCs w:val="24"/>
        </w:rPr>
      </w:pPr>
    </w:p>
    <w:p w14:paraId="43A819AB" w14:textId="77777777" w:rsidR="008438FF" w:rsidRPr="00A019E1" w:rsidRDefault="008438FF" w:rsidP="008438FF">
      <w:pPr>
        <w:spacing w:line="360" w:lineRule="auto"/>
        <w:jc w:val="both"/>
        <w:rPr>
          <w:rFonts w:ascii="Times New Roman" w:hAnsi="Times New Roman" w:cs="Times New Roman"/>
          <w:sz w:val="24"/>
          <w:szCs w:val="24"/>
        </w:rPr>
      </w:pPr>
    </w:p>
    <w:p w14:paraId="22ED922F" w14:textId="77777777" w:rsidR="008438FF" w:rsidRPr="00A019E1" w:rsidRDefault="008438FF" w:rsidP="008438FF">
      <w:pPr>
        <w:spacing w:line="360" w:lineRule="auto"/>
        <w:jc w:val="both"/>
        <w:rPr>
          <w:rFonts w:ascii="Times New Roman" w:hAnsi="Times New Roman" w:cs="Times New Roman"/>
          <w:sz w:val="24"/>
          <w:szCs w:val="24"/>
        </w:rPr>
      </w:pPr>
    </w:p>
    <w:p w14:paraId="0F0DDF7B" w14:textId="77777777" w:rsidR="008438FF" w:rsidRPr="00A019E1" w:rsidRDefault="008438FF" w:rsidP="008438FF">
      <w:pPr>
        <w:spacing w:line="360" w:lineRule="auto"/>
        <w:jc w:val="both"/>
        <w:rPr>
          <w:rFonts w:ascii="Times New Roman" w:hAnsi="Times New Roman" w:cs="Times New Roman"/>
          <w:sz w:val="24"/>
          <w:szCs w:val="24"/>
        </w:rPr>
      </w:pPr>
    </w:p>
    <w:p w14:paraId="22433353" w14:textId="77777777" w:rsidR="008438FF" w:rsidRPr="00A019E1" w:rsidRDefault="008438FF" w:rsidP="008438FF">
      <w:pPr>
        <w:spacing w:line="360" w:lineRule="auto"/>
        <w:jc w:val="both"/>
        <w:rPr>
          <w:rFonts w:ascii="Times New Roman" w:hAnsi="Times New Roman" w:cs="Times New Roman"/>
          <w:sz w:val="24"/>
          <w:szCs w:val="24"/>
        </w:rPr>
      </w:pPr>
    </w:p>
    <w:p w14:paraId="0714AF21" w14:textId="77777777" w:rsidR="008438FF" w:rsidRPr="00A019E1" w:rsidRDefault="008438FF" w:rsidP="008438FF">
      <w:pPr>
        <w:spacing w:line="360" w:lineRule="auto"/>
        <w:jc w:val="both"/>
        <w:rPr>
          <w:rFonts w:ascii="Times New Roman" w:hAnsi="Times New Roman" w:cs="Times New Roman"/>
          <w:sz w:val="24"/>
          <w:szCs w:val="24"/>
        </w:rPr>
      </w:pPr>
    </w:p>
    <w:p w14:paraId="3F8F2C67" w14:textId="77777777" w:rsidR="008438FF" w:rsidRPr="00A019E1" w:rsidRDefault="008438FF" w:rsidP="008438FF">
      <w:pPr>
        <w:spacing w:line="360" w:lineRule="auto"/>
        <w:jc w:val="both"/>
        <w:rPr>
          <w:rFonts w:ascii="Times New Roman" w:hAnsi="Times New Roman" w:cs="Times New Roman"/>
          <w:sz w:val="24"/>
          <w:szCs w:val="24"/>
        </w:rPr>
      </w:pPr>
    </w:p>
    <w:p w14:paraId="72A733B9" w14:textId="77777777" w:rsidR="008438FF" w:rsidRPr="00A019E1" w:rsidRDefault="008438FF" w:rsidP="008438FF">
      <w:pPr>
        <w:spacing w:line="360" w:lineRule="auto"/>
        <w:jc w:val="both"/>
        <w:rPr>
          <w:rFonts w:ascii="Times New Roman" w:hAnsi="Times New Roman" w:cs="Times New Roman"/>
          <w:sz w:val="24"/>
          <w:szCs w:val="24"/>
        </w:rPr>
      </w:pPr>
    </w:p>
    <w:p w14:paraId="137824EA" w14:textId="77777777" w:rsidR="008438FF" w:rsidRPr="00A019E1" w:rsidRDefault="008438FF" w:rsidP="008438FF">
      <w:pPr>
        <w:spacing w:line="360" w:lineRule="auto"/>
        <w:jc w:val="both"/>
        <w:rPr>
          <w:rFonts w:ascii="Times New Roman" w:hAnsi="Times New Roman" w:cs="Times New Roman"/>
          <w:sz w:val="24"/>
          <w:szCs w:val="24"/>
        </w:rPr>
      </w:pPr>
    </w:p>
    <w:p w14:paraId="032CDD48" w14:textId="77777777" w:rsidR="008438FF" w:rsidRPr="00A019E1" w:rsidRDefault="008438FF" w:rsidP="008438FF">
      <w:pPr>
        <w:spacing w:line="360" w:lineRule="auto"/>
        <w:jc w:val="both"/>
        <w:rPr>
          <w:rFonts w:ascii="Times New Roman" w:hAnsi="Times New Roman" w:cs="Times New Roman"/>
          <w:b/>
          <w:bCs/>
          <w:sz w:val="24"/>
          <w:szCs w:val="24"/>
        </w:rPr>
      </w:pPr>
    </w:p>
    <w:p w14:paraId="6B31D671" w14:textId="77777777" w:rsidR="008438FF" w:rsidRPr="00A019E1" w:rsidRDefault="008438FF" w:rsidP="008438FF">
      <w:pPr>
        <w:spacing w:line="360" w:lineRule="auto"/>
        <w:jc w:val="both"/>
        <w:rPr>
          <w:rFonts w:ascii="Times New Roman" w:hAnsi="Times New Roman" w:cs="Times New Roman"/>
          <w:b/>
          <w:bCs/>
          <w:sz w:val="24"/>
          <w:szCs w:val="24"/>
        </w:rPr>
      </w:pPr>
    </w:p>
    <w:p w14:paraId="71FC8B3C" w14:textId="77777777" w:rsidR="008438FF" w:rsidRPr="00A019E1" w:rsidRDefault="008438FF" w:rsidP="008438FF">
      <w:pPr>
        <w:spacing w:line="360" w:lineRule="auto"/>
        <w:jc w:val="both"/>
        <w:rPr>
          <w:rFonts w:ascii="Times New Roman" w:hAnsi="Times New Roman" w:cs="Times New Roman"/>
          <w:b/>
          <w:bCs/>
          <w:sz w:val="24"/>
          <w:szCs w:val="24"/>
        </w:rPr>
      </w:pPr>
    </w:p>
    <w:p w14:paraId="00767A02" w14:textId="77777777" w:rsidR="008438FF" w:rsidRPr="00A019E1" w:rsidRDefault="008438FF" w:rsidP="008438FF">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lastRenderedPageBreak/>
        <w:t>Figure 1: Flow diagram demonstrating our search strategy and study selection</w:t>
      </w:r>
    </w:p>
    <w:p w14:paraId="33C416EB" w14:textId="77777777" w:rsidR="007853F0" w:rsidRDefault="007853F0" w:rsidP="008438FF">
      <w:pPr>
        <w:spacing w:line="360" w:lineRule="auto"/>
        <w:jc w:val="both"/>
        <w:rPr>
          <w:rFonts w:ascii="Times New Roman" w:hAnsi="Times New Roman" w:cs="Times New Roman"/>
          <w:b/>
          <w:bCs/>
          <w:sz w:val="24"/>
          <w:szCs w:val="24"/>
        </w:rPr>
      </w:pPr>
    </w:p>
    <w:p w14:paraId="5C333FEB" w14:textId="358E6BA3" w:rsidR="008438FF" w:rsidRPr="00A019E1" w:rsidRDefault="008438FF" w:rsidP="008438FF">
      <w:pPr>
        <w:spacing w:line="360" w:lineRule="auto"/>
        <w:jc w:val="both"/>
        <w:rPr>
          <w:rFonts w:ascii="Times New Roman" w:eastAsia="Times New Roman" w:hAnsi="Times New Roman" w:cs="Times New Roman"/>
          <w:b/>
          <w:bCs/>
          <w:sz w:val="24"/>
          <w:szCs w:val="24"/>
          <w:lang w:eastAsia="en-GB"/>
        </w:rPr>
      </w:pPr>
      <w:r w:rsidRPr="00A019E1">
        <w:rPr>
          <w:rFonts w:ascii="Times New Roman" w:hAnsi="Times New Roman" w:cs="Times New Roman"/>
          <w:b/>
          <w:bCs/>
          <w:sz w:val="24"/>
          <w:szCs w:val="24"/>
        </w:rPr>
        <w:t xml:space="preserve">4.1 Collective payment </w:t>
      </w:r>
      <w:r w:rsidRPr="00A019E1">
        <w:rPr>
          <w:rFonts w:ascii="Times New Roman" w:eastAsia="Times New Roman" w:hAnsi="Times New Roman" w:cs="Times New Roman"/>
          <w:b/>
          <w:bCs/>
          <w:sz w:val="24"/>
          <w:szCs w:val="24"/>
          <w:lang w:eastAsia="en-GB"/>
        </w:rPr>
        <w:t xml:space="preserve">scheme design characteristics </w:t>
      </w:r>
    </w:p>
    <w:p w14:paraId="3528061F"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The suppliers of environmental goods in the collective payments’ schemes are either communities and groups of farmers/landowners/farmer organizations while the buyers are governments, cooperatives, international non-governmental organisations involved in conservation, or fellow farmers. Collective contracts/agreements between the suppliers and buyers are usually either signed directly by representatives of informal farmer groups/communities (</w:t>
      </w:r>
      <w:proofErr w:type="gramStart"/>
      <w:r w:rsidRPr="00A019E1">
        <w:rPr>
          <w:rFonts w:ascii="Times New Roman" w:eastAsia="Times New Roman" w:hAnsi="Times New Roman" w:cs="Times New Roman"/>
          <w:sz w:val="24"/>
          <w:szCs w:val="24"/>
          <w:lang w:eastAsia="en-GB"/>
        </w:rPr>
        <w:t>e.g.</w:t>
      </w:r>
      <w:proofErr w:type="gramEnd"/>
      <w:r w:rsidRPr="00A019E1">
        <w:rPr>
          <w:rFonts w:ascii="Times New Roman" w:eastAsia="Times New Roman" w:hAnsi="Times New Roman" w:cs="Times New Roman"/>
          <w:sz w:val="24"/>
          <w:szCs w:val="24"/>
          <w:lang w:eastAsia="en-GB"/>
        </w:rPr>
        <w:t xml:space="preserve"> Midler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2015; Kuhfuss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2016; Alix-Garcia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or by formal regional cooperatives (Carmona-Torres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2011; Mills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2011; Villanueva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2015; Yoder, 2019) or community executive bodies/commune councils (Hayes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2015;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xml:space="preserve">, 2017; Hayes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2018). Signed collective contracts/agreements are enforced through (</w:t>
      </w:r>
      <w:proofErr w:type="spellStart"/>
      <w:r w:rsidRPr="00A019E1">
        <w:rPr>
          <w:rFonts w:ascii="Times New Roman" w:eastAsia="Times New Roman" w:hAnsi="Times New Roman" w:cs="Times New Roman"/>
          <w:sz w:val="24"/>
          <w:szCs w:val="24"/>
          <w:lang w:eastAsia="en-GB"/>
        </w:rPr>
        <w:t>i</w:t>
      </w:r>
      <w:proofErr w:type="spellEnd"/>
      <w:r w:rsidRPr="00A019E1">
        <w:rPr>
          <w:rFonts w:ascii="Times New Roman" w:eastAsia="Times New Roman" w:hAnsi="Times New Roman" w:cs="Times New Roman"/>
          <w:sz w:val="24"/>
          <w:szCs w:val="24"/>
          <w:lang w:eastAsia="en-GB"/>
        </w:rPr>
        <w:t>) communal sanctions to non-complying communities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xml:space="preserve">, 2017) or individuals (Mills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2011), (ii) a control system that involves the use of rules to allow or control certain farm practices (Corso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w:t>
      </w:r>
      <w:proofErr w:type="spellStart"/>
      <w:r w:rsidRPr="00A019E1">
        <w:rPr>
          <w:rFonts w:ascii="Times New Roman" w:eastAsia="Times New Roman" w:hAnsi="Times New Roman" w:cs="Times New Roman"/>
          <w:sz w:val="24"/>
          <w:szCs w:val="24"/>
          <w:lang w:eastAsia="en-GB"/>
        </w:rPr>
        <w:t>Amblard</w:t>
      </w:r>
      <w:proofErr w:type="spellEnd"/>
      <w:r w:rsidRPr="00A019E1">
        <w:rPr>
          <w:rFonts w:ascii="Times New Roman" w:eastAsia="Times New Roman" w:hAnsi="Times New Roman" w:cs="Times New Roman"/>
          <w:sz w:val="24"/>
          <w:szCs w:val="24"/>
          <w:lang w:eastAsia="en-GB"/>
        </w:rPr>
        <w:t xml:space="preserve">, 2019), (iii) rewarding individuals who successfully participate with penalties for non-compliance (Marshall, 2004; Carmona-Torres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2011), (iv) monitoring process after involving participants in the design of collective contracts (Emery and Franks, 2012) or through an external agent or patrol (</w:t>
      </w:r>
      <w:proofErr w:type="spellStart"/>
      <w:r w:rsidRPr="00A019E1">
        <w:rPr>
          <w:rFonts w:ascii="Times New Roman" w:eastAsia="Times New Roman" w:hAnsi="Times New Roman" w:cs="Times New Roman"/>
          <w:sz w:val="24"/>
          <w:szCs w:val="24"/>
          <w:lang w:eastAsia="en-GB"/>
        </w:rPr>
        <w:t>Kaczan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(v) trust and social norms governing individuals’ behaviour (Willy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2013) and (vi) planning and information sharing to avoid penalties (</w:t>
      </w:r>
      <w:proofErr w:type="spellStart"/>
      <w:r w:rsidRPr="00A019E1">
        <w:rPr>
          <w:rFonts w:ascii="Times New Roman" w:eastAsia="Times New Roman" w:hAnsi="Times New Roman" w:cs="Times New Roman"/>
          <w:sz w:val="24"/>
          <w:szCs w:val="24"/>
          <w:lang w:eastAsia="en-GB"/>
        </w:rPr>
        <w:t>Zaga</w:t>
      </w:r>
      <w:proofErr w:type="spellEnd"/>
      <w:r w:rsidRPr="00A019E1">
        <w:rPr>
          <w:rFonts w:ascii="Times New Roman" w:eastAsia="Times New Roman" w:hAnsi="Times New Roman" w:cs="Times New Roman"/>
          <w:sz w:val="24"/>
          <w:szCs w:val="24"/>
          <w:lang w:eastAsia="en-GB"/>
        </w:rPr>
        <w:t xml:space="preserve">-Mendez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w:t>
      </w:r>
    </w:p>
    <w:p w14:paraId="5B7F99D8"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There are two main types of payments included in the design of collective schemes as rewards for conservation outcomes - monetary and in-kind payments. In-kind payments are in form of subsidies or </w:t>
      </w:r>
      <w:proofErr w:type="spellStart"/>
      <w:r w:rsidRPr="00A019E1">
        <w:rPr>
          <w:rFonts w:ascii="Times New Roman" w:eastAsia="Times New Roman" w:hAnsi="Times New Roman" w:cs="Times New Roman"/>
          <w:sz w:val="24"/>
          <w:szCs w:val="24"/>
          <w:lang w:eastAsia="en-GB"/>
        </w:rPr>
        <w:t>labor</w:t>
      </w:r>
      <w:proofErr w:type="spellEnd"/>
      <w:r w:rsidRPr="00A019E1">
        <w:rPr>
          <w:rFonts w:ascii="Times New Roman" w:eastAsia="Times New Roman" w:hAnsi="Times New Roman" w:cs="Times New Roman"/>
          <w:sz w:val="24"/>
          <w:szCs w:val="24"/>
          <w:lang w:eastAsia="en-GB"/>
        </w:rPr>
        <w:t xml:space="preserve"> or school donations that lead to indirect benefits through cost savings and/or increased gross margins (Carmona-Torres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2011; Corso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2017; </w:t>
      </w:r>
      <w:proofErr w:type="spellStart"/>
      <w:r w:rsidRPr="00A019E1">
        <w:rPr>
          <w:rFonts w:ascii="Times New Roman" w:eastAsia="Times New Roman" w:hAnsi="Times New Roman" w:cs="Times New Roman"/>
          <w:sz w:val="24"/>
          <w:szCs w:val="24"/>
          <w:lang w:eastAsia="en-GB"/>
        </w:rPr>
        <w:t>Josefsson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w:t>
      </w:r>
      <w:proofErr w:type="spellStart"/>
      <w:r w:rsidRPr="00A019E1">
        <w:rPr>
          <w:rFonts w:ascii="Times New Roman" w:eastAsia="Times New Roman" w:hAnsi="Times New Roman" w:cs="Times New Roman"/>
          <w:sz w:val="24"/>
          <w:szCs w:val="24"/>
          <w:lang w:eastAsia="en-GB"/>
        </w:rPr>
        <w:t>Kolinjivadi</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2019). Monetary payments are in form of </w:t>
      </w:r>
      <w:r w:rsidRPr="00A019E1">
        <w:rPr>
          <w:rStyle w:val="FootnoteReference"/>
          <w:rFonts w:ascii="Times New Roman" w:eastAsia="Times New Roman" w:hAnsi="Times New Roman" w:cs="Times New Roman"/>
          <w:sz w:val="24"/>
          <w:szCs w:val="24"/>
          <w:lang w:eastAsia="en-GB"/>
        </w:rPr>
        <w:footnoteReference w:id="1"/>
      </w:r>
      <w:r w:rsidRPr="00A019E1">
        <w:rPr>
          <w:rFonts w:ascii="Times New Roman" w:eastAsia="Times New Roman" w:hAnsi="Times New Roman" w:cs="Times New Roman"/>
          <w:sz w:val="24"/>
          <w:szCs w:val="24"/>
          <w:lang w:eastAsia="en-GB"/>
        </w:rPr>
        <w:t xml:space="preserve">collective bonuses (Villanueva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2015; Kuhfuss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2016) or </w:t>
      </w:r>
      <w:r w:rsidRPr="00A019E1">
        <w:rPr>
          <w:rStyle w:val="FootnoteReference"/>
          <w:rFonts w:ascii="Times New Roman" w:eastAsia="Times New Roman" w:hAnsi="Times New Roman" w:cs="Times New Roman"/>
          <w:sz w:val="24"/>
          <w:szCs w:val="24"/>
          <w:lang w:eastAsia="en-GB"/>
        </w:rPr>
        <w:footnoteReference w:id="2"/>
      </w:r>
      <w:r w:rsidRPr="00A019E1">
        <w:rPr>
          <w:rFonts w:ascii="Times New Roman" w:eastAsia="Times New Roman" w:hAnsi="Times New Roman" w:cs="Times New Roman"/>
          <w:sz w:val="24"/>
          <w:szCs w:val="24"/>
          <w:lang w:eastAsia="en-GB"/>
        </w:rPr>
        <w:t xml:space="preserve">communal payments (Hayes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Hayes and </w:t>
      </w:r>
      <w:proofErr w:type="spellStart"/>
      <w:r w:rsidRPr="00A019E1">
        <w:rPr>
          <w:rFonts w:ascii="Times New Roman" w:eastAsia="Times New Roman" w:hAnsi="Times New Roman" w:cs="Times New Roman"/>
          <w:sz w:val="24"/>
          <w:szCs w:val="24"/>
          <w:lang w:eastAsia="en-GB"/>
        </w:rPr>
        <w:t>Murtinho</w:t>
      </w:r>
      <w:proofErr w:type="spellEnd"/>
      <w:r w:rsidRPr="00A019E1">
        <w:rPr>
          <w:rFonts w:ascii="Times New Roman" w:eastAsia="Times New Roman" w:hAnsi="Times New Roman" w:cs="Times New Roman"/>
          <w:sz w:val="24"/>
          <w:szCs w:val="24"/>
          <w:lang w:eastAsia="en-GB"/>
        </w:rPr>
        <w:t xml:space="preserve">, 2018). Other forms of payments include individual salaries or lumpsum payments (Villanueva </w:t>
      </w:r>
      <w:r w:rsidRPr="00A019E1">
        <w:rPr>
          <w:rFonts w:ascii="Times New Roman" w:eastAsia="Times New Roman" w:hAnsi="Times New Roman" w:cs="Times New Roman"/>
          <w:i/>
          <w:iCs/>
          <w:sz w:val="24"/>
          <w:szCs w:val="24"/>
          <w:lang w:eastAsia="en-GB"/>
        </w:rPr>
        <w:lastRenderedPageBreak/>
        <w:t>et al.</w:t>
      </w:r>
      <w:r w:rsidRPr="00A019E1">
        <w:rPr>
          <w:rFonts w:ascii="Times New Roman" w:eastAsia="Times New Roman" w:hAnsi="Times New Roman" w:cs="Times New Roman"/>
          <w:sz w:val="24"/>
          <w:szCs w:val="24"/>
          <w:lang w:eastAsia="en-GB"/>
        </w:rPr>
        <w:t xml:space="preserve"> 2015; Kuhfuss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2016;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2017). Farmers/landowner groups are compensated based on the amount of land enrolled in the scheme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xml:space="preserve">, 2017), changing/selecting best land management practices (Emery and Franks, 2012; Villanueva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2015;</w:t>
      </w:r>
      <w:r w:rsidRPr="00A019E1">
        <w:rPr>
          <w:rFonts w:ascii="Times New Roman" w:hAnsi="Times New Roman" w:cs="Times New Roman"/>
          <w:sz w:val="24"/>
          <w:szCs w:val="24"/>
        </w:rPr>
        <w:t xml:space="preserve"> </w:t>
      </w:r>
      <w:proofErr w:type="spellStart"/>
      <w:r w:rsidRPr="00A019E1">
        <w:rPr>
          <w:rFonts w:ascii="Times New Roman" w:eastAsia="Times New Roman" w:hAnsi="Times New Roman" w:cs="Times New Roman"/>
          <w:sz w:val="24"/>
          <w:szCs w:val="24"/>
          <w:lang w:eastAsia="en-GB"/>
        </w:rPr>
        <w:t>Zaga</w:t>
      </w:r>
      <w:proofErr w:type="spellEnd"/>
      <w:r w:rsidRPr="00A019E1">
        <w:rPr>
          <w:rFonts w:ascii="Times New Roman" w:eastAsia="Times New Roman" w:hAnsi="Times New Roman" w:cs="Times New Roman"/>
          <w:sz w:val="24"/>
          <w:szCs w:val="24"/>
          <w:lang w:eastAsia="en-GB"/>
        </w:rPr>
        <w:t xml:space="preserve">-Mendez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differences between sizes of gross margins (Carmona-Torres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2011), reduced amounts of herbicides (Kuhfuss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2016; Corso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carbon emission reductions (Robinson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2016) or agricultural equipment and inputs (</w:t>
      </w:r>
      <w:proofErr w:type="spellStart"/>
      <w:r w:rsidRPr="00A019E1">
        <w:rPr>
          <w:rFonts w:ascii="Times New Roman" w:eastAsia="Times New Roman" w:hAnsi="Times New Roman" w:cs="Times New Roman"/>
          <w:sz w:val="24"/>
          <w:szCs w:val="24"/>
          <w:lang w:eastAsia="en-GB"/>
        </w:rPr>
        <w:t>Narloch</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The amount paid is calculated based on farmers’ opportunity costs or revenue lost due to the adoption of measures or labour costs (</w:t>
      </w:r>
      <w:r w:rsidRPr="00A019E1">
        <w:rPr>
          <w:rFonts w:ascii="Times New Roman" w:hAnsi="Times New Roman" w:cs="Times New Roman"/>
          <w:sz w:val="24"/>
          <w:szCs w:val="24"/>
        </w:rPr>
        <w:t xml:space="preserve">Alix-Garcia </w:t>
      </w:r>
      <w:r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2017;</w:t>
      </w:r>
      <w:r w:rsidRPr="00A019E1">
        <w:rPr>
          <w:rFonts w:ascii="Times New Roman" w:eastAsia="Times New Roman" w:hAnsi="Times New Roman" w:cs="Times New Roman"/>
          <w:sz w:val="24"/>
          <w:szCs w:val="24"/>
          <w:lang w:eastAsia="en-GB"/>
        </w:rPr>
        <w:t xml:space="preserve"> </w:t>
      </w:r>
      <w:proofErr w:type="spellStart"/>
      <w:r w:rsidRPr="00A019E1">
        <w:rPr>
          <w:rFonts w:ascii="Times New Roman" w:eastAsia="Times New Roman" w:hAnsi="Times New Roman" w:cs="Times New Roman"/>
          <w:sz w:val="24"/>
          <w:szCs w:val="24"/>
          <w:lang w:eastAsia="en-GB"/>
        </w:rPr>
        <w:t>Amblard</w:t>
      </w:r>
      <w:proofErr w:type="spellEnd"/>
      <w:r w:rsidRPr="00A019E1">
        <w:rPr>
          <w:rFonts w:ascii="Times New Roman" w:eastAsia="Times New Roman" w:hAnsi="Times New Roman" w:cs="Times New Roman"/>
          <w:sz w:val="24"/>
          <w:szCs w:val="24"/>
          <w:lang w:eastAsia="en-GB"/>
        </w:rPr>
        <w:t>, 2019</w:t>
      </w:r>
      <w:r w:rsidRPr="00A019E1">
        <w:rPr>
          <w:rFonts w:ascii="Times New Roman" w:hAnsi="Times New Roman" w:cs="Times New Roman"/>
          <w:sz w:val="24"/>
          <w:szCs w:val="24"/>
        </w:rPr>
        <w:t xml:space="preserve">) </w:t>
      </w:r>
      <w:r w:rsidRPr="00A019E1">
        <w:rPr>
          <w:rFonts w:ascii="Times New Roman" w:eastAsia="Times New Roman" w:hAnsi="Times New Roman" w:cs="Times New Roman"/>
          <w:sz w:val="24"/>
          <w:szCs w:val="24"/>
          <w:lang w:eastAsia="en-GB"/>
        </w:rPr>
        <w:t xml:space="preserve">or compliance costs (Kuhfuss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2016; </w:t>
      </w:r>
      <w:proofErr w:type="spellStart"/>
      <w:r w:rsidRPr="00A019E1">
        <w:rPr>
          <w:rFonts w:ascii="Times New Roman" w:eastAsia="Times New Roman" w:hAnsi="Times New Roman" w:cs="Times New Roman"/>
          <w:sz w:val="24"/>
          <w:szCs w:val="24"/>
          <w:lang w:eastAsia="en-GB"/>
        </w:rPr>
        <w:t>Zaga</w:t>
      </w:r>
      <w:proofErr w:type="spellEnd"/>
      <w:r w:rsidRPr="00A019E1">
        <w:rPr>
          <w:rFonts w:ascii="Times New Roman" w:eastAsia="Times New Roman" w:hAnsi="Times New Roman" w:cs="Times New Roman"/>
          <w:sz w:val="24"/>
          <w:szCs w:val="24"/>
          <w:lang w:eastAsia="en-GB"/>
        </w:rPr>
        <w:t xml:space="preserve">-Mendez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or gross margin transfers from farmers who would benefit more to those who would need to sacrifice their revenue (Carmon-Torres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2011) or costs of measurable and verifiable reductions of carbon emissions (Robinson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2016).</w:t>
      </w:r>
    </w:p>
    <w:p w14:paraId="493DD15B"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Collective payment scheme design is heterogeneous and differs based on several factors. For instance, site-specific characteristics such as slope, proximity to roads, ecological differences in farms (Carmona-Torres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2011), farm size (Kuhfuss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2016), farm tenure types (Bremer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2014), crops planted (Midler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and differences in farming systems (</w:t>
      </w:r>
      <w:proofErr w:type="spellStart"/>
      <w:r w:rsidRPr="00A019E1">
        <w:rPr>
          <w:rFonts w:ascii="Times New Roman" w:eastAsia="Times New Roman" w:hAnsi="Times New Roman" w:cs="Times New Roman"/>
          <w:sz w:val="24"/>
          <w:szCs w:val="24"/>
          <w:lang w:eastAsia="en-GB"/>
        </w:rPr>
        <w:t>Amblard</w:t>
      </w:r>
      <w:proofErr w:type="spellEnd"/>
      <w:r w:rsidRPr="00A019E1">
        <w:rPr>
          <w:rFonts w:ascii="Times New Roman" w:eastAsia="Times New Roman" w:hAnsi="Times New Roman" w:cs="Times New Roman"/>
          <w:sz w:val="24"/>
          <w:szCs w:val="24"/>
          <w:lang w:eastAsia="en-GB"/>
        </w:rPr>
        <w:t xml:space="preserve">, 2019). Differences in design are also associated with individual-specific characteristics such as age, gender, education, number of people in a group, their closeness to neighbours (Midler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and the number of households to be affected by the scheme implementation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xml:space="preserve">, 2017). Other individual-specific characteristics include farmers’ opinions on conservation and values, differences in benefit expectations (Villanueva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Riley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2018; </w:t>
      </w:r>
      <w:proofErr w:type="spellStart"/>
      <w:r w:rsidRPr="00A019E1">
        <w:rPr>
          <w:rFonts w:ascii="Times New Roman" w:eastAsia="Times New Roman" w:hAnsi="Times New Roman" w:cs="Times New Roman"/>
          <w:sz w:val="24"/>
          <w:szCs w:val="24"/>
          <w:lang w:eastAsia="en-GB"/>
        </w:rPr>
        <w:t>Villamayor</w:t>
      </w:r>
      <w:proofErr w:type="spellEnd"/>
      <w:r w:rsidRPr="00A019E1">
        <w:rPr>
          <w:rFonts w:ascii="Times New Roman" w:eastAsia="Times New Roman" w:hAnsi="Times New Roman" w:cs="Times New Roman"/>
          <w:sz w:val="24"/>
          <w:szCs w:val="24"/>
          <w:lang w:eastAsia="en-GB"/>
        </w:rPr>
        <w:t xml:space="preserve">-Tomas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and preferred payment methods (Wiser, 2007). There are also factors associated with an individual’s social environment and they include trust, social capital (Alix-Garcia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the extent of participants’ cooperation (</w:t>
      </w:r>
      <w:proofErr w:type="spellStart"/>
      <w:r w:rsidRPr="00A019E1">
        <w:rPr>
          <w:rFonts w:ascii="Times New Roman" w:eastAsia="Times New Roman" w:hAnsi="Times New Roman" w:cs="Times New Roman"/>
          <w:sz w:val="24"/>
          <w:szCs w:val="24"/>
          <w:lang w:eastAsia="en-GB"/>
        </w:rPr>
        <w:t>Kaczan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local cultural orientations (Emery and Franks, 2012; Fischer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2019) and differences based on interactions between judicial, legislative, and local institutions governing schemes (Yoder, 2019). </w:t>
      </w:r>
    </w:p>
    <w:p w14:paraId="63955A63" w14:textId="77777777" w:rsidR="008438FF" w:rsidRPr="00A019E1" w:rsidRDefault="008438FF" w:rsidP="008438FF">
      <w:pPr>
        <w:spacing w:line="360" w:lineRule="auto"/>
        <w:jc w:val="both"/>
        <w:rPr>
          <w:rFonts w:ascii="Times New Roman" w:eastAsia="Times New Roman" w:hAnsi="Times New Roman" w:cs="Times New Roman"/>
          <w:sz w:val="2"/>
          <w:szCs w:val="2"/>
          <w:lang w:eastAsia="en-GB"/>
        </w:rPr>
      </w:pPr>
    </w:p>
    <w:p w14:paraId="73B968FF" w14:textId="77777777" w:rsidR="008438FF" w:rsidRPr="00A019E1" w:rsidRDefault="008438FF" w:rsidP="008438FF">
      <w:pPr>
        <w:spacing w:line="360" w:lineRule="auto"/>
        <w:jc w:val="both"/>
        <w:rPr>
          <w:rFonts w:ascii="Times New Roman" w:eastAsia="Times New Roman" w:hAnsi="Times New Roman" w:cs="Times New Roman"/>
          <w:b/>
          <w:bCs/>
          <w:sz w:val="24"/>
          <w:szCs w:val="24"/>
          <w:lang w:eastAsia="en-GB"/>
        </w:rPr>
      </w:pPr>
      <w:r w:rsidRPr="00A019E1">
        <w:rPr>
          <w:rFonts w:ascii="Times New Roman" w:eastAsia="Times New Roman" w:hAnsi="Times New Roman" w:cs="Times New Roman"/>
          <w:b/>
          <w:bCs/>
          <w:sz w:val="24"/>
          <w:szCs w:val="24"/>
          <w:lang w:eastAsia="en-GB"/>
        </w:rPr>
        <w:t xml:space="preserve">4.2 How collective payments schemes strengthen social and cultural capital </w:t>
      </w:r>
    </w:p>
    <w:p w14:paraId="2AFDE118" w14:textId="79C6DD7D"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Social and cultural capital can be enhanced through collective payment schemes. Here we define social capital as the ability of people who are governed by trust, institutions, interactions, and attitudes to work together (Alix-Garcia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to achieve certain environmental goals. Cultural capital is defined as the subcomponent of social capital that consists of cultural values </w:t>
      </w:r>
      <w:r w:rsidRPr="00A019E1">
        <w:rPr>
          <w:rFonts w:ascii="Times New Roman" w:eastAsia="Times New Roman" w:hAnsi="Times New Roman" w:cs="Times New Roman"/>
          <w:sz w:val="24"/>
          <w:szCs w:val="24"/>
          <w:lang w:eastAsia="en-GB"/>
        </w:rPr>
        <w:lastRenderedPageBreak/>
        <w:t xml:space="preserve">and culturally accepted structure of beliefs, and way of life among neighbouring individuals that are linked to the ability to generate well-being in the future (Carmona-Torres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2011; Corso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2017;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xml:space="preserve">, 2017; </w:t>
      </w:r>
      <w:proofErr w:type="spellStart"/>
      <w:r w:rsidRPr="00A019E1">
        <w:rPr>
          <w:rFonts w:ascii="Times New Roman" w:eastAsia="Times New Roman" w:hAnsi="Times New Roman" w:cs="Times New Roman"/>
          <w:sz w:val="24"/>
          <w:szCs w:val="24"/>
          <w:lang w:eastAsia="en-GB"/>
        </w:rPr>
        <w:t>Amblard</w:t>
      </w:r>
      <w:proofErr w:type="spellEnd"/>
      <w:r w:rsidRPr="00A019E1">
        <w:rPr>
          <w:rFonts w:ascii="Times New Roman" w:eastAsia="Times New Roman" w:hAnsi="Times New Roman" w:cs="Times New Roman"/>
          <w:sz w:val="24"/>
          <w:szCs w:val="24"/>
          <w:lang w:eastAsia="en-GB"/>
        </w:rPr>
        <w:t xml:space="preserve">, 2019). Social capital enables better interactions between stakeholders and farmers/landowners (Hardy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2020) to deliver environmental benefits at a landscape scale level (Carmona-Torres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2011). When individuals work together and share benefits, trust, norms, and cohesiveness are enhanced (Midler</w:t>
      </w:r>
      <w:r w:rsidRPr="00A019E1">
        <w:rPr>
          <w:rFonts w:ascii="Times New Roman" w:eastAsia="Times New Roman" w:hAnsi="Times New Roman" w:cs="Times New Roman"/>
          <w:i/>
          <w:iCs/>
          <w:sz w:val="24"/>
          <w:szCs w:val="24"/>
          <w:lang w:eastAsia="en-GB"/>
        </w:rPr>
        <w:t xml:space="preserve"> et al. </w:t>
      </w:r>
      <w:r w:rsidRPr="00A019E1">
        <w:rPr>
          <w:rFonts w:ascii="Times New Roman" w:eastAsia="Times New Roman" w:hAnsi="Times New Roman" w:cs="Times New Roman"/>
          <w:sz w:val="24"/>
          <w:szCs w:val="24"/>
          <w:lang w:eastAsia="en-GB"/>
        </w:rPr>
        <w:t xml:space="preserve">2015;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xml:space="preserve">, 2017; Fischer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2019), reducing the costs associated with collective actions (</w:t>
      </w:r>
      <w:proofErr w:type="spellStart"/>
      <w:r w:rsidRPr="00A019E1">
        <w:rPr>
          <w:rFonts w:ascii="Times New Roman" w:eastAsia="Times New Roman" w:hAnsi="Times New Roman" w:cs="Times New Roman"/>
          <w:sz w:val="24"/>
          <w:szCs w:val="24"/>
          <w:lang w:eastAsia="en-GB"/>
        </w:rPr>
        <w:t>Amblard</w:t>
      </w:r>
      <w:proofErr w:type="spellEnd"/>
      <w:r w:rsidRPr="00A019E1">
        <w:rPr>
          <w:rFonts w:ascii="Times New Roman" w:eastAsia="Times New Roman" w:hAnsi="Times New Roman" w:cs="Times New Roman"/>
          <w:sz w:val="24"/>
          <w:szCs w:val="24"/>
          <w:lang w:eastAsia="en-GB"/>
        </w:rPr>
        <w:t xml:space="preserve">, 2019). These, in turn, increase farmer participation (Corso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and enhance environmental benefits (Emery and Franks, 2012). Collective bonus payments lead to increased social capital, and social expectations (Kuhfuss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2016), determine how individuals contribute (</w:t>
      </w:r>
      <w:proofErr w:type="spellStart"/>
      <w:r w:rsidRPr="00A019E1">
        <w:rPr>
          <w:rFonts w:ascii="Times New Roman" w:eastAsia="Times New Roman" w:hAnsi="Times New Roman" w:cs="Times New Roman"/>
          <w:sz w:val="24"/>
          <w:szCs w:val="24"/>
          <w:lang w:eastAsia="en-GB"/>
        </w:rPr>
        <w:t>Kaczan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and preserve collective knowledge generated (</w:t>
      </w:r>
      <w:proofErr w:type="spellStart"/>
      <w:r w:rsidRPr="00A019E1">
        <w:rPr>
          <w:rFonts w:ascii="Times New Roman" w:eastAsia="Times New Roman" w:hAnsi="Times New Roman" w:cs="Times New Roman"/>
          <w:sz w:val="24"/>
          <w:szCs w:val="24"/>
          <w:lang w:eastAsia="en-GB"/>
        </w:rPr>
        <w:t>Josefsson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Shared information and infrastructure can lead to enhanced participation (Yoder, 2019), creation of new external relationships (</w:t>
      </w:r>
      <w:proofErr w:type="spellStart"/>
      <w:r w:rsidRPr="00A019E1">
        <w:rPr>
          <w:rFonts w:ascii="Times New Roman" w:eastAsia="Times New Roman" w:hAnsi="Times New Roman" w:cs="Times New Roman"/>
          <w:sz w:val="24"/>
          <w:szCs w:val="24"/>
          <w:lang w:eastAsia="en-GB"/>
        </w:rPr>
        <w:t>Zaga</w:t>
      </w:r>
      <w:proofErr w:type="spellEnd"/>
      <w:r w:rsidRPr="00A019E1">
        <w:rPr>
          <w:rFonts w:ascii="Times New Roman" w:eastAsia="Times New Roman" w:hAnsi="Times New Roman" w:cs="Times New Roman"/>
          <w:sz w:val="24"/>
          <w:szCs w:val="24"/>
          <w:lang w:eastAsia="en-GB"/>
        </w:rPr>
        <w:t xml:space="preserve">-Mendez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and development of pro-social norms that improve prospects for future collaboration (Hayes and </w:t>
      </w:r>
      <w:proofErr w:type="spellStart"/>
      <w:r w:rsidRPr="00A019E1">
        <w:rPr>
          <w:rFonts w:ascii="Times New Roman" w:eastAsia="Times New Roman" w:hAnsi="Times New Roman" w:cs="Times New Roman"/>
          <w:sz w:val="24"/>
          <w:szCs w:val="24"/>
          <w:lang w:eastAsia="en-GB"/>
        </w:rPr>
        <w:t>Murtinho</w:t>
      </w:r>
      <w:proofErr w:type="spellEnd"/>
      <w:r w:rsidRPr="00A019E1">
        <w:rPr>
          <w:rFonts w:ascii="Times New Roman" w:eastAsia="Times New Roman" w:hAnsi="Times New Roman" w:cs="Times New Roman"/>
          <w:sz w:val="24"/>
          <w:szCs w:val="24"/>
          <w:lang w:eastAsia="en-GB"/>
        </w:rPr>
        <w:t xml:space="preserve">, 2018). </w:t>
      </w:r>
    </w:p>
    <w:p w14:paraId="68B12344"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Cultural barriers can diminish as people come together to conserve the environment and share benefits (Emery and Franks, 2012). However, differences in cultural settings help to determine the conditional payments to offer (Andersson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2018) and the existing social and cultural beliefs that bind individuals together to take advantage of collective action (Hayes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As a result, cultural orientations are considered an important factor affecting cooperation and participation in collective action schemes (Fischer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2019). Cultural capital is also enhanced through shared acceptance of penalties for non-compliance (Marshall, 2004) which increases communal benefits (</w:t>
      </w:r>
      <w:proofErr w:type="spellStart"/>
      <w:r w:rsidRPr="00A019E1">
        <w:rPr>
          <w:rFonts w:ascii="Times New Roman" w:eastAsia="Times New Roman" w:hAnsi="Times New Roman" w:cs="Times New Roman"/>
          <w:sz w:val="24"/>
          <w:szCs w:val="24"/>
          <w:lang w:eastAsia="en-GB"/>
        </w:rPr>
        <w:t>Narloch</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Regarding land management, land use practices are passed from past to present and when it comes to allocation of land, traditional values (</w:t>
      </w:r>
      <w:proofErr w:type="spellStart"/>
      <w:r w:rsidRPr="00A019E1">
        <w:rPr>
          <w:rFonts w:ascii="Times New Roman" w:eastAsia="Times New Roman" w:hAnsi="Times New Roman" w:cs="Times New Roman"/>
          <w:sz w:val="24"/>
          <w:szCs w:val="24"/>
          <w:lang w:eastAsia="en-GB"/>
        </w:rPr>
        <w:t>e.g.value</w:t>
      </w:r>
      <w:proofErr w:type="spellEnd"/>
      <w:r w:rsidRPr="00A019E1">
        <w:rPr>
          <w:rFonts w:ascii="Times New Roman" w:eastAsia="Times New Roman" w:hAnsi="Times New Roman" w:cs="Times New Roman"/>
          <w:sz w:val="24"/>
          <w:szCs w:val="24"/>
          <w:lang w:eastAsia="en-GB"/>
        </w:rPr>
        <w:t xml:space="preserve"> placed on traditional crops over improved crop varieties) are used to guide allocation of land for agriculture and conservation (</w:t>
      </w:r>
      <w:proofErr w:type="spellStart"/>
      <w:r w:rsidRPr="00A019E1">
        <w:rPr>
          <w:rFonts w:ascii="Times New Roman" w:eastAsia="Times New Roman" w:hAnsi="Times New Roman" w:cs="Times New Roman"/>
          <w:sz w:val="24"/>
          <w:szCs w:val="24"/>
          <w:lang w:eastAsia="en-GB"/>
        </w:rPr>
        <w:t>Narloch</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2012; Midler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and determine participation in collective action initiatives (Willy and Holm-Müller, 2013;</w:t>
      </w:r>
      <w:r w:rsidRPr="00A019E1">
        <w:rPr>
          <w:rFonts w:ascii="Times New Roman" w:hAnsi="Times New Roman" w:cs="Times New Roman"/>
          <w:sz w:val="24"/>
          <w:szCs w:val="24"/>
        </w:rPr>
        <w:t xml:space="preserve"> </w:t>
      </w:r>
      <w:proofErr w:type="spellStart"/>
      <w:r w:rsidRPr="00A019E1">
        <w:rPr>
          <w:rFonts w:ascii="Times New Roman" w:eastAsia="Times New Roman" w:hAnsi="Times New Roman" w:cs="Times New Roman"/>
          <w:sz w:val="24"/>
          <w:szCs w:val="24"/>
          <w:lang w:eastAsia="en-GB"/>
        </w:rPr>
        <w:t>Zaga</w:t>
      </w:r>
      <w:proofErr w:type="spellEnd"/>
      <w:r w:rsidRPr="00A019E1">
        <w:rPr>
          <w:rFonts w:ascii="Times New Roman" w:eastAsia="Times New Roman" w:hAnsi="Times New Roman" w:cs="Times New Roman"/>
          <w:sz w:val="24"/>
          <w:szCs w:val="24"/>
          <w:lang w:eastAsia="en-GB"/>
        </w:rPr>
        <w:t xml:space="preserve">-Mendez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A collective bonus strengthens the descriptive norms and beliefs of farmers/landowners concerning their participation in the scheme (Kuhfuss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2016).</w:t>
      </w:r>
    </w:p>
    <w:p w14:paraId="6EA2E7D4" w14:textId="77777777" w:rsidR="008438FF" w:rsidRPr="00A019E1" w:rsidRDefault="008438FF" w:rsidP="008438FF">
      <w:pPr>
        <w:spacing w:line="360" w:lineRule="auto"/>
        <w:jc w:val="both"/>
        <w:rPr>
          <w:rFonts w:ascii="Times New Roman" w:eastAsia="Times New Roman" w:hAnsi="Times New Roman" w:cs="Times New Roman"/>
          <w:sz w:val="8"/>
          <w:szCs w:val="8"/>
          <w:lang w:eastAsia="en-GB"/>
        </w:rPr>
      </w:pPr>
    </w:p>
    <w:p w14:paraId="7AA4A114" w14:textId="77777777" w:rsidR="008438FF" w:rsidRPr="00A019E1" w:rsidRDefault="008438FF" w:rsidP="008438FF">
      <w:pPr>
        <w:spacing w:line="360" w:lineRule="auto"/>
        <w:jc w:val="both"/>
        <w:rPr>
          <w:rFonts w:ascii="Times New Roman" w:eastAsia="Times New Roman" w:hAnsi="Times New Roman" w:cs="Times New Roman"/>
          <w:b/>
          <w:bCs/>
          <w:sz w:val="24"/>
          <w:szCs w:val="24"/>
          <w:lang w:eastAsia="en-GB"/>
        </w:rPr>
      </w:pPr>
      <w:r w:rsidRPr="00A019E1">
        <w:rPr>
          <w:rFonts w:ascii="Times New Roman" w:eastAsia="Times New Roman" w:hAnsi="Times New Roman" w:cs="Times New Roman"/>
          <w:b/>
          <w:bCs/>
          <w:sz w:val="24"/>
          <w:szCs w:val="24"/>
          <w:lang w:eastAsia="en-GB"/>
        </w:rPr>
        <w:t>4.3 Potential within-group and second-order problems between farmers/landowners, intermediaries, and public authorities</w:t>
      </w:r>
    </w:p>
    <w:p w14:paraId="18C48038"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lastRenderedPageBreak/>
        <w:t>Farmers working together experience different challenges associated with other individuals in a group or between groups and public authorities. In groups, it can be difficult to define a unit of analysis for collective payments in the contract due to complexities around property rights and how an individual’s compliance affects community rules and generates conflict during the distribution of benefits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xml:space="preserve">, 2017). Communal distribution norms may clash with equity goals, creating conflict between individuals and frustrating their expectations, even in highly organized communities (Hayes and </w:t>
      </w:r>
      <w:proofErr w:type="spellStart"/>
      <w:r w:rsidRPr="00A019E1">
        <w:rPr>
          <w:rFonts w:ascii="Times New Roman" w:eastAsia="Times New Roman" w:hAnsi="Times New Roman" w:cs="Times New Roman"/>
          <w:sz w:val="24"/>
          <w:szCs w:val="24"/>
          <w:lang w:eastAsia="en-GB"/>
        </w:rPr>
        <w:t>Murtinho</w:t>
      </w:r>
      <w:proofErr w:type="spellEnd"/>
      <w:r w:rsidRPr="00A019E1">
        <w:rPr>
          <w:rFonts w:ascii="Times New Roman" w:eastAsia="Times New Roman" w:hAnsi="Times New Roman" w:cs="Times New Roman"/>
          <w:sz w:val="24"/>
          <w:szCs w:val="24"/>
          <w:lang w:eastAsia="en-GB"/>
        </w:rPr>
        <w:t xml:space="preserve">, 2018). The perceptions of the scheme determine the expectations of neighbouring farmers/landowners who can either conform to existing cultural norms or not (Emery and Franks, 2012). Even the expected rewards for complying and penalties for non-compliance can drive farmers to engage in a vicious cycle of retaliation impeding the success of the scheme (Midler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Fischer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2019). Some farmers may result in strategic behaviour and </w:t>
      </w:r>
      <w:proofErr w:type="gramStart"/>
      <w:r w:rsidRPr="00A019E1">
        <w:rPr>
          <w:rFonts w:ascii="Times New Roman" w:eastAsia="Times New Roman" w:hAnsi="Times New Roman" w:cs="Times New Roman"/>
          <w:sz w:val="24"/>
          <w:szCs w:val="24"/>
          <w:lang w:eastAsia="en-GB"/>
        </w:rPr>
        <w:t>free-riding</w:t>
      </w:r>
      <w:proofErr w:type="gramEnd"/>
      <w:r w:rsidRPr="00A019E1">
        <w:rPr>
          <w:rFonts w:ascii="Times New Roman" w:eastAsia="Times New Roman" w:hAnsi="Times New Roman" w:cs="Times New Roman"/>
          <w:sz w:val="24"/>
          <w:szCs w:val="24"/>
          <w:lang w:eastAsia="en-GB"/>
        </w:rPr>
        <w:t xml:space="preserve">, undermining the success of the scheme (Wiser, 2007; </w:t>
      </w:r>
      <w:proofErr w:type="spellStart"/>
      <w:r w:rsidRPr="00A019E1">
        <w:rPr>
          <w:rFonts w:ascii="Times New Roman" w:eastAsia="Times New Roman" w:hAnsi="Times New Roman" w:cs="Times New Roman"/>
          <w:sz w:val="24"/>
          <w:szCs w:val="24"/>
          <w:lang w:eastAsia="en-GB"/>
        </w:rPr>
        <w:t>Kaczan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Yoder, 2019). Further, when the participation of farmers is filtered through strict land title requirements, wider participation may be constrained to smaller landholders with land rights as opposed to their counterparts with higher opportunity costs and larger farm sizes (Bremer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2014). Still, some participants are unaware of cultural change arising from participation in collective schemes owing to limited exchange and distribution of information and support in the identification of local landscapes (</w:t>
      </w:r>
      <w:proofErr w:type="spellStart"/>
      <w:r w:rsidRPr="00A019E1">
        <w:rPr>
          <w:rFonts w:ascii="Times New Roman" w:eastAsia="Times New Roman" w:hAnsi="Times New Roman" w:cs="Times New Roman"/>
          <w:sz w:val="24"/>
          <w:szCs w:val="24"/>
          <w:lang w:eastAsia="en-GB"/>
        </w:rPr>
        <w:t>Barghusen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w:t>
      </w:r>
    </w:p>
    <w:p w14:paraId="457792E0"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Problems also arise from the interaction between intermediaries and public authorities who sign off contracts. For instance, the use of commune councils to represent local communities may lead to heavy political influence from local government leaders who may want to be associated with the success of the scheme, particularly in the distribution of benefits (Milne and Adams, 2012). During the distribution of benefits to participants, some corrupt leaders may pocket some of the payments for themselves, especially in developing economies (Andersson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2018).  Further, community decisions may not be voluntary as the market nature of conservation may take a toll on local agencies’ opinions and silence the voices of certain community members (Milne and Adams, 2012). Once the public authorities stop payments then there are insufficient incentives for farmers to continue engaging in conservation (Andersson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2018). </w:t>
      </w:r>
    </w:p>
    <w:p w14:paraId="174A6D80" w14:textId="77777777" w:rsidR="008438FF" w:rsidRPr="00A019E1" w:rsidRDefault="008438FF" w:rsidP="008438FF">
      <w:pPr>
        <w:spacing w:line="360" w:lineRule="auto"/>
        <w:jc w:val="both"/>
        <w:rPr>
          <w:rFonts w:ascii="Times New Roman" w:eastAsia="Times New Roman" w:hAnsi="Times New Roman" w:cs="Times New Roman"/>
          <w:sz w:val="2"/>
          <w:szCs w:val="2"/>
          <w:lang w:eastAsia="en-GB"/>
        </w:rPr>
      </w:pPr>
    </w:p>
    <w:p w14:paraId="1D577DFA" w14:textId="77777777" w:rsidR="008438FF" w:rsidRPr="00A019E1" w:rsidRDefault="008438FF" w:rsidP="008438FF">
      <w:pPr>
        <w:pStyle w:val="ListParagraph"/>
        <w:numPr>
          <w:ilvl w:val="0"/>
          <w:numId w:val="34"/>
        </w:numPr>
        <w:spacing w:line="360" w:lineRule="auto"/>
        <w:jc w:val="both"/>
        <w:rPr>
          <w:rFonts w:ascii="Times New Roman" w:eastAsia="Times New Roman" w:hAnsi="Times New Roman" w:cs="Times New Roman"/>
          <w:b/>
          <w:bCs/>
          <w:sz w:val="24"/>
          <w:szCs w:val="24"/>
          <w:lang w:eastAsia="en-GB"/>
        </w:rPr>
      </w:pPr>
      <w:r w:rsidRPr="00A019E1">
        <w:rPr>
          <w:rFonts w:ascii="Times New Roman" w:eastAsia="Times New Roman" w:hAnsi="Times New Roman" w:cs="Times New Roman"/>
          <w:b/>
          <w:bCs/>
          <w:sz w:val="24"/>
          <w:szCs w:val="24"/>
          <w:lang w:eastAsia="en-GB"/>
        </w:rPr>
        <w:t>Research Knowledge Gaps</w:t>
      </w:r>
    </w:p>
    <w:p w14:paraId="40889552"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lastRenderedPageBreak/>
        <w:t xml:space="preserve">Our review identified several research gaps. More research is required to improve agricultural practice through a wider inclusion of new contract designs that account for collective dimensions and collective bonuses to conserve the environment (Kuhfuss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2016). The effectiveness of setting contracts that are conditional on additional actions, prioritizing contracts with communities with strong internal governance, and offering communities a role in making the rules that affect them, all need to be tested (</w:t>
      </w:r>
      <w:proofErr w:type="spellStart"/>
      <w:r w:rsidRPr="00A019E1">
        <w:rPr>
          <w:rFonts w:ascii="Times New Roman" w:eastAsia="Times New Roman" w:hAnsi="Times New Roman" w:cs="Times New Roman"/>
          <w:sz w:val="24"/>
          <w:szCs w:val="24"/>
          <w:lang w:eastAsia="en-GB"/>
        </w:rPr>
        <w:t>Kaczan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 Collective payment schemes target conservation at the landscape scale, but research is required to understand how measures and payments can be adapted at farm scale to improve the effectiveness of collective schemes (e.g., in watersheds), as well, estimate the resulting transaction costs (</w:t>
      </w:r>
      <w:proofErr w:type="spellStart"/>
      <w:r w:rsidRPr="00A019E1">
        <w:rPr>
          <w:rFonts w:ascii="Times New Roman" w:eastAsia="Times New Roman" w:hAnsi="Times New Roman" w:cs="Times New Roman"/>
          <w:sz w:val="24"/>
          <w:szCs w:val="24"/>
          <w:lang w:eastAsia="en-GB"/>
        </w:rPr>
        <w:t>Amblard</w:t>
      </w:r>
      <w:proofErr w:type="spellEnd"/>
      <w:r w:rsidRPr="00A019E1">
        <w:rPr>
          <w:rFonts w:ascii="Times New Roman" w:eastAsia="Times New Roman" w:hAnsi="Times New Roman" w:cs="Times New Roman"/>
          <w:sz w:val="24"/>
          <w:szCs w:val="24"/>
          <w:lang w:eastAsia="en-GB"/>
        </w:rPr>
        <w:t>, 2019).</w:t>
      </w:r>
    </w:p>
    <w:p w14:paraId="52D538CA"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Further, individual payments may cause crowding-in of social norms stabilising collective action, while collective rewards may lead to crowding-out of social norms resulting to ineffective collective schemes (</w:t>
      </w:r>
      <w:proofErr w:type="spellStart"/>
      <w:r w:rsidRPr="00A019E1">
        <w:rPr>
          <w:rFonts w:ascii="Times New Roman" w:eastAsia="Times New Roman" w:hAnsi="Times New Roman" w:cs="Times New Roman"/>
          <w:sz w:val="24"/>
          <w:szCs w:val="24"/>
          <w:lang w:eastAsia="en-GB"/>
        </w:rPr>
        <w:t>Narloch</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2012). The crowding-out effect of social norms may imply an existence of a social cost affecting the cost-effectiveness of the scheme (</w:t>
      </w:r>
      <w:proofErr w:type="spellStart"/>
      <w:r w:rsidRPr="00A019E1">
        <w:rPr>
          <w:rFonts w:ascii="Times New Roman" w:eastAsia="Times New Roman" w:hAnsi="Times New Roman" w:cs="Times New Roman"/>
          <w:sz w:val="24"/>
          <w:szCs w:val="24"/>
          <w:lang w:eastAsia="en-GB"/>
        </w:rPr>
        <w:t>Narloch</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2012). There is, therefore, a need for further research to quantify these costs and determine whether a collective scheme would be less beneficial in various social contexts (</w:t>
      </w:r>
      <w:proofErr w:type="spellStart"/>
      <w:r w:rsidRPr="00A019E1">
        <w:rPr>
          <w:rFonts w:ascii="Times New Roman" w:eastAsia="Times New Roman" w:hAnsi="Times New Roman" w:cs="Times New Roman"/>
          <w:sz w:val="24"/>
          <w:szCs w:val="24"/>
          <w:lang w:eastAsia="en-GB"/>
        </w:rPr>
        <w:t>Narloch</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2012). Research is also required to compare the effectiveness of different individual and collective payment levels and evaluate how setting of different conservation thresholds would facilitate collective action (</w:t>
      </w:r>
      <w:proofErr w:type="spellStart"/>
      <w:r w:rsidRPr="00A019E1">
        <w:rPr>
          <w:rFonts w:ascii="Times New Roman" w:eastAsia="Times New Roman" w:hAnsi="Times New Roman" w:cs="Times New Roman"/>
          <w:sz w:val="24"/>
          <w:szCs w:val="24"/>
          <w:lang w:eastAsia="en-GB"/>
        </w:rPr>
        <w:t>Narloch</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2012). The cost-effectiveness of group-level contracts combined with collective payments is influenced by the conservation incentives selected and, the social interaction and trust between participants (</w:t>
      </w:r>
      <w:proofErr w:type="spellStart"/>
      <w:r w:rsidRPr="00A019E1">
        <w:rPr>
          <w:rFonts w:ascii="Times New Roman" w:eastAsia="Times New Roman" w:hAnsi="Times New Roman" w:cs="Times New Roman"/>
          <w:sz w:val="24"/>
          <w:szCs w:val="24"/>
          <w:lang w:eastAsia="en-GB"/>
        </w:rPr>
        <w:t>Narloch</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2017). As a result, there is need to carry out research to understand how existing patterns of collective action and social factors interact with payment mechanisms to encourage cooperation among landowners (</w:t>
      </w:r>
      <w:proofErr w:type="spellStart"/>
      <w:r w:rsidRPr="00A019E1">
        <w:rPr>
          <w:rFonts w:ascii="Times New Roman" w:eastAsia="Times New Roman" w:hAnsi="Times New Roman" w:cs="Times New Roman"/>
          <w:sz w:val="24"/>
          <w:szCs w:val="24"/>
          <w:lang w:eastAsia="en-GB"/>
        </w:rPr>
        <w:t>Narloch</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2017). </w:t>
      </w:r>
    </w:p>
    <w:p w14:paraId="58F07A98"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Moreover, collective payment schemes are more effective in some areas compared to others. For instance, a study carried out by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xml:space="preserve"> (2017) in Cambodia forest found out that scheme additionality was limited in steep slopes, while it was more effective in areas closer to roads compared to remote ones where forest remained intact, and those with lower population compared to the ones with higher population. The scheme generates heterogeneous </w:t>
      </w:r>
      <w:proofErr w:type="gramStart"/>
      <w:r w:rsidRPr="00A019E1">
        <w:rPr>
          <w:rFonts w:ascii="Times New Roman" w:eastAsia="Times New Roman" w:hAnsi="Times New Roman" w:cs="Times New Roman"/>
          <w:sz w:val="24"/>
          <w:szCs w:val="24"/>
          <w:lang w:eastAsia="en-GB"/>
        </w:rPr>
        <w:t>impacts</w:t>
      </w:r>
      <w:proofErr w:type="gramEnd"/>
      <w:r w:rsidRPr="00A019E1">
        <w:rPr>
          <w:rFonts w:ascii="Times New Roman" w:eastAsia="Times New Roman" w:hAnsi="Times New Roman" w:cs="Times New Roman"/>
          <w:sz w:val="24"/>
          <w:szCs w:val="24"/>
          <w:lang w:eastAsia="en-GB"/>
        </w:rPr>
        <w:t xml:space="preserve"> and its effectiveness depends on the level of risk in target areas which means some areas may require more conservation effort over others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2017). Due to this, research is required to quantify the transaction costs and their impact on cost-effectiveness when schemes are adapted to local conditions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xml:space="preserve">, 2017). In </w:t>
      </w:r>
      <w:r w:rsidRPr="00A019E1">
        <w:rPr>
          <w:rFonts w:ascii="Times New Roman" w:eastAsia="Times New Roman" w:hAnsi="Times New Roman" w:cs="Times New Roman"/>
          <w:sz w:val="24"/>
          <w:szCs w:val="24"/>
          <w:lang w:eastAsia="en-GB"/>
        </w:rPr>
        <w:lastRenderedPageBreak/>
        <w:t>addition, farms are diverse, however, homogenous farm types may reduce costs of defining actions while increasing the costs of assimilating alternative farm types (</w:t>
      </w:r>
      <w:proofErr w:type="spellStart"/>
      <w:r w:rsidRPr="00A019E1">
        <w:rPr>
          <w:rFonts w:ascii="Times New Roman" w:eastAsia="Times New Roman" w:hAnsi="Times New Roman" w:cs="Times New Roman"/>
          <w:sz w:val="24"/>
          <w:szCs w:val="24"/>
          <w:lang w:eastAsia="en-GB"/>
        </w:rPr>
        <w:t>Amblard</w:t>
      </w:r>
      <w:proofErr w:type="spellEnd"/>
      <w:r w:rsidRPr="00A019E1">
        <w:rPr>
          <w:rFonts w:ascii="Times New Roman" w:eastAsia="Times New Roman" w:hAnsi="Times New Roman" w:cs="Times New Roman"/>
          <w:sz w:val="24"/>
          <w:szCs w:val="24"/>
          <w:lang w:eastAsia="en-GB"/>
        </w:rPr>
        <w:t>, 2019). There is a need for research on farm diversity that disentangles the trade-offs between benefits and transaction costs which depends on the farm type and level of cooperation (</w:t>
      </w:r>
      <w:proofErr w:type="spellStart"/>
      <w:r w:rsidRPr="00A019E1">
        <w:rPr>
          <w:rFonts w:ascii="Times New Roman" w:eastAsia="Times New Roman" w:hAnsi="Times New Roman" w:cs="Times New Roman"/>
          <w:sz w:val="24"/>
          <w:szCs w:val="24"/>
          <w:lang w:eastAsia="en-GB"/>
        </w:rPr>
        <w:t>Amblard</w:t>
      </w:r>
      <w:proofErr w:type="spellEnd"/>
      <w:r w:rsidRPr="00A019E1">
        <w:rPr>
          <w:rFonts w:ascii="Times New Roman" w:eastAsia="Times New Roman" w:hAnsi="Times New Roman" w:cs="Times New Roman"/>
          <w:sz w:val="24"/>
          <w:szCs w:val="24"/>
          <w:lang w:eastAsia="en-GB"/>
        </w:rPr>
        <w:t>, 2019).</w:t>
      </w:r>
    </w:p>
    <w:p w14:paraId="1C9BF190"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More data, from larger representative samples and impact evaluation methods, should be made available to understand how local institutional dynamics influence the costs and benefits of conservation (</w:t>
      </w:r>
      <w:proofErr w:type="spellStart"/>
      <w:r w:rsidRPr="00A019E1">
        <w:rPr>
          <w:rFonts w:ascii="Times New Roman" w:eastAsia="Times New Roman" w:hAnsi="Times New Roman" w:cs="Times New Roman"/>
          <w:sz w:val="24"/>
          <w:szCs w:val="24"/>
          <w:lang w:eastAsia="en-GB"/>
        </w:rPr>
        <w:t>Chervier</w:t>
      </w:r>
      <w:proofErr w:type="spellEnd"/>
      <w:r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Costedoat</w:t>
      </w:r>
      <w:proofErr w:type="spellEnd"/>
      <w:r w:rsidRPr="00A019E1">
        <w:rPr>
          <w:rFonts w:ascii="Times New Roman" w:eastAsia="Times New Roman" w:hAnsi="Times New Roman" w:cs="Times New Roman"/>
          <w:sz w:val="24"/>
          <w:szCs w:val="24"/>
          <w:lang w:eastAsia="en-GB"/>
        </w:rPr>
        <w:t xml:space="preserve">, 2017; </w:t>
      </w:r>
      <w:proofErr w:type="spellStart"/>
      <w:r w:rsidRPr="00A019E1">
        <w:rPr>
          <w:rFonts w:ascii="Times New Roman" w:eastAsia="Times New Roman" w:hAnsi="Times New Roman" w:cs="Times New Roman"/>
          <w:sz w:val="24"/>
          <w:szCs w:val="24"/>
          <w:lang w:eastAsia="en-GB"/>
        </w:rPr>
        <w:t>Amblard</w:t>
      </w:r>
      <w:proofErr w:type="spellEnd"/>
      <w:r w:rsidRPr="00A019E1">
        <w:rPr>
          <w:rFonts w:ascii="Times New Roman" w:eastAsia="Times New Roman" w:hAnsi="Times New Roman" w:cs="Times New Roman"/>
          <w:sz w:val="24"/>
          <w:szCs w:val="24"/>
          <w:lang w:eastAsia="en-GB"/>
        </w:rPr>
        <w:t xml:space="preserve">, 2019). Future research should focus on empirically measuring and teasing out additional governance attributes and procedural dimensions to help in identifying decision-making institutions that enable communities to successfully mediate the costs and benefits of said conservation programs across a diverse set of individuals within a community (Hayes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 xml:space="preserve">2015; Hayes and </w:t>
      </w:r>
      <w:proofErr w:type="spellStart"/>
      <w:r w:rsidRPr="00A019E1">
        <w:rPr>
          <w:rFonts w:ascii="Times New Roman" w:eastAsia="Times New Roman" w:hAnsi="Times New Roman" w:cs="Times New Roman"/>
          <w:sz w:val="24"/>
          <w:szCs w:val="24"/>
          <w:lang w:eastAsia="en-GB"/>
        </w:rPr>
        <w:t>Murtinho</w:t>
      </w:r>
      <w:proofErr w:type="spellEnd"/>
      <w:r w:rsidRPr="00A019E1">
        <w:rPr>
          <w:rFonts w:ascii="Times New Roman" w:eastAsia="Times New Roman" w:hAnsi="Times New Roman" w:cs="Times New Roman"/>
          <w:sz w:val="24"/>
          <w:szCs w:val="24"/>
          <w:lang w:eastAsia="en-GB"/>
        </w:rPr>
        <w:t xml:space="preserve">, 2018). Communication and democracy are important tools in the design of collective schemes and there is a need to collect data to establish whether communicative actions and deliberative democracy are in use (Corso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w:t>
      </w:r>
    </w:p>
    <w:p w14:paraId="258EDAB6"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In socially sub-optimal societies, private benefits to be realised among farmers/landholders require the enhancement of governance structures of the schemes to effectively deal with biophysical and socioeconomic mismatches that hinder sustainable conservation and use of resources (Carmona-Torres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2011). Further, research is required to establish whether sharing risk among individuals facilitates their cooperation to join collective schemes, and how differences in their risk perceptions influence the temporal and spatial conservation outcomes (Fischer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2019). There is also a need to establish how individuals’ intrinsic motivations and their social preferences for cooperation and collective action influence the crowding-out or crowding-in effects of collective payment schemes (Midler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The decision-making process in multi-level collective action problems across and between production levels needs to be disentangled (</w:t>
      </w:r>
      <w:proofErr w:type="spellStart"/>
      <w:r w:rsidRPr="00A019E1">
        <w:rPr>
          <w:rFonts w:ascii="Times New Roman" w:eastAsia="Times New Roman" w:hAnsi="Times New Roman" w:cs="Times New Roman"/>
          <w:sz w:val="24"/>
          <w:szCs w:val="24"/>
          <w:lang w:eastAsia="en-GB"/>
        </w:rPr>
        <w:t>Villamayor</w:t>
      </w:r>
      <w:proofErr w:type="spellEnd"/>
      <w:r w:rsidRPr="00A019E1">
        <w:rPr>
          <w:rFonts w:ascii="Times New Roman" w:eastAsia="Times New Roman" w:hAnsi="Times New Roman" w:cs="Times New Roman"/>
          <w:sz w:val="24"/>
          <w:szCs w:val="24"/>
          <w:lang w:eastAsia="en-GB"/>
        </w:rPr>
        <w:t xml:space="preserve">-Tomas </w:t>
      </w:r>
      <w:r w:rsidRPr="00A019E1">
        <w:rPr>
          <w:rFonts w:ascii="Times New Roman" w:eastAsia="Times New Roman" w:hAnsi="Times New Roman" w:cs="Times New Roman"/>
          <w:i/>
          <w:iCs/>
          <w:sz w:val="24"/>
          <w:szCs w:val="24"/>
          <w:lang w:eastAsia="en-GB"/>
        </w:rPr>
        <w:t xml:space="preserve">et al. </w:t>
      </w:r>
      <w:r w:rsidRPr="00A019E1">
        <w:rPr>
          <w:rFonts w:ascii="Times New Roman" w:eastAsia="Times New Roman" w:hAnsi="Times New Roman" w:cs="Times New Roman"/>
          <w:sz w:val="24"/>
          <w:szCs w:val="24"/>
          <w:lang w:eastAsia="en-GB"/>
        </w:rPr>
        <w:t>2021).</w:t>
      </w:r>
    </w:p>
    <w:p w14:paraId="746930D6" w14:textId="77777777" w:rsidR="008438FF" w:rsidRPr="00A019E1" w:rsidRDefault="008438FF" w:rsidP="008438FF">
      <w:pPr>
        <w:spacing w:line="360" w:lineRule="auto"/>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There should also be research focusing on the drivers of participating in collective action schemes including how best to design economic incentives and increasing awareness of available conservation options (</w:t>
      </w:r>
      <w:proofErr w:type="spellStart"/>
      <w:r w:rsidRPr="00A019E1">
        <w:rPr>
          <w:rFonts w:ascii="Times New Roman" w:eastAsia="Times New Roman" w:hAnsi="Times New Roman" w:cs="Times New Roman"/>
          <w:sz w:val="24"/>
          <w:szCs w:val="24"/>
          <w:lang w:eastAsia="en-GB"/>
        </w:rPr>
        <w:t>Josefsson</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The performance of collective payment schemes without monetary incentives and a comparison between the costs of schemes and the benefits arising from their implementation is also an important research gap (Villanueva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2015). Research to understand how social interconnections are built between crucial pillars such as the interaction between intermediaries, existing community networks, and public </w:t>
      </w:r>
      <w:r w:rsidRPr="00A019E1">
        <w:rPr>
          <w:rFonts w:ascii="Times New Roman" w:eastAsia="Times New Roman" w:hAnsi="Times New Roman" w:cs="Times New Roman"/>
          <w:sz w:val="24"/>
          <w:szCs w:val="24"/>
          <w:lang w:eastAsia="en-GB"/>
        </w:rPr>
        <w:lastRenderedPageBreak/>
        <w:t>authorities including consideration of the power asymmetries is required (</w:t>
      </w:r>
      <w:proofErr w:type="spellStart"/>
      <w:r w:rsidRPr="00A019E1">
        <w:rPr>
          <w:rFonts w:ascii="Times New Roman" w:eastAsia="Times New Roman" w:hAnsi="Times New Roman" w:cs="Times New Roman"/>
          <w:sz w:val="24"/>
          <w:szCs w:val="24"/>
          <w:lang w:eastAsia="en-GB"/>
        </w:rPr>
        <w:t>Zaga</w:t>
      </w:r>
      <w:proofErr w:type="spellEnd"/>
      <w:r w:rsidRPr="00A019E1">
        <w:rPr>
          <w:rFonts w:ascii="Times New Roman" w:eastAsia="Times New Roman" w:hAnsi="Times New Roman" w:cs="Times New Roman"/>
          <w:sz w:val="24"/>
          <w:szCs w:val="24"/>
          <w:lang w:eastAsia="en-GB"/>
        </w:rPr>
        <w:t xml:space="preserve">-Mendez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2021). It is also important to focus on investigating and comparing how these relationships affect the performance of collectives with long and short operation terms (Hardy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2020). Finally, research is required to establish the interaction of social norms and external rewards (</w:t>
      </w:r>
      <w:proofErr w:type="spellStart"/>
      <w:r w:rsidRPr="00A019E1">
        <w:rPr>
          <w:rFonts w:ascii="Times New Roman" w:eastAsia="Times New Roman" w:hAnsi="Times New Roman" w:cs="Times New Roman"/>
          <w:sz w:val="24"/>
          <w:szCs w:val="24"/>
          <w:lang w:eastAsia="en-GB"/>
        </w:rPr>
        <w:t>Narloch</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2012) and how sharing of conservation burdens ensures farmers comply with agreed conservation contracts (</w:t>
      </w:r>
      <w:proofErr w:type="spellStart"/>
      <w:r w:rsidRPr="00A019E1">
        <w:rPr>
          <w:rFonts w:ascii="Times New Roman" w:eastAsia="Times New Roman" w:hAnsi="Times New Roman" w:cs="Times New Roman"/>
          <w:sz w:val="24"/>
          <w:szCs w:val="24"/>
          <w:lang w:eastAsia="en-GB"/>
        </w:rPr>
        <w:t>Narloch</w:t>
      </w:r>
      <w:proofErr w:type="spellEnd"/>
      <w:r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i/>
          <w:iCs/>
          <w:sz w:val="24"/>
          <w:szCs w:val="24"/>
          <w:lang w:eastAsia="en-GB"/>
        </w:rPr>
        <w:t>et al.</w:t>
      </w:r>
      <w:r w:rsidRPr="00A019E1">
        <w:rPr>
          <w:rFonts w:ascii="Times New Roman" w:eastAsia="Times New Roman" w:hAnsi="Times New Roman" w:cs="Times New Roman"/>
          <w:sz w:val="24"/>
          <w:szCs w:val="24"/>
          <w:lang w:eastAsia="en-GB"/>
        </w:rPr>
        <w:t xml:space="preserve"> 2017).</w:t>
      </w:r>
    </w:p>
    <w:p w14:paraId="02836ED8"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
    <w:p w14:paraId="073FF391" w14:textId="77777777" w:rsidR="008438FF" w:rsidRPr="00A019E1" w:rsidRDefault="008438FF" w:rsidP="008438FF">
      <w:pPr>
        <w:spacing w:after="0" w:line="360" w:lineRule="auto"/>
        <w:ind w:left="720" w:hanging="720"/>
        <w:jc w:val="both"/>
        <w:rPr>
          <w:rFonts w:ascii="Times New Roman" w:hAnsi="Times New Roman" w:cs="Times New Roman"/>
          <w:b/>
          <w:bCs/>
          <w:sz w:val="24"/>
          <w:szCs w:val="24"/>
        </w:rPr>
      </w:pPr>
      <w:r w:rsidRPr="00A019E1">
        <w:rPr>
          <w:rFonts w:ascii="Times New Roman" w:hAnsi="Times New Roman" w:cs="Times New Roman"/>
          <w:b/>
          <w:bCs/>
          <w:sz w:val="24"/>
          <w:szCs w:val="24"/>
        </w:rPr>
        <w:t>References</w:t>
      </w:r>
    </w:p>
    <w:p w14:paraId="3B6FC3C4"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Alix-Garcia, J.M., Sims, K.R.R., Orozco-Olvera, V.H., </w:t>
      </w:r>
      <w:proofErr w:type="spellStart"/>
      <w:r w:rsidRPr="00A019E1">
        <w:rPr>
          <w:rFonts w:ascii="Times New Roman" w:hAnsi="Times New Roman" w:cs="Times New Roman"/>
          <w:sz w:val="24"/>
          <w:szCs w:val="24"/>
        </w:rPr>
        <w:t>Costica</w:t>
      </w:r>
      <w:proofErr w:type="spellEnd"/>
      <w:r w:rsidRPr="00A019E1">
        <w:rPr>
          <w:rFonts w:ascii="Times New Roman" w:hAnsi="Times New Roman" w:cs="Times New Roman"/>
          <w:sz w:val="24"/>
          <w:szCs w:val="24"/>
        </w:rPr>
        <w:t xml:space="preserve">, L.E., Medina, J.D.F. and Monroy, S.R. (2017). Payments for environmental services supported social capital while increasing land management. PNAS, 115(27). </w:t>
      </w:r>
    </w:p>
    <w:p w14:paraId="49B6089D"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roofErr w:type="spellStart"/>
      <w:r w:rsidRPr="00A019E1">
        <w:rPr>
          <w:rFonts w:ascii="Times New Roman" w:hAnsi="Times New Roman" w:cs="Times New Roman"/>
          <w:sz w:val="24"/>
          <w:szCs w:val="24"/>
        </w:rPr>
        <w:t>Amblard</w:t>
      </w:r>
      <w:proofErr w:type="spellEnd"/>
      <w:r w:rsidRPr="00A019E1">
        <w:rPr>
          <w:rFonts w:ascii="Times New Roman" w:hAnsi="Times New Roman" w:cs="Times New Roman"/>
          <w:sz w:val="24"/>
          <w:szCs w:val="24"/>
        </w:rPr>
        <w:t>, L. (2019). Collective action for water quality management in agriculture: The case of drinking water source protection in France. Global Environmental Change, 58, 101970.</w:t>
      </w:r>
    </w:p>
    <w:p w14:paraId="67755875"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Andersson, K.P., Cook, N.J., </w:t>
      </w:r>
      <w:proofErr w:type="spellStart"/>
      <w:r w:rsidRPr="00A019E1">
        <w:rPr>
          <w:rFonts w:ascii="Times New Roman" w:hAnsi="Times New Roman" w:cs="Times New Roman"/>
          <w:sz w:val="24"/>
          <w:szCs w:val="24"/>
        </w:rPr>
        <w:t>Grillos</w:t>
      </w:r>
      <w:proofErr w:type="spellEnd"/>
      <w:r w:rsidRPr="00A019E1">
        <w:rPr>
          <w:rFonts w:ascii="Times New Roman" w:hAnsi="Times New Roman" w:cs="Times New Roman"/>
          <w:sz w:val="24"/>
          <w:szCs w:val="24"/>
        </w:rPr>
        <w:t>, T., Lopez, M.C., Salk, C.F., Wright, G.D. and Mwangi, E. (2018). Experimental evidence on payments for forest commons conservation. Nature sustainability,1, 128-135.</w:t>
      </w:r>
    </w:p>
    <w:p w14:paraId="1BCF7026"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Arksey, H. and O’Malley, L. (2005). Scoping studies: Towards a methodological framework. International Journal of Social Research Methodology: Theory and Practice, 8(1), 19–32. </w:t>
      </w:r>
    </w:p>
    <w:p w14:paraId="000E2E03"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roofErr w:type="spellStart"/>
      <w:r w:rsidRPr="00A019E1">
        <w:rPr>
          <w:rFonts w:ascii="Times New Roman" w:hAnsi="Times New Roman" w:cs="Times New Roman"/>
          <w:sz w:val="24"/>
          <w:szCs w:val="24"/>
        </w:rPr>
        <w:t>Barghusen</w:t>
      </w:r>
      <w:proofErr w:type="spellEnd"/>
      <w:r w:rsidRPr="00A019E1">
        <w:rPr>
          <w:rFonts w:ascii="Times New Roman" w:hAnsi="Times New Roman" w:cs="Times New Roman"/>
          <w:sz w:val="24"/>
          <w:szCs w:val="24"/>
        </w:rPr>
        <w:t xml:space="preserve">, R., Sattler, C., </w:t>
      </w:r>
      <w:proofErr w:type="spellStart"/>
      <w:r w:rsidRPr="00A019E1">
        <w:rPr>
          <w:rFonts w:ascii="Times New Roman" w:hAnsi="Times New Roman" w:cs="Times New Roman"/>
          <w:sz w:val="24"/>
          <w:szCs w:val="24"/>
        </w:rPr>
        <w:t>Deijl</w:t>
      </w:r>
      <w:proofErr w:type="spellEnd"/>
      <w:r w:rsidRPr="00A019E1">
        <w:rPr>
          <w:rFonts w:ascii="Times New Roman" w:hAnsi="Times New Roman" w:cs="Times New Roman"/>
          <w:sz w:val="24"/>
          <w:szCs w:val="24"/>
        </w:rPr>
        <w:t xml:space="preserve">, L., </w:t>
      </w:r>
      <w:proofErr w:type="spellStart"/>
      <w:r w:rsidRPr="00A019E1">
        <w:rPr>
          <w:rFonts w:ascii="Times New Roman" w:hAnsi="Times New Roman" w:cs="Times New Roman"/>
          <w:sz w:val="24"/>
          <w:szCs w:val="24"/>
        </w:rPr>
        <w:t>Weebers</w:t>
      </w:r>
      <w:proofErr w:type="spellEnd"/>
      <w:r w:rsidRPr="00A019E1">
        <w:rPr>
          <w:rFonts w:ascii="Times New Roman" w:hAnsi="Times New Roman" w:cs="Times New Roman"/>
          <w:sz w:val="24"/>
          <w:szCs w:val="24"/>
        </w:rPr>
        <w:t xml:space="preserve">, C. and </w:t>
      </w:r>
      <w:proofErr w:type="spellStart"/>
      <w:r w:rsidRPr="00A019E1">
        <w:rPr>
          <w:rFonts w:ascii="Times New Roman" w:hAnsi="Times New Roman" w:cs="Times New Roman"/>
          <w:sz w:val="24"/>
          <w:szCs w:val="24"/>
        </w:rPr>
        <w:t>Matzdorf</w:t>
      </w:r>
      <w:proofErr w:type="spellEnd"/>
      <w:r w:rsidRPr="00A019E1">
        <w:rPr>
          <w:rFonts w:ascii="Times New Roman" w:hAnsi="Times New Roman" w:cs="Times New Roman"/>
          <w:sz w:val="24"/>
          <w:szCs w:val="24"/>
        </w:rPr>
        <w:t>, B. (2021). Motivations of farmers to participate in collective agri-environmental schemes: the case of Dutch agricultural collectives. Ecosystems and People, 17(1), 539-555.</w:t>
      </w:r>
    </w:p>
    <w:p w14:paraId="3B07D227"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Bremer, L.L., Farley, K.A. and Lopez-</w:t>
      </w:r>
      <w:proofErr w:type="spellStart"/>
      <w:r w:rsidRPr="00A019E1">
        <w:rPr>
          <w:rFonts w:ascii="Times New Roman" w:hAnsi="Times New Roman" w:cs="Times New Roman"/>
          <w:sz w:val="24"/>
          <w:szCs w:val="24"/>
        </w:rPr>
        <w:t>Carr</w:t>
      </w:r>
      <w:proofErr w:type="spellEnd"/>
      <w:r w:rsidRPr="00A019E1">
        <w:rPr>
          <w:rFonts w:ascii="Times New Roman" w:hAnsi="Times New Roman" w:cs="Times New Roman"/>
          <w:sz w:val="24"/>
          <w:szCs w:val="24"/>
        </w:rPr>
        <w:t xml:space="preserve">, D. (2014). What factors influence participation in payment for ecosystem services programs? An evaluation of Ecuador's </w:t>
      </w:r>
      <w:proofErr w:type="spellStart"/>
      <w:r w:rsidRPr="00A019E1">
        <w:rPr>
          <w:rFonts w:ascii="Times New Roman" w:hAnsi="Times New Roman" w:cs="Times New Roman"/>
          <w:sz w:val="24"/>
          <w:szCs w:val="24"/>
        </w:rPr>
        <w:t>SocioPáramo</w:t>
      </w:r>
      <w:proofErr w:type="spellEnd"/>
      <w:r w:rsidRPr="00A019E1">
        <w:rPr>
          <w:rFonts w:ascii="Times New Roman" w:hAnsi="Times New Roman" w:cs="Times New Roman"/>
          <w:sz w:val="24"/>
          <w:szCs w:val="24"/>
        </w:rPr>
        <w:t xml:space="preserve"> program. Land use policy, 36, 122-133.</w:t>
      </w:r>
    </w:p>
    <w:p w14:paraId="3615EA54"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Carmona-Torres, C., Parra-López, C., Groot, J.C.J. and </w:t>
      </w:r>
      <w:proofErr w:type="spellStart"/>
      <w:r w:rsidRPr="00A019E1">
        <w:rPr>
          <w:rFonts w:ascii="Times New Roman" w:hAnsi="Times New Roman" w:cs="Times New Roman"/>
          <w:sz w:val="24"/>
          <w:szCs w:val="24"/>
        </w:rPr>
        <w:t>Rossing</w:t>
      </w:r>
      <w:proofErr w:type="spellEnd"/>
      <w:r w:rsidRPr="00A019E1">
        <w:rPr>
          <w:rFonts w:ascii="Times New Roman" w:hAnsi="Times New Roman" w:cs="Times New Roman"/>
          <w:sz w:val="24"/>
          <w:szCs w:val="24"/>
        </w:rPr>
        <w:t>, W.A.H. (2011). Collective action for multi-scale environmental management: Achieving landscape policy objectives through cooperation of local resource managers. Landscape and Urban planning, 103(1), 24-33.</w:t>
      </w:r>
    </w:p>
    <w:p w14:paraId="01CB568F"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roofErr w:type="spellStart"/>
      <w:r w:rsidRPr="00A019E1">
        <w:rPr>
          <w:rFonts w:ascii="Times New Roman" w:hAnsi="Times New Roman" w:cs="Times New Roman"/>
          <w:sz w:val="24"/>
          <w:szCs w:val="24"/>
        </w:rPr>
        <w:t>Chervier</w:t>
      </w:r>
      <w:proofErr w:type="spellEnd"/>
      <w:r w:rsidRPr="00A019E1">
        <w:rPr>
          <w:rFonts w:ascii="Times New Roman" w:hAnsi="Times New Roman" w:cs="Times New Roman"/>
          <w:sz w:val="24"/>
          <w:szCs w:val="24"/>
        </w:rPr>
        <w:t xml:space="preserve">, C. and </w:t>
      </w:r>
      <w:proofErr w:type="spellStart"/>
      <w:r w:rsidRPr="00A019E1">
        <w:rPr>
          <w:rFonts w:ascii="Times New Roman" w:hAnsi="Times New Roman" w:cs="Times New Roman"/>
          <w:sz w:val="24"/>
          <w:szCs w:val="24"/>
        </w:rPr>
        <w:t>Costedoat</w:t>
      </w:r>
      <w:proofErr w:type="spellEnd"/>
      <w:r w:rsidRPr="00A019E1">
        <w:rPr>
          <w:rFonts w:ascii="Times New Roman" w:hAnsi="Times New Roman" w:cs="Times New Roman"/>
          <w:sz w:val="24"/>
          <w:szCs w:val="24"/>
        </w:rPr>
        <w:t>, S. (2017). Heterogeneous Impact of a Collective Payment for Environmental Services Scheme on Reducing Deforestation in Cambodia. World development, 98, 148-159.</w:t>
      </w:r>
    </w:p>
    <w:p w14:paraId="70C46EB5"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lastRenderedPageBreak/>
        <w:t xml:space="preserve">Corso, J.D., Nguyen, G.P.D.T. and </w:t>
      </w:r>
      <w:proofErr w:type="spellStart"/>
      <w:r w:rsidRPr="00A019E1">
        <w:rPr>
          <w:rFonts w:ascii="Times New Roman" w:hAnsi="Times New Roman" w:cs="Times New Roman"/>
          <w:sz w:val="24"/>
          <w:szCs w:val="24"/>
        </w:rPr>
        <w:t>Kephaliacos</w:t>
      </w:r>
      <w:proofErr w:type="spellEnd"/>
      <w:r w:rsidRPr="00A019E1">
        <w:rPr>
          <w:rFonts w:ascii="Times New Roman" w:hAnsi="Times New Roman" w:cs="Times New Roman"/>
          <w:sz w:val="24"/>
          <w:szCs w:val="24"/>
        </w:rPr>
        <w:t>, C. (2017). Acceptance of a Payment for Ecosystem Services Scheme: The Decisive Influence of Collective Action. Environmental Values, 26, 177-202.</w:t>
      </w:r>
    </w:p>
    <w:p w14:paraId="3AD80FE4"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roofErr w:type="spellStart"/>
      <w:r w:rsidRPr="00A019E1">
        <w:rPr>
          <w:rFonts w:ascii="Times New Roman" w:hAnsi="Times New Roman" w:cs="Times New Roman"/>
          <w:sz w:val="24"/>
          <w:szCs w:val="24"/>
        </w:rPr>
        <w:t>Dik</w:t>
      </w:r>
      <w:proofErr w:type="spellEnd"/>
      <w:r w:rsidRPr="00A019E1">
        <w:rPr>
          <w:rFonts w:ascii="Times New Roman" w:hAnsi="Times New Roman" w:cs="Times New Roman"/>
          <w:sz w:val="24"/>
          <w:szCs w:val="24"/>
        </w:rPr>
        <w:t xml:space="preserve">, L., </w:t>
      </w:r>
      <w:proofErr w:type="spellStart"/>
      <w:r w:rsidRPr="00A019E1">
        <w:rPr>
          <w:rFonts w:ascii="Times New Roman" w:hAnsi="Times New Roman" w:cs="Times New Roman"/>
          <w:sz w:val="24"/>
          <w:szCs w:val="24"/>
        </w:rPr>
        <w:t>Runhaar</w:t>
      </w:r>
      <w:proofErr w:type="spellEnd"/>
      <w:r w:rsidRPr="00A019E1">
        <w:rPr>
          <w:rFonts w:ascii="Times New Roman" w:hAnsi="Times New Roman" w:cs="Times New Roman"/>
          <w:sz w:val="24"/>
          <w:szCs w:val="24"/>
        </w:rPr>
        <w:t xml:space="preserve">, H.A.C. and </w:t>
      </w:r>
      <w:proofErr w:type="spellStart"/>
      <w:r w:rsidRPr="00A019E1">
        <w:rPr>
          <w:rFonts w:ascii="Times New Roman" w:hAnsi="Times New Roman" w:cs="Times New Roman"/>
          <w:sz w:val="24"/>
          <w:szCs w:val="24"/>
        </w:rPr>
        <w:t>Termeer</w:t>
      </w:r>
      <w:proofErr w:type="spellEnd"/>
      <w:r w:rsidRPr="00A019E1">
        <w:rPr>
          <w:rFonts w:ascii="Times New Roman" w:hAnsi="Times New Roman" w:cs="Times New Roman"/>
          <w:sz w:val="24"/>
          <w:szCs w:val="24"/>
        </w:rPr>
        <w:t>, C.J.A.M. (2021). Farmer collectives for more effective agri-environmental schemes? An assessment framework based on the concept of ‘professionalization’. International Journal of Agricultural Sustainability, in press. DOI:10.1080/14735903.2021.1950389</w:t>
      </w:r>
      <w:r w:rsidRPr="00A019E1">
        <w:rPr>
          <w:rFonts w:ascii="Times New Roman" w:hAnsi="Times New Roman" w:cs="Times New Roman"/>
          <w:sz w:val="24"/>
          <w:szCs w:val="24"/>
        </w:rPr>
        <w:cr/>
      </w:r>
    </w:p>
    <w:p w14:paraId="0DE66B3C"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Emery, S.B. and Franks, J.R. (2012). The potential for collaborative agri-environment schemes in England: Can a well-designed collaborative approach address farmers’ concerns with current schemes? Journal of Rural Studies, 28(3), 218-231.</w:t>
      </w:r>
    </w:p>
    <w:p w14:paraId="5BAC8242"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Fischer, A.P., </w:t>
      </w:r>
      <w:proofErr w:type="spellStart"/>
      <w:r w:rsidRPr="00A019E1">
        <w:rPr>
          <w:rFonts w:ascii="Times New Roman" w:hAnsi="Times New Roman" w:cs="Times New Roman"/>
          <w:sz w:val="24"/>
          <w:szCs w:val="24"/>
        </w:rPr>
        <w:t>Klooster</w:t>
      </w:r>
      <w:proofErr w:type="spellEnd"/>
      <w:r w:rsidRPr="00A019E1">
        <w:rPr>
          <w:rFonts w:ascii="Times New Roman" w:hAnsi="Times New Roman" w:cs="Times New Roman"/>
          <w:sz w:val="24"/>
          <w:szCs w:val="24"/>
        </w:rPr>
        <w:t xml:space="preserve">, A. and </w:t>
      </w:r>
      <w:proofErr w:type="spellStart"/>
      <w:r w:rsidRPr="00A019E1">
        <w:rPr>
          <w:rFonts w:ascii="Times New Roman" w:hAnsi="Times New Roman" w:cs="Times New Roman"/>
          <w:sz w:val="24"/>
          <w:szCs w:val="24"/>
        </w:rPr>
        <w:t>Cirhigiri</w:t>
      </w:r>
      <w:proofErr w:type="spellEnd"/>
      <w:r w:rsidRPr="00A019E1">
        <w:rPr>
          <w:rFonts w:ascii="Times New Roman" w:hAnsi="Times New Roman" w:cs="Times New Roman"/>
          <w:sz w:val="24"/>
          <w:szCs w:val="24"/>
        </w:rPr>
        <w:t>, L. (2019). Cross-boundary cooperation for landscape management: Collective action and social exchange among individual private forest landowners. Landscape and Urban Planning, 188, 151-162.</w:t>
      </w:r>
    </w:p>
    <w:p w14:paraId="040E174A"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Franks, J.R. (2010). The collective provision of environmental goods: a discussion of contractual issues. Journal of Environmental Planning and Management, 54:5, 637-660. </w:t>
      </w:r>
    </w:p>
    <w:p w14:paraId="2BA02848"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Hayes, T., </w:t>
      </w:r>
      <w:proofErr w:type="spellStart"/>
      <w:r w:rsidRPr="00A019E1">
        <w:rPr>
          <w:rFonts w:ascii="Times New Roman" w:hAnsi="Times New Roman" w:cs="Times New Roman"/>
          <w:sz w:val="24"/>
          <w:szCs w:val="24"/>
        </w:rPr>
        <w:t>Grillos</w:t>
      </w:r>
      <w:proofErr w:type="spellEnd"/>
      <w:r w:rsidRPr="00A019E1">
        <w:rPr>
          <w:rFonts w:ascii="Times New Roman" w:hAnsi="Times New Roman" w:cs="Times New Roman"/>
          <w:sz w:val="24"/>
          <w:szCs w:val="24"/>
        </w:rPr>
        <w:t xml:space="preserve">, T., Bremer, L.L., </w:t>
      </w:r>
      <w:proofErr w:type="spellStart"/>
      <w:r w:rsidRPr="00A019E1">
        <w:rPr>
          <w:rFonts w:ascii="Times New Roman" w:hAnsi="Times New Roman" w:cs="Times New Roman"/>
          <w:sz w:val="24"/>
          <w:szCs w:val="24"/>
        </w:rPr>
        <w:t>Murtinho</w:t>
      </w:r>
      <w:proofErr w:type="spellEnd"/>
      <w:r w:rsidRPr="00A019E1">
        <w:rPr>
          <w:rFonts w:ascii="Times New Roman" w:hAnsi="Times New Roman" w:cs="Times New Roman"/>
          <w:sz w:val="24"/>
          <w:szCs w:val="24"/>
        </w:rPr>
        <w:t xml:space="preserve">, F. and Shapiro, E. (2019). Collective PES: More than the sum of individual incentives. Environmental Science &amp; Policy, 102, 1-8. </w:t>
      </w:r>
    </w:p>
    <w:p w14:paraId="3A36270D"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lang w:val="pt-BR"/>
        </w:rPr>
        <w:t xml:space="preserve">Hayes, T., Murtinho, F., Wollf, H., 2015. </w:t>
      </w:r>
      <w:r w:rsidRPr="00A019E1">
        <w:rPr>
          <w:rFonts w:ascii="Times New Roman" w:hAnsi="Times New Roman" w:cs="Times New Roman"/>
          <w:sz w:val="24"/>
          <w:szCs w:val="24"/>
        </w:rPr>
        <w:t>An institutional analysis of Payment for Environmental Services on collectively managed lands in Ecuador. Ecological Economics, 118, 81-89.</w:t>
      </w:r>
    </w:p>
    <w:p w14:paraId="4A84EFD8"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roofErr w:type="spellStart"/>
      <w:r w:rsidRPr="00A019E1">
        <w:rPr>
          <w:rFonts w:ascii="Times New Roman" w:hAnsi="Times New Roman" w:cs="Times New Roman"/>
          <w:sz w:val="24"/>
          <w:szCs w:val="24"/>
        </w:rPr>
        <w:t>Kaczan</w:t>
      </w:r>
      <w:proofErr w:type="spellEnd"/>
      <w:r w:rsidRPr="00A019E1">
        <w:rPr>
          <w:rFonts w:ascii="Times New Roman" w:hAnsi="Times New Roman" w:cs="Times New Roman"/>
          <w:sz w:val="24"/>
          <w:szCs w:val="24"/>
        </w:rPr>
        <w:t>, D., Pfaff, A., Rodriguez, L. and Shapiro-Garza, E. (2017). Increasing the impact of collective incentives in payments for ecosystem services. Journal of Environmental Economics and Management, 86, 48-67.</w:t>
      </w:r>
    </w:p>
    <w:p w14:paraId="68F20E4D"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roofErr w:type="spellStart"/>
      <w:r w:rsidRPr="00A019E1">
        <w:rPr>
          <w:rFonts w:ascii="Times New Roman" w:hAnsi="Times New Roman" w:cs="Times New Roman"/>
          <w:sz w:val="24"/>
          <w:szCs w:val="24"/>
        </w:rPr>
        <w:t>Kaczan</w:t>
      </w:r>
      <w:proofErr w:type="spellEnd"/>
      <w:r w:rsidRPr="00A019E1">
        <w:rPr>
          <w:rFonts w:ascii="Times New Roman" w:hAnsi="Times New Roman" w:cs="Times New Roman"/>
          <w:sz w:val="24"/>
          <w:szCs w:val="24"/>
        </w:rPr>
        <w:t xml:space="preserve">, D.J., Swallow, B.M. and </w:t>
      </w:r>
      <w:proofErr w:type="spellStart"/>
      <w:r w:rsidRPr="00A019E1">
        <w:rPr>
          <w:rFonts w:ascii="Times New Roman" w:hAnsi="Times New Roman" w:cs="Times New Roman"/>
          <w:sz w:val="24"/>
          <w:szCs w:val="24"/>
        </w:rPr>
        <w:t>Adamowicz</w:t>
      </w:r>
      <w:proofErr w:type="spellEnd"/>
      <w:r w:rsidRPr="00A019E1">
        <w:rPr>
          <w:rFonts w:ascii="Times New Roman" w:hAnsi="Times New Roman" w:cs="Times New Roman"/>
          <w:sz w:val="24"/>
          <w:szCs w:val="24"/>
        </w:rPr>
        <w:t>, W.L. (2019). Forest conservation policy and motivational crowding: Experimental evidence from Tanzania. Ecological Economics, 156, 444-453.</w:t>
      </w:r>
    </w:p>
    <w:p w14:paraId="291BA233"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roofErr w:type="spellStart"/>
      <w:r w:rsidRPr="00A019E1">
        <w:rPr>
          <w:rFonts w:ascii="Times New Roman" w:hAnsi="Times New Roman" w:cs="Times New Roman"/>
          <w:sz w:val="24"/>
          <w:szCs w:val="24"/>
        </w:rPr>
        <w:t>Kolinjivadi</w:t>
      </w:r>
      <w:proofErr w:type="spellEnd"/>
      <w:r w:rsidRPr="00A019E1">
        <w:rPr>
          <w:rFonts w:ascii="Times New Roman" w:hAnsi="Times New Roman" w:cs="Times New Roman"/>
          <w:sz w:val="24"/>
          <w:szCs w:val="24"/>
        </w:rPr>
        <w:t xml:space="preserve">, V., </w:t>
      </w:r>
      <w:proofErr w:type="spellStart"/>
      <w:r w:rsidRPr="00A019E1">
        <w:rPr>
          <w:rFonts w:ascii="Times New Roman" w:hAnsi="Times New Roman" w:cs="Times New Roman"/>
          <w:sz w:val="24"/>
          <w:szCs w:val="24"/>
        </w:rPr>
        <w:t>Charré</w:t>
      </w:r>
      <w:proofErr w:type="spellEnd"/>
      <w:r w:rsidRPr="00A019E1">
        <w:rPr>
          <w:rFonts w:ascii="Times New Roman" w:hAnsi="Times New Roman" w:cs="Times New Roman"/>
          <w:sz w:val="24"/>
          <w:szCs w:val="24"/>
        </w:rPr>
        <w:t xml:space="preserve">, S., </w:t>
      </w:r>
      <w:proofErr w:type="spellStart"/>
      <w:r w:rsidRPr="00A019E1">
        <w:rPr>
          <w:rFonts w:ascii="Times New Roman" w:hAnsi="Times New Roman" w:cs="Times New Roman"/>
          <w:sz w:val="24"/>
          <w:szCs w:val="24"/>
        </w:rPr>
        <w:t>Adamowski</w:t>
      </w:r>
      <w:proofErr w:type="spellEnd"/>
      <w:r w:rsidRPr="00A019E1">
        <w:rPr>
          <w:rFonts w:ascii="Times New Roman" w:hAnsi="Times New Roman" w:cs="Times New Roman"/>
          <w:sz w:val="24"/>
          <w:szCs w:val="24"/>
        </w:rPr>
        <w:t xml:space="preserve">, J. and </w:t>
      </w:r>
      <w:proofErr w:type="spellStart"/>
      <w:r w:rsidRPr="00A019E1">
        <w:rPr>
          <w:rFonts w:ascii="Times New Roman" w:hAnsi="Times New Roman" w:cs="Times New Roman"/>
          <w:sz w:val="24"/>
          <w:szCs w:val="24"/>
        </w:rPr>
        <w:t>Kosoy</w:t>
      </w:r>
      <w:proofErr w:type="spellEnd"/>
      <w:r w:rsidRPr="00A019E1">
        <w:rPr>
          <w:rFonts w:ascii="Times New Roman" w:hAnsi="Times New Roman" w:cs="Times New Roman"/>
          <w:sz w:val="24"/>
          <w:szCs w:val="24"/>
        </w:rPr>
        <w:t>, N. (2019). Economic Experiments for Collective Action in the Kyrgyz Republic: Lessons for Payments for Ecosystem Services (PES). Ecological Economics, 156, 489-498.</w:t>
      </w:r>
    </w:p>
    <w:p w14:paraId="242A4C88"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eastAsia="Times New Roman" w:hAnsi="Times New Roman" w:cs="Times New Roman"/>
          <w:sz w:val="24"/>
          <w:szCs w:val="24"/>
          <w:lang w:eastAsia="en-GB"/>
        </w:rPr>
        <w:t>K</w:t>
      </w:r>
      <w:r w:rsidRPr="00A019E1">
        <w:rPr>
          <w:rFonts w:ascii="Times New Roman" w:hAnsi="Times New Roman" w:cs="Times New Roman"/>
          <w:sz w:val="24"/>
          <w:szCs w:val="24"/>
        </w:rPr>
        <w:t xml:space="preserve">uhfuss, L., </w:t>
      </w:r>
      <w:proofErr w:type="spellStart"/>
      <w:proofErr w:type="gramStart"/>
      <w:r w:rsidRPr="00A019E1">
        <w:rPr>
          <w:rFonts w:ascii="Times New Roman" w:hAnsi="Times New Roman" w:cs="Times New Roman"/>
          <w:sz w:val="24"/>
          <w:szCs w:val="24"/>
        </w:rPr>
        <w:t>Préget,R</w:t>
      </w:r>
      <w:proofErr w:type="spellEnd"/>
      <w:r w:rsidRPr="00A019E1">
        <w:rPr>
          <w:rFonts w:ascii="Times New Roman" w:hAnsi="Times New Roman" w:cs="Times New Roman"/>
          <w:sz w:val="24"/>
          <w:szCs w:val="24"/>
        </w:rPr>
        <w:t>.</w:t>
      </w:r>
      <w:proofErr w:type="gramEnd"/>
      <w:r w:rsidRPr="00A019E1">
        <w:rPr>
          <w:rFonts w:ascii="Times New Roman" w:hAnsi="Times New Roman" w:cs="Times New Roman"/>
          <w:sz w:val="24"/>
          <w:szCs w:val="24"/>
        </w:rPr>
        <w:t xml:space="preserve">, </w:t>
      </w:r>
      <w:proofErr w:type="spellStart"/>
      <w:r w:rsidRPr="00A019E1">
        <w:rPr>
          <w:rFonts w:ascii="Times New Roman" w:hAnsi="Times New Roman" w:cs="Times New Roman"/>
          <w:sz w:val="24"/>
          <w:szCs w:val="24"/>
        </w:rPr>
        <w:t>Thoyer</w:t>
      </w:r>
      <w:proofErr w:type="spellEnd"/>
      <w:r w:rsidRPr="00A019E1">
        <w:rPr>
          <w:rFonts w:ascii="Times New Roman" w:hAnsi="Times New Roman" w:cs="Times New Roman"/>
          <w:sz w:val="24"/>
          <w:szCs w:val="24"/>
        </w:rPr>
        <w:t>, S. and Hanley, N. (2016). Nudging farmers to enrol land into agri-environmental schemes: the role of a collective bonus. European Review of Agricultural Economics, 43(4), 609–636.</w:t>
      </w:r>
    </w:p>
    <w:p w14:paraId="05C6B442"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lastRenderedPageBreak/>
        <w:t>Marshall, G.R. (2004). From words to deeds: enforcing farmers’ conservation cost-sharing commitments. Journal of Rural Studies, 20(2), 157-167.</w:t>
      </w:r>
    </w:p>
    <w:p w14:paraId="32FDF9F4"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Midler, E., Pascual, U., Drucker, A.G., </w:t>
      </w:r>
      <w:proofErr w:type="spellStart"/>
      <w:r w:rsidRPr="00A019E1">
        <w:rPr>
          <w:rFonts w:ascii="Times New Roman" w:hAnsi="Times New Roman" w:cs="Times New Roman"/>
          <w:sz w:val="24"/>
          <w:szCs w:val="24"/>
        </w:rPr>
        <w:t>Narloch</w:t>
      </w:r>
      <w:proofErr w:type="spellEnd"/>
      <w:r w:rsidRPr="00A019E1">
        <w:rPr>
          <w:rFonts w:ascii="Times New Roman" w:hAnsi="Times New Roman" w:cs="Times New Roman"/>
          <w:sz w:val="24"/>
          <w:szCs w:val="24"/>
        </w:rPr>
        <w:t xml:space="preserve">, U. and Soto, J.L. (2015). </w:t>
      </w:r>
      <w:proofErr w:type="spellStart"/>
      <w:r w:rsidRPr="00A019E1">
        <w:rPr>
          <w:rFonts w:ascii="Times New Roman" w:hAnsi="Times New Roman" w:cs="Times New Roman"/>
          <w:sz w:val="24"/>
          <w:szCs w:val="24"/>
        </w:rPr>
        <w:t>Unraveling</w:t>
      </w:r>
      <w:proofErr w:type="spellEnd"/>
      <w:r w:rsidRPr="00A019E1">
        <w:rPr>
          <w:rFonts w:ascii="Times New Roman" w:hAnsi="Times New Roman" w:cs="Times New Roman"/>
          <w:sz w:val="24"/>
          <w:szCs w:val="24"/>
        </w:rPr>
        <w:t xml:space="preserve"> the effects of payments for ecosystem services on motivations for collective action. Ecological Economics, 120, 394-405.</w:t>
      </w:r>
    </w:p>
    <w:p w14:paraId="546AE566"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Mills, J., Gibbon, D., Ingram, J., Reed, M., Short, C. and Dwyer, J. (2011). Organising Collective Action for Effective Environmental Management and Social Learning in Wales.  Journal of Agricultural Education and Extension, 17(1), 69-83.</w:t>
      </w:r>
    </w:p>
    <w:p w14:paraId="23EF5924"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Milne, S. and Adams, B. (2012). Market Masquerades: Uncovering the Politics of Community-level Payments for Environmental Services in Cambodia. Development and change, 43(1), 133-158.</w:t>
      </w:r>
    </w:p>
    <w:p w14:paraId="303B80D0"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roofErr w:type="spellStart"/>
      <w:r w:rsidRPr="00A019E1">
        <w:rPr>
          <w:rFonts w:ascii="Times New Roman" w:hAnsi="Times New Roman" w:cs="Times New Roman"/>
          <w:sz w:val="24"/>
          <w:szCs w:val="24"/>
        </w:rPr>
        <w:t>Narloch</w:t>
      </w:r>
      <w:proofErr w:type="spellEnd"/>
      <w:r w:rsidRPr="00A019E1">
        <w:rPr>
          <w:rFonts w:ascii="Times New Roman" w:hAnsi="Times New Roman" w:cs="Times New Roman"/>
          <w:sz w:val="24"/>
          <w:szCs w:val="24"/>
        </w:rPr>
        <w:t>, U., Drucker, A.G. and Pascual, U. (2017). What role for cooperation in conservation tenders? Paying farmer groups in the High Andes. Land Use Policy, 63, 659-671.</w:t>
      </w:r>
    </w:p>
    <w:p w14:paraId="75C97105"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Riley, M., Sangster, H., Smith, H., </w:t>
      </w:r>
      <w:proofErr w:type="spellStart"/>
      <w:r w:rsidRPr="00A019E1">
        <w:rPr>
          <w:rFonts w:ascii="Times New Roman" w:hAnsi="Times New Roman" w:cs="Times New Roman"/>
          <w:sz w:val="24"/>
          <w:szCs w:val="24"/>
        </w:rPr>
        <w:t>Chiverrell</w:t>
      </w:r>
      <w:proofErr w:type="spellEnd"/>
      <w:r w:rsidRPr="00A019E1">
        <w:rPr>
          <w:rFonts w:ascii="Times New Roman" w:hAnsi="Times New Roman" w:cs="Times New Roman"/>
          <w:sz w:val="24"/>
          <w:szCs w:val="24"/>
        </w:rPr>
        <w:t>, R. and Boyle, J. (2018). Will farmers work together for conservation? The potential limits of farmers’ cooperation in agri-environment measures. Land use policy, 70, 635-646.</w:t>
      </w:r>
    </w:p>
    <w:p w14:paraId="4C01B544"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Robinson, E.J.Z., Albers, H.J., </w:t>
      </w:r>
      <w:proofErr w:type="spellStart"/>
      <w:r w:rsidRPr="00A019E1">
        <w:rPr>
          <w:rFonts w:ascii="Times New Roman" w:hAnsi="Times New Roman" w:cs="Times New Roman"/>
          <w:sz w:val="24"/>
          <w:szCs w:val="24"/>
        </w:rPr>
        <w:t>Lokina</w:t>
      </w:r>
      <w:proofErr w:type="spellEnd"/>
      <w:r w:rsidRPr="00A019E1">
        <w:rPr>
          <w:rFonts w:ascii="Times New Roman" w:hAnsi="Times New Roman" w:cs="Times New Roman"/>
          <w:sz w:val="24"/>
          <w:szCs w:val="24"/>
        </w:rPr>
        <w:t>, R. and Meshack, C. (2016). Allocating Group-Level Payments for Ecosystem Services: Experiences from a REDD+ Pilot in Tanzania. Resources 2016, 5(4), 43.</w:t>
      </w:r>
    </w:p>
    <w:p w14:paraId="7893D3A2"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Villanueva, A.J., Gómez-Limón, J.A., </w:t>
      </w:r>
      <w:proofErr w:type="spellStart"/>
      <w:r w:rsidRPr="00A019E1">
        <w:rPr>
          <w:rFonts w:ascii="Times New Roman" w:hAnsi="Times New Roman" w:cs="Times New Roman"/>
          <w:sz w:val="24"/>
          <w:szCs w:val="24"/>
        </w:rPr>
        <w:t>Arriaza</w:t>
      </w:r>
      <w:proofErr w:type="spellEnd"/>
      <w:r w:rsidRPr="00A019E1">
        <w:rPr>
          <w:rFonts w:ascii="Times New Roman" w:hAnsi="Times New Roman" w:cs="Times New Roman"/>
          <w:sz w:val="24"/>
          <w:szCs w:val="24"/>
        </w:rPr>
        <w:t>, M. and Rodríguez-</w:t>
      </w:r>
      <w:proofErr w:type="spellStart"/>
      <w:r w:rsidRPr="00A019E1">
        <w:rPr>
          <w:rFonts w:ascii="Times New Roman" w:hAnsi="Times New Roman" w:cs="Times New Roman"/>
          <w:sz w:val="24"/>
          <w:szCs w:val="24"/>
        </w:rPr>
        <w:t>Entrena</w:t>
      </w:r>
      <w:proofErr w:type="spellEnd"/>
      <w:r w:rsidRPr="00A019E1">
        <w:rPr>
          <w:rFonts w:ascii="Times New Roman" w:hAnsi="Times New Roman" w:cs="Times New Roman"/>
          <w:sz w:val="24"/>
          <w:szCs w:val="24"/>
        </w:rPr>
        <w:t>, M. (2015). Assessment of greening and collective participation in the context of agri-environmental schemes: The case of Andalusian irrigated olive groves. Spanish Journal of Agricultural Research, 13(4), 2171-9292.</w:t>
      </w:r>
    </w:p>
    <w:p w14:paraId="5A2AD733"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roofErr w:type="spellStart"/>
      <w:r w:rsidRPr="00A019E1">
        <w:rPr>
          <w:rFonts w:ascii="Times New Roman" w:hAnsi="Times New Roman" w:cs="Times New Roman"/>
          <w:sz w:val="24"/>
          <w:szCs w:val="24"/>
        </w:rPr>
        <w:t>Westerink</w:t>
      </w:r>
      <w:proofErr w:type="spellEnd"/>
      <w:r w:rsidRPr="00A019E1">
        <w:rPr>
          <w:rFonts w:ascii="Times New Roman" w:hAnsi="Times New Roman" w:cs="Times New Roman"/>
          <w:sz w:val="24"/>
          <w:szCs w:val="24"/>
        </w:rPr>
        <w:t xml:space="preserve">, J., </w:t>
      </w:r>
      <w:proofErr w:type="spellStart"/>
      <w:r w:rsidRPr="00A019E1">
        <w:rPr>
          <w:rFonts w:ascii="Times New Roman" w:hAnsi="Times New Roman" w:cs="Times New Roman"/>
          <w:sz w:val="24"/>
          <w:szCs w:val="24"/>
        </w:rPr>
        <w:t>Termeer</w:t>
      </w:r>
      <w:proofErr w:type="spellEnd"/>
      <w:r w:rsidRPr="00A019E1">
        <w:rPr>
          <w:rFonts w:ascii="Times New Roman" w:hAnsi="Times New Roman" w:cs="Times New Roman"/>
          <w:sz w:val="24"/>
          <w:szCs w:val="24"/>
        </w:rPr>
        <w:t xml:space="preserve">, C. and </w:t>
      </w:r>
      <w:proofErr w:type="spellStart"/>
      <w:r w:rsidRPr="00A019E1">
        <w:rPr>
          <w:rFonts w:ascii="Times New Roman" w:hAnsi="Times New Roman" w:cs="Times New Roman"/>
          <w:sz w:val="24"/>
          <w:szCs w:val="24"/>
        </w:rPr>
        <w:t>Manhoudt</w:t>
      </w:r>
      <w:proofErr w:type="spellEnd"/>
      <w:r w:rsidRPr="00A019E1">
        <w:rPr>
          <w:rFonts w:ascii="Times New Roman" w:hAnsi="Times New Roman" w:cs="Times New Roman"/>
          <w:sz w:val="24"/>
          <w:szCs w:val="24"/>
        </w:rPr>
        <w:t xml:space="preserve">, A. (2020). Identity Conflict? Agri-Environmental Collectives as Self-Governing Groups of Farmers or as Boundary Organisations. International Journal of the Commons 14(1): 388-403. </w:t>
      </w:r>
    </w:p>
    <w:p w14:paraId="388EA85A"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Willy, D.K. and Holm-Müller, K. (2013). Social influence and collective action effects on farm level soil conservation effort in rural Kenya. Ecological Economics, 90, 94-103.</w:t>
      </w:r>
    </w:p>
    <w:p w14:paraId="53DD62F4"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Wiser, R.H. (2007). Using contingent valuation to explore willingness to pay for renewable energy: A comparison of collective and voluntary payment </w:t>
      </w:r>
      <w:proofErr w:type="spellStart"/>
      <w:proofErr w:type="gramStart"/>
      <w:r w:rsidRPr="00A019E1">
        <w:rPr>
          <w:rFonts w:ascii="Times New Roman" w:hAnsi="Times New Roman" w:cs="Times New Roman"/>
          <w:sz w:val="24"/>
          <w:szCs w:val="24"/>
        </w:rPr>
        <w:t>vehicles.Ecological</w:t>
      </w:r>
      <w:proofErr w:type="spellEnd"/>
      <w:proofErr w:type="gramEnd"/>
      <w:r w:rsidRPr="00A019E1">
        <w:rPr>
          <w:rFonts w:ascii="Times New Roman" w:hAnsi="Times New Roman" w:cs="Times New Roman"/>
          <w:sz w:val="24"/>
          <w:szCs w:val="24"/>
        </w:rPr>
        <w:t xml:space="preserve"> Economics, 62(3-4), 419-432.</w:t>
      </w:r>
    </w:p>
    <w:p w14:paraId="6F2A17CF"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 xml:space="preserve">Yoder, L. (2019). Compelling collective action: Does a shared pollution cap incentivize farmer cooperation to restore water </w:t>
      </w:r>
      <w:proofErr w:type="gramStart"/>
      <w:r w:rsidRPr="00A019E1">
        <w:rPr>
          <w:rFonts w:ascii="Times New Roman" w:hAnsi="Times New Roman" w:cs="Times New Roman"/>
          <w:sz w:val="24"/>
          <w:szCs w:val="24"/>
        </w:rPr>
        <w:t>quality?.</w:t>
      </w:r>
      <w:proofErr w:type="gramEnd"/>
      <w:r w:rsidRPr="00A019E1">
        <w:rPr>
          <w:rFonts w:ascii="Times New Roman" w:hAnsi="Times New Roman" w:cs="Times New Roman"/>
          <w:sz w:val="24"/>
          <w:szCs w:val="24"/>
        </w:rPr>
        <w:t xml:space="preserve"> International Journal of the Commons, 13(1), 378–399. </w:t>
      </w:r>
    </w:p>
    <w:p w14:paraId="3CE052FD" w14:textId="77777777" w:rsidR="008438FF" w:rsidRPr="00A019E1" w:rsidRDefault="008438FF" w:rsidP="008438FF">
      <w:pPr>
        <w:spacing w:after="0" w:line="360" w:lineRule="auto"/>
        <w:ind w:left="720" w:hanging="720"/>
        <w:jc w:val="both"/>
        <w:rPr>
          <w:rFonts w:ascii="Times New Roman" w:hAnsi="Times New Roman" w:cs="Times New Roman"/>
          <w:sz w:val="24"/>
          <w:szCs w:val="24"/>
          <w:lang w:val="de-DE"/>
        </w:rPr>
      </w:pPr>
      <w:proofErr w:type="spellStart"/>
      <w:r w:rsidRPr="00A019E1">
        <w:rPr>
          <w:rFonts w:ascii="Times New Roman" w:hAnsi="Times New Roman" w:cs="Times New Roman"/>
          <w:sz w:val="24"/>
          <w:szCs w:val="24"/>
        </w:rPr>
        <w:lastRenderedPageBreak/>
        <w:t>Zaga</w:t>
      </w:r>
      <w:proofErr w:type="spellEnd"/>
      <w:r w:rsidRPr="00A019E1">
        <w:rPr>
          <w:rFonts w:ascii="Times New Roman" w:hAnsi="Times New Roman" w:cs="Times New Roman"/>
          <w:sz w:val="24"/>
          <w:szCs w:val="24"/>
        </w:rPr>
        <w:t xml:space="preserve">-Mendez, A., Bissonnette, J., </w:t>
      </w:r>
      <w:proofErr w:type="spellStart"/>
      <w:r w:rsidRPr="00A019E1">
        <w:rPr>
          <w:rFonts w:ascii="Times New Roman" w:hAnsi="Times New Roman" w:cs="Times New Roman"/>
          <w:sz w:val="24"/>
          <w:szCs w:val="24"/>
        </w:rPr>
        <w:t>Kolinjivadi</w:t>
      </w:r>
      <w:proofErr w:type="spellEnd"/>
      <w:r w:rsidRPr="00A019E1">
        <w:rPr>
          <w:rFonts w:ascii="Times New Roman" w:hAnsi="Times New Roman" w:cs="Times New Roman"/>
          <w:sz w:val="24"/>
          <w:szCs w:val="24"/>
        </w:rPr>
        <w:t xml:space="preserve">, Cleaver, F. and </w:t>
      </w:r>
      <w:proofErr w:type="spellStart"/>
      <w:r w:rsidRPr="00A019E1">
        <w:rPr>
          <w:rFonts w:ascii="Times New Roman" w:hAnsi="Times New Roman" w:cs="Times New Roman"/>
          <w:sz w:val="24"/>
          <w:szCs w:val="24"/>
        </w:rPr>
        <w:t>Dupras</w:t>
      </w:r>
      <w:proofErr w:type="spellEnd"/>
      <w:r w:rsidRPr="00A019E1">
        <w:rPr>
          <w:rFonts w:ascii="Times New Roman" w:hAnsi="Times New Roman" w:cs="Times New Roman"/>
          <w:sz w:val="24"/>
          <w:szCs w:val="24"/>
        </w:rPr>
        <w:t xml:space="preserve">, J. (2021). Towards collective action in ecosystem services governance: The recognition of social interdependencies in three collective agri-environmental initiatives in Quebec. </w:t>
      </w:r>
      <w:r w:rsidRPr="00A019E1">
        <w:rPr>
          <w:rFonts w:ascii="Times New Roman" w:hAnsi="Times New Roman" w:cs="Times New Roman"/>
          <w:sz w:val="24"/>
          <w:szCs w:val="24"/>
          <w:lang w:val="de-DE"/>
        </w:rPr>
        <w:t>Ecosystem Services, 15, 101357.</w:t>
      </w:r>
    </w:p>
    <w:p w14:paraId="04DC983E"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
    <w:p w14:paraId="1DC93E52" w14:textId="77777777" w:rsidR="008438FF" w:rsidRPr="00A019E1" w:rsidRDefault="008438FF" w:rsidP="008438FF">
      <w:pPr>
        <w:spacing w:after="0" w:line="360" w:lineRule="auto"/>
        <w:ind w:left="720" w:hanging="720"/>
        <w:jc w:val="both"/>
        <w:rPr>
          <w:rFonts w:ascii="Times New Roman" w:hAnsi="Times New Roman" w:cs="Times New Roman"/>
          <w:sz w:val="24"/>
          <w:szCs w:val="24"/>
        </w:rPr>
      </w:pPr>
    </w:p>
    <w:p w14:paraId="4C688151" w14:textId="77777777" w:rsidR="008438FF" w:rsidRPr="00A019E1" w:rsidRDefault="008438FF" w:rsidP="008438FF">
      <w:pPr>
        <w:spacing w:line="360" w:lineRule="auto"/>
        <w:jc w:val="both"/>
        <w:rPr>
          <w:rFonts w:ascii="Times New Roman" w:hAnsi="Times New Roman" w:cs="Times New Roman"/>
          <w:sz w:val="24"/>
          <w:szCs w:val="24"/>
        </w:rPr>
      </w:pPr>
    </w:p>
    <w:sectPr w:rsidR="008438FF" w:rsidRPr="00A019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05E9" w14:textId="77777777" w:rsidR="00CA03D3" w:rsidRDefault="00CA03D3" w:rsidP="003462B4">
      <w:pPr>
        <w:spacing w:after="0" w:line="240" w:lineRule="auto"/>
      </w:pPr>
      <w:r>
        <w:separator/>
      </w:r>
    </w:p>
  </w:endnote>
  <w:endnote w:type="continuationSeparator" w:id="0">
    <w:p w14:paraId="45036883" w14:textId="77777777" w:rsidR="00CA03D3" w:rsidRDefault="00CA03D3" w:rsidP="0034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738123"/>
      <w:docPartObj>
        <w:docPartGallery w:val="Page Numbers (Bottom of Page)"/>
        <w:docPartUnique/>
      </w:docPartObj>
    </w:sdtPr>
    <w:sdtEndPr>
      <w:rPr>
        <w:noProof/>
      </w:rPr>
    </w:sdtEndPr>
    <w:sdtContent>
      <w:p w14:paraId="0137CF4E" w14:textId="40121126" w:rsidR="00130127" w:rsidRDefault="00130127">
        <w:pPr>
          <w:pStyle w:val="Footer"/>
          <w:jc w:val="center"/>
        </w:pPr>
        <w:r>
          <w:fldChar w:fldCharType="begin"/>
        </w:r>
        <w:r>
          <w:instrText xml:space="preserve"> PAGE   \* MERGEFORMAT </w:instrText>
        </w:r>
        <w:r>
          <w:fldChar w:fldCharType="separate"/>
        </w:r>
        <w:r w:rsidR="00C5770D">
          <w:rPr>
            <w:noProof/>
          </w:rPr>
          <w:t>12</w:t>
        </w:r>
        <w:r>
          <w:rPr>
            <w:noProof/>
          </w:rPr>
          <w:fldChar w:fldCharType="end"/>
        </w:r>
      </w:p>
    </w:sdtContent>
  </w:sdt>
  <w:p w14:paraId="61F52069" w14:textId="77777777" w:rsidR="00130127" w:rsidRDefault="0013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1B39" w14:textId="77777777" w:rsidR="00CA03D3" w:rsidRDefault="00CA03D3" w:rsidP="003462B4">
      <w:pPr>
        <w:spacing w:after="0" w:line="240" w:lineRule="auto"/>
      </w:pPr>
      <w:r>
        <w:separator/>
      </w:r>
    </w:p>
  </w:footnote>
  <w:footnote w:type="continuationSeparator" w:id="0">
    <w:p w14:paraId="7D4A4F72" w14:textId="77777777" w:rsidR="00CA03D3" w:rsidRDefault="00CA03D3" w:rsidP="003462B4">
      <w:pPr>
        <w:spacing w:after="0" w:line="240" w:lineRule="auto"/>
      </w:pPr>
      <w:r>
        <w:continuationSeparator/>
      </w:r>
    </w:p>
  </w:footnote>
  <w:footnote w:id="1">
    <w:p w14:paraId="0610C6A9" w14:textId="77777777" w:rsidR="008438FF" w:rsidRDefault="008438FF" w:rsidP="008438FF">
      <w:pPr>
        <w:pStyle w:val="FootnoteText"/>
        <w:spacing w:line="360" w:lineRule="auto"/>
      </w:pPr>
      <w:r>
        <w:rPr>
          <w:rStyle w:val="FootnoteReference"/>
        </w:rPr>
        <w:footnoteRef/>
      </w:r>
      <w:r>
        <w:t xml:space="preserve"> </w:t>
      </w:r>
      <w:r w:rsidRPr="00B04BC2">
        <w:rPr>
          <w:rFonts w:ascii="Times New Roman" w:hAnsi="Times New Roman" w:cs="Times New Roman"/>
        </w:rPr>
        <w:t xml:space="preserve">Collective bonus is the </w:t>
      </w:r>
      <w:r>
        <w:rPr>
          <w:rFonts w:ascii="Times New Roman" w:hAnsi="Times New Roman" w:cs="Times New Roman"/>
        </w:rPr>
        <w:t>amount</w:t>
      </w:r>
      <w:r w:rsidRPr="00B04BC2">
        <w:rPr>
          <w:rFonts w:ascii="Times New Roman" w:hAnsi="Times New Roman" w:cs="Times New Roman"/>
        </w:rPr>
        <w:t xml:space="preserve"> </w:t>
      </w:r>
      <w:r>
        <w:rPr>
          <w:rFonts w:ascii="Times New Roman" w:hAnsi="Times New Roman" w:cs="Times New Roman"/>
        </w:rPr>
        <w:t xml:space="preserve">paid </w:t>
      </w:r>
      <w:r w:rsidRPr="00B04BC2">
        <w:rPr>
          <w:rFonts w:ascii="Times New Roman" w:hAnsi="Times New Roman" w:cs="Times New Roman"/>
        </w:rPr>
        <w:t>to a community or group of people</w:t>
      </w:r>
      <w:r>
        <w:rPr>
          <w:rFonts w:ascii="Times New Roman" w:hAnsi="Times New Roman" w:cs="Times New Roman"/>
        </w:rPr>
        <w:t>, in addition to a baseline payment for aggregate participation in conservation</w:t>
      </w:r>
      <w:r w:rsidRPr="00B04BC2">
        <w:rPr>
          <w:rFonts w:ascii="Times New Roman" w:hAnsi="Times New Roman" w:cs="Times New Roman"/>
        </w:rPr>
        <w:t xml:space="preserve"> beyond certain threshold</w:t>
      </w:r>
      <w:r>
        <w:rPr>
          <w:rFonts w:ascii="Times New Roman" w:hAnsi="Times New Roman" w:cs="Times New Roman"/>
        </w:rPr>
        <w:t xml:space="preserve"> (Kuhfuss </w:t>
      </w:r>
      <w:r w:rsidRPr="00157267">
        <w:rPr>
          <w:rFonts w:ascii="Times New Roman" w:hAnsi="Times New Roman" w:cs="Times New Roman"/>
          <w:i/>
          <w:iCs/>
        </w:rPr>
        <w:t xml:space="preserve">et al. </w:t>
      </w:r>
      <w:r>
        <w:rPr>
          <w:rFonts w:ascii="Times New Roman" w:hAnsi="Times New Roman" w:cs="Times New Roman"/>
        </w:rPr>
        <w:t xml:space="preserve">2016; Kaczan </w:t>
      </w:r>
      <w:r w:rsidRPr="00B04BC2">
        <w:rPr>
          <w:rFonts w:ascii="Times New Roman" w:hAnsi="Times New Roman" w:cs="Times New Roman"/>
          <w:i/>
          <w:iCs/>
        </w:rPr>
        <w:t>et al.</w:t>
      </w:r>
      <w:r w:rsidRPr="00B04BC2">
        <w:rPr>
          <w:rFonts w:ascii="Times New Roman" w:hAnsi="Times New Roman" w:cs="Times New Roman"/>
        </w:rPr>
        <w:t xml:space="preserve"> </w:t>
      </w:r>
      <w:r>
        <w:rPr>
          <w:rFonts w:ascii="Times New Roman" w:hAnsi="Times New Roman" w:cs="Times New Roman"/>
        </w:rPr>
        <w:t>2017)</w:t>
      </w:r>
    </w:p>
  </w:footnote>
  <w:footnote w:id="2">
    <w:p w14:paraId="4CA1F59E" w14:textId="77777777" w:rsidR="008438FF" w:rsidRPr="00B04BC2" w:rsidRDefault="008438FF" w:rsidP="008438FF">
      <w:pPr>
        <w:pStyle w:val="FootnoteText"/>
        <w:spacing w:line="360" w:lineRule="auto"/>
        <w:jc w:val="both"/>
        <w:rPr>
          <w:rFonts w:ascii="Times New Roman" w:hAnsi="Times New Roman" w:cs="Times New Roman"/>
        </w:rPr>
      </w:pPr>
      <w:r w:rsidRPr="00B04BC2">
        <w:rPr>
          <w:rStyle w:val="FootnoteReference"/>
        </w:rPr>
        <w:footnoteRef/>
      </w:r>
      <w:r w:rsidRPr="00B04BC2">
        <w:t xml:space="preserve"> </w:t>
      </w:r>
      <w:r w:rsidRPr="00B04BC2">
        <w:rPr>
          <w:rFonts w:ascii="Times New Roman" w:hAnsi="Times New Roman" w:cs="Times New Roman"/>
        </w:rPr>
        <w:t xml:space="preserve">A community payment is </w:t>
      </w:r>
      <w:r>
        <w:rPr>
          <w:rFonts w:ascii="Times New Roman" w:hAnsi="Times New Roman" w:cs="Times New Roman"/>
        </w:rPr>
        <w:t xml:space="preserve">the baseline amount paid </w:t>
      </w:r>
      <w:r w:rsidRPr="00B04BC2">
        <w:rPr>
          <w:rFonts w:ascii="Times New Roman" w:hAnsi="Times New Roman" w:cs="Times New Roman"/>
        </w:rPr>
        <w:t xml:space="preserve">to </w:t>
      </w:r>
      <w:r>
        <w:rPr>
          <w:rFonts w:ascii="Times New Roman" w:hAnsi="Times New Roman" w:cs="Times New Roman"/>
        </w:rPr>
        <w:t xml:space="preserve">an intermediary </w:t>
      </w:r>
      <w:r w:rsidRPr="00B04BC2">
        <w:rPr>
          <w:rFonts w:ascii="Times New Roman" w:hAnsi="Times New Roman" w:cs="Times New Roman"/>
        </w:rPr>
        <w:t>on behalf</w:t>
      </w:r>
      <w:r w:rsidRPr="00B04BC2">
        <w:t xml:space="preserve"> </w:t>
      </w:r>
      <w:r w:rsidRPr="00B04BC2">
        <w:rPr>
          <w:rFonts w:ascii="Times New Roman" w:hAnsi="Times New Roman" w:cs="Times New Roman"/>
        </w:rPr>
        <w:t xml:space="preserve">of the community </w:t>
      </w:r>
      <w:r>
        <w:rPr>
          <w:rFonts w:ascii="Times New Roman" w:hAnsi="Times New Roman" w:cs="Times New Roman"/>
        </w:rPr>
        <w:t xml:space="preserve">as </w:t>
      </w:r>
      <w:r w:rsidRPr="00B04BC2">
        <w:rPr>
          <w:rFonts w:ascii="Times New Roman" w:hAnsi="Times New Roman" w:cs="Times New Roman"/>
        </w:rPr>
        <w:t xml:space="preserve">compensation for conservation behaviour </w:t>
      </w:r>
      <w:r>
        <w:rPr>
          <w:rFonts w:ascii="Times New Roman" w:hAnsi="Times New Roman" w:cs="Times New Roman"/>
        </w:rPr>
        <w:t xml:space="preserve">after reaching a certain threshold </w:t>
      </w:r>
      <w:r w:rsidRPr="00B04BC2">
        <w:rPr>
          <w:rFonts w:ascii="Times New Roman" w:hAnsi="Times New Roman" w:cs="Times New Roman"/>
        </w:rPr>
        <w:t>(Hayes and Murtinho,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1D09" w14:textId="3ACABD02" w:rsidR="00130127" w:rsidRDefault="00130127">
    <w:pPr>
      <w:pStyle w:val="Header"/>
      <w:jc w:val="center"/>
    </w:pPr>
  </w:p>
  <w:p w14:paraId="4578EEA4" w14:textId="77777777" w:rsidR="00130127" w:rsidRDefault="00130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995"/>
    <w:multiLevelType w:val="hybridMultilevel"/>
    <w:tmpl w:val="D28C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3C43"/>
    <w:multiLevelType w:val="hybridMultilevel"/>
    <w:tmpl w:val="7306068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07A59"/>
    <w:multiLevelType w:val="hybridMultilevel"/>
    <w:tmpl w:val="D6783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E5515"/>
    <w:multiLevelType w:val="hybridMultilevel"/>
    <w:tmpl w:val="3A06874A"/>
    <w:lvl w:ilvl="0" w:tplc="0809000F">
      <w:start w:val="1"/>
      <w:numFmt w:val="decimal"/>
      <w:lvlText w:val="%1."/>
      <w:lvlJc w:val="left"/>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C464A"/>
    <w:multiLevelType w:val="hybridMultilevel"/>
    <w:tmpl w:val="73F63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85448"/>
    <w:multiLevelType w:val="hybridMultilevel"/>
    <w:tmpl w:val="0F1A9DBE"/>
    <w:lvl w:ilvl="0" w:tplc="08090011">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168AC"/>
    <w:multiLevelType w:val="hybridMultilevel"/>
    <w:tmpl w:val="CAF2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1BE3"/>
    <w:multiLevelType w:val="hybridMultilevel"/>
    <w:tmpl w:val="FBCA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27ED2"/>
    <w:multiLevelType w:val="hybridMultilevel"/>
    <w:tmpl w:val="E7EE290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13CEA"/>
    <w:multiLevelType w:val="hybridMultilevel"/>
    <w:tmpl w:val="A0520A4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8B6C63"/>
    <w:multiLevelType w:val="hybridMultilevel"/>
    <w:tmpl w:val="A0520A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91994"/>
    <w:multiLevelType w:val="hybridMultilevel"/>
    <w:tmpl w:val="134E1D34"/>
    <w:lvl w:ilvl="0" w:tplc="92D0D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B74C88"/>
    <w:multiLevelType w:val="hybridMultilevel"/>
    <w:tmpl w:val="923CB47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DE0219"/>
    <w:multiLevelType w:val="multilevel"/>
    <w:tmpl w:val="7194C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1F3FA2"/>
    <w:multiLevelType w:val="multilevel"/>
    <w:tmpl w:val="DB4EE7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77497C"/>
    <w:multiLevelType w:val="hybridMultilevel"/>
    <w:tmpl w:val="DC6222B0"/>
    <w:lvl w:ilvl="0" w:tplc="305EFD0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936BE"/>
    <w:multiLevelType w:val="hybridMultilevel"/>
    <w:tmpl w:val="586E04AA"/>
    <w:lvl w:ilvl="0" w:tplc="08090015">
      <w:start w:val="1"/>
      <w:numFmt w:val="upperLetter"/>
      <w:lvlText w:val="%1."/>
      <w:lvlJc w:val="left"/>
      <w:pPr>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3540FD"/>
    <w:multiLevelType w:val="hybridMultilevel"/>
    <w:tmpl w:val="C5B2BCFA"/>
    <w:lvl w:ilvl="0" w:tplc="427E4C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00CB2"/>
    <w:multiLevelType w:val="hybridMultilevel"/>
    <w:tmpl w:val="11543356"/>
    <w:lvl w:ilvl="0" w:tplc="03345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D402C"/>
    <w:multiLevelType w:val="multilevel"/>
    <w:tmpl w:val="172C39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65153B"/>
    <w:multiLevelType w:val="hybridMultilevel"/>
    <w:tmpl w:val="4AA64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83151"/>
    <w:multiLevelType w:val="multilevel"/>
    <w:tmpl w:val="0AFEF4A6"/>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99084F"/>
    <w:multiLevelType w:val="hybridMultilevel"/>
    <w:tmpl w:val="12606F3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A53C1"/>
    <w:multiLevelType w:val="hybridMultilevel"/>
    <w:tmpl w:val="C46270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B613CF"/>
    <w:multiLevelType w:val="hybridMultilevel"/>
    <w:tmpl w:val="23BC63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282F3C"/>
    <w:multiLevelType w:val="hybridMultilevel"/>
    <w:tmpl w:val="AAF05C66"/>
    <w:lvl w:ilvl="0" w:tplc="94B8F996">
      <w:start w:val="2"/>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E1553"/>
    <w:multiLevelType w:val="hybridMultilevel"/>
    <w:tmpl w:val="FA72AAB6"/>
    <w:lvl w:ilvl="0" w:tplc="03CAAC2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BF08CA"/>
    <w:multiLevelType w:val="hybridMultilevel"/>
    <w:tmpl w:val="FD9ABE22"/>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10D5C"/>
    <w:multiLevelType w:val="hybridMultilevel"/>
    <w:tmpl w:val="8514B9E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B54223"/>
    <w:multiLevelType w:val="multilevel"/>
    <w:tmpl w:val="076E5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46BA0584"/>
    <w:multiLevelType w:val="hybridMultilevel"/>
    <w:tmpl w:val="8FB4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72F8E"/>
    <w:multiLevelType w:val="hybridMultilevel"/>
    <w:tmpl w:val="5DE0C4A8"/>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386148F"/>
    <w:multiLevelType w:val="hybridMultilevel"/>
    <w:tmpl w:val="B5F63D06"/>
    <w:lvl w:ilvl="0" w:tplc="1F5C6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494588"/>
    <w:multiLevelType w:val="multilevel"/>
    <w:tmpl w:val="8B7814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8918CF"/>
    <w:multiLevelType w:val="multilevel"/>
    <w:tmpl w:val="FA309D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B2AD6"/>
    <w:multiLevelType w:val="hybridMultilevel"/>
    <w:tmpl w:val="6E8ECCDE"/>
    <w:lvl w:ilvl="0" w:tplc="0809000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CC0CAD"/>
    <w:multiLevelType w:val="hybridMultilevel"/>
    <w:tmpl w:val="227E8A5C"/>
    <w:lvl w:ilvl="0" w:tplc="1426650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0382D"/>
    <w:multiLevelType w:val="hybridMultilevel"/>
    <w:tmpl w:val="851A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5031E"/>
    <w:multiLevelType w:val="hybridMultilevel"/>
    <w:tmpl w:val="4E44FD66"/>
    <w:lvl w:ilvl="0" w:tplc="0809000F">
      <w:start w:val="1"/>
      <w:numFmt w:val="decimal"/>
      <w:lvlText w:val="%1."/>
      <w:lvlJc w:val="left"/>
      <w:pPr>
        <w:ind w:left="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C3026"/>
    <w:multiLevelType w:val="hybridMultilevel"/>
    <w:tmpl w:val="CD0E4954"/>
    <w:lvl w:ilvl="0" w:tplc="08090005">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C617F"/>
    <w:multiLevelType w:val="hybridMultilevel"/>
    <w:tmpl w:val="3ED6E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EC32E4"/>
    <w:multiLevelType w:val="hybridMultilevel"/>
    <w:tmpl w:val="2ED623C4"/>
    <w:lvl w:ilvl="0" w:tplc="45729C3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200087"/>
    <w:multiLevelType w:val="hybridMultilevel"/>
    <w:tmpl w:val="E8242EA2"/>
    <w:lvl w:ilvl="0" w:tplc="B4C695C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A06EB7"/>
    <w:multiLevelType w:val="hybridMultilevel"/>
    <w:tmpl w:val="659C9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B4FFB"/>
    <w:multiLevelType w:val="multilevel"/>
    <w:tmpl w:val="172C39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FC4E3B"/>
    <w:multiLevelType w:val="hybridMultilevel"/>
    <w:tmpl w:val="E714AE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4251846">
    <w:abstractNumId w:val="39"/>
  </w:num>
  <w:num w:numId="2" w16cid:durableId="2080520054">
    <w:abstractNumId w:val="4"/>
  </w:num>
  <w:num w:numId="3" w16cid:durableId="1253121563">
    <w:abstractNumId w:val="20"/>
  </w:num>
  <w:num w:numId="4" w16cid:durableId="302197141">
    <w:abstractNumId w:val="12"/>
  </w:num>
  <w:num w:numId="5" w16cid:durableId="220361000">
    <w:abstractNumId w:val="2"/>
  </w:num>
  <w:num w:numId="6" w16cid:durableId="208808956">
    <w:abstractNumId w:val="5"/>
  </w:num>
  <w:num w:numId="7" w16cid:durableId="565189065">
    <w:abstractNumId w:val="11"/>
  </w:num>
  <w:num w:numId="8" w16cid:durableId="1710031524">
    <w:abstractNumId w:val="23"/>
  </w:num>
  <w:num w:numId="9" w16cid:durableId="452674769">
    <w:abstractNumId w:val="43"/>
  </w:num>
  <w:num w:numId="10" w16cid:durableId="332267742">
    <w:abstractNumId w:val="16"/>
  </w:num>
  <w:num w:numId="11" w16cid:durableId="572591389">
    <w:abstractNumId w:val="24"/>
  </w:num>
  <w:num w:numId="12" w16cid:durableId="2034073006">
    <w:abstractNumId w:val="3"/>
  </w:num>
  <w:num w:numId="13" w16cid:durableId="48891696">
    <w:abstractNumId w:val="27"/>
  </w:num>
  <w:num w:numId="14" w16cid:durableId="28997440">
    <w:abstractNumId w:val="35"/>
  </w:num>
  <w:num w:numId="15" w16cid:durableId="730809882">
    <w:abstractNumId w:val="38"/>
  </w:num>
  <w:num w:numId="16" w16cid:durableId="209925065">
    <w:abstractNumId w:val="40"/>
  </w:num>
  <w:num w:numId="17" w16cid:durableId="556866360">
    <w:abstractNumId w:val="0"/>
  </w:num>
  <w:num w:numId="18" w16cid:durableId="355036617">
    <w:abstractNumId w:val="37"/>
  </w:num>
  <w:num w:numId="19" w16cid:durableId="1684474413">
    <w:abstractNumId w:val="6"/>
  </w:num>
  <w:num w:numId="20" w16cid:durableId="504830314">
    <w:abstractNumId w:val="19"/>
  </w:num>
  <w:num w:numId="21" w16cid:durableId="255722211">
    <w:abstractNumId w:val="13"/>
  </w:num>
  <w:num w:numId="22" w16cid:durableId="469976521">
    <w:abstractNumId w:val="18"/>
  </w:num>
  <w:num w:numId="23" w16cid:durableId="1716738985">
    <w:abstractNumId w:val="30"/>
  </w:num>
  <w:num w:numId="24" w16cid:durableId="736904693">
    <w:abstractNumId w:val="44"/>
  </w:num>
  <w:num w:numId="25" w16cid:durableId="1538471924">
    <w:abstractNumId w:val="29"/>
  </w:num>
  <w:num w:numId="26" w16cid:durableId="1024751917">
    <w:abstractNumId w:val="10"/>
  </w:num>
  <w:num w:numId="27" w16cid:durableId="2045980483">
    <w:abstractNumId w:val="9"/>
  </w:num>
  <w:num w:numId="28" w16cid:durableId="1257865197">
    <w:abstractNumId w:val="31"/>
  </w:num>
  <w:num w:numId="29" w16cid:durableId="110829466">
    <w:abstractNumId w:val="25"/>
  </w:num>
  <w:num w:numId="30" w16cid:durableId="424352091">
    <w:abstractNumId w:val="41"/>
  </w:num>
  <w:num w:numId="31" w16cid:durableId="2033144005">
    <w:abstractNumId w:val="17"/>
  </w:num>
  <w:num w:numId="32" w16cid:durableId="1811751236">
    <w:abstractNumId w:val="15"/>
  </w:num>
  <w:num w:numId="33" w16cid:durableId="1672221264">
    <w:abstractNumId w:val="42"/>
  </w:num>
  <w:num w:numId="34" w16cid:durableId="687948404">
    <w:abstractNumId w:val="26"/>
  </w:num>
  <w:num w:numId="35" w16cid:durableId="782462998">
    <w:abstractNumId w:val="7"/>
  </w:num>
  <w:num w:numId="36" w16cid:durableId="1090472820">
    <w:abstractNumId w:val="14"/>
  </w:num>
  <w:num w:numId="37" w16cid:durableId="2026663777">
    <w:abstractNumId w:val="45"/>
  </w:num>
  <w:num w:numId="38" w16cid:durableId="433867145">
    <w:abstractNumId w:val="21"/>
  </w:num>
  <w:num w:numId="39" w16cid:durableId="1662002618">
    <w:abstractNumId w:val="32"/>
  </w:num>
  <w:num w:numId="40" w16cid:durableId="127549797">
    <w:abstractNumId w:val="1"/>
  </w:num>
  <w:num w:numId="41" w16cid:durableId="243999284">
    <w:abstractNumId w:val="28"/>
  </w:num>
  <w:num w:numId="42" w16cid:durableId="1732148821">
    <w:abstractNumId w:val="22"/>
  </w:num>
  <w:num w:numId="43" w16cid:durableId="1268080157">
    <w:abstractNumId w:val="8"/>
  </w:num>
  <w:num w:numId="44" w16cid:durableId="1313828892">
    <w:abstractNumId w:val="34"/>
  </w:num>
  <w:num w:numId="45" w16cid:durableId="701979032">
    <w:abstractNumId w:val="36"/>
  </w:num>
  <w:num w:numId="46" w16cid:durableId="4312437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NzMyszQxNrUwNjFR0lEKTi0uzszPAykwNKgFAEn76pctAAAA"/>
  </w:docVars>
  <w:rsids>
    <w:rsidRoot w:val="00572036"/>
    <w:rsid w:val="00000F12"/>
    <w:rsid w:val="00000F1D"/>
    <w:rsid w:val="00002E69"/>
    <w:rsid w:val="000051D8"/>
    <w:rsid w:val="000129C3"/>
    <w:rsid w:val="000132EC"/>
    <w:rsid w:val="00021A0F"/>
    <w:rsid w:val="00021EC8"/>
    <w:rsid w:val="00022C32"/>
    <w:rsid w:val="00023BB3"/>
    <w:rsid w:val="000257E3"/>
    <w:rsid w:val="00026C99"/>
    <w:rsid w:val="00026F6B"/>
    <w:rsid w:val="00032805"/>
    <w:rsid w:val="00033136"/>
    <w:rsid w:val="000331F8"/>
    <w:rsid w:val="00041D93"/>
    <w:rsid w:val="0004478F"/>
    <w:rsid w:val="00044FC7"/>
    <w:rsid w:val="00045A1C"/>
    <w:rsid w:val="0005099F"/>
    <w:rsid w:val="0005111C"/>
    <w:rsid w:val="000527F1"/>
    <w:rsid w:val="00056050"/>
    <w:rsid w:val="00056372"/>
    <w:rsid w:val="00071201"/>
    <w:rsid w:val="000754F4"/>
    <w:rsid w:val="00081392"/>
    <w:rsid w:val="0008287A"/>
    <w:rsid w:val="00087AA5"/>
    <w:rsid w:val="00090D64"/>
    <w:rsid w:val="00093DD1"/>
    <w:rsid w:val="0009526B"/>
    <w:rsid w:val="00095BC2"/>
    <w:rsid w:val="000A07E8"/>
    <w:rsid w:val="000A08FA"/>
    <w:rsid w:val="000B36B2"/>
    <w:rsid w:val="000B4163"/>
    <w:rsid w:val="000B7F56"/>
    <w:rsid w:val="000C3DDD"/>
    <w:rsid w:val="000C4CE5"/>
    <w:rsid w:val="000C7C39"/>
    <w:rsid w:val="000D05B7"/>
    <w:rsid w:val="000D14FE"/>
    <w:rsid w:val="000D6A4D"/>
    <w:rsid w:val="000D7ABB"/>
    <w:rsid w:val="000E16C7"/>
    <w:rsid w:val="000F5C19"/>
    <w:rsid w:val="00104E37"/>
    <w:rsid w:val="00105774"/>
    <w:rsid w:val="00106AD9"/>
    <w:rsid w:val="00112E20"/>
    <w:rsid w:val="00113CD5"/>
    <w:rsid w:val="001151FC"/>
    <w:rsid w:val="00115B53"/>
    <w:rsid w:val="00116647"/>
    <w:rsid w:val="00120940"/>
    <w:rsid w:val="00121E3A"/>
    <w:rsid w:val="001241EE"/>
    <w:rsid w:val="0012633A"/>
    <w:rsid w:val="00130127"/>
    <w:rsid w:val="00131CA5"/>
    <w:rsid w:val="00134CB3"/>
    <w:rsid w:val="001405DB"/>
    <w:rsid w:val="00140B24"/>
    <w:rsid w:val="00142262"/>
    <w:rsid w:val="00145F28"/>
    <w:rsid w:val="00154C16"/>
    <w:rsid w:val="001553F2"/>
    <w:rsid w:val="00166C9E"/>
    <w:rsid w:val="00166CBA"/>
    <w:rsid w:val="00167582"/>
    <w:rsid w:val="00167618"/>
    <w:rsid w:val="00170CC9"/>
    <w:rsid w:val="00172E0D"/>
    <w:rsid w:val="00172E92"/>
    <w:rsid w:val="00176CA9"/>
    <w:rsid w:val="001802C8"/>
    <w:rsid w:val="001809E4"/>
    <w:rsid w:val="00183F04"/>
    <w:rsid w:val="0018445F"/>
    <w:rsid w:val="00185528"/>
    <w:rsid w:val="0018637C"/>
    <w:rsid w:val="00192D9E"/>
    <w:rsid w:val="00192EBE"/>
    <w:rsid w:val="00195328"/>
    <w:rsid w:val="00195890"/>
    <w:rsid w:val="001A1E1C"/>
    <w:rsid w:val="001A352F"/>
    <w:rsid w:val="001A3B30"/>
    <w:rsid w:val="001B3081"/>
    <w:rsid w:val="001B4DE3"/>
    <w:rsid w:val="001B538E"/>
    <w:rsid w:val="001B6E0C"/>
    <w:rsid w:val="001C199B"/>
    <w:rsid w:val="001C1AB7"/>
    <w:rsid w:val="001C38AF"/>
    <w:rsid w:val="001C4B74"/>
    <w:rsid w:val="001C5502"/>
    <w:rsid w:val="001C79F2"/>
    <w:rsid w:val="001C7E52"/>
    <w:rsid w:val="001D0155"/>
    <w:rsid w:val="001D1F9A"/>
    <w:rsid w:val="001D750C"/>
    <w:rsid w:val="001E0E7E"/>
    <w:rsid w:val="001E5C7A"/>
    <w:rsid w:val="001F00EB"/>
    <w:rsid w:val="001F4280"/>
    <w:rsid w:val="001F721D"/>
    <w:rsid w:val="00200FF1"/>
    <w:rsid w:val="002029AD"/>
    <w:rsid w:val="002030D2"/>
    <w:rsid w:val="0020436A"/>
    <w:rsid w:val="002043D1"/>
    <w:rsid w:val="00205872"/>
    <w:rsid w:val="00217622"/>
    <w:rsid w:val="00217A65"/>
    <w:rsid w:val="00220608"/>
    <w:rsid w:val="00220822"/>
    <w:rsid w:val="00221711"/>
    <w:rsid w:val="00221F98"/>
    <w:rsid w:val="00222A2E"/>
    <w:rsid w:val="002230F9"/>
    <w:rsid w:val="002378B3"/>
    <w:rsid w:val="00241801"/>
    <w:rsid w:val="00242533"/>
    <w:rsid w:val="00247BE8"/>
    <w:rsid w:val="0025152B"/>
    <w:rsid w:val="002544F7"/>
    <w:rsid w:val="00257DC8"/>
    <w:rsid w:val="00260C4A"/>
    <w:rsid w:val="00261A0E"/>
    <w:rsid w:val="002709A8"/>
    <w:rsid w:val="00271332"/>
    <w:rsid w:val="00271956"/>
    <w:rsid w:val="00274570"/>
    <w:rsid w:val="00275129"/>
    <w:rsid w:val="00280D67"/>
    <w:rsid w:val="00280E6F"/>
    <w:rsid w:val="00281A59"/>
    <w:rsid w:val="00282898"/>
    <w:rsid w:val="0028315E"/>
    <w:rsid w:val="002857DB"/>
    <w:rsid w:val="00285BEE"/>
    <w:rsid w:val="00286CEF"/>
    <w:rsid w:val="0029082D"/>
    <w:rsid w:val="002955AE"/>
    <w:rsid w:val="002A166D"/>
    <w:rsid w:val="002B054F"/>
    <w:rsid w:val="002B14E1"/>
    <w:rsid w:val="002B59C0"/>
    <w:rsid w:val="002B6C1E"/>
    <w:rsid w:val="002B7B59"/>
    <w:rsid w:val="002C3A1D"/>
    <w:rsid w:val="002C623C"/>
    <w:rsid w:val="002D0D29"/>
    <w:rsid w:val="002D5BE6"/>
    <w:rsid w:val="002D68E3"/>
    <w:rsid w:val="002D6961"/>
    <w:rsid w:val="002E3E04"/>
    <w:rsid w:val="002F1F78"/>
    <w:rsid w:val="002F63BC"/>
    <w:rsid w:val="00302B35"/>
    <w:rsid w:val="00302B37"/>
    <w:rsid w:val="003125B7"/>
    <w:rsid w:val="00313325"/>
    <w:rsid w:val="003172F7"/>
    <w:rsid w:val="003237BB"/>
    <w:rsid w:val="003243D1"/>
    <w:rsid w:val="00327B75"/>
    <w:rsid w:val="00332CF8"/>
    <w:rsid w:val="003335C8"/>
    <w:rsid w:val="00334BA3"/>
    <w:rsid w:val="0033725A"/>
    <w:rsid w:val="00345688"/>
    <w:rsid w:val="00346143"/>
    <w:rsid w:val="003462B4"/>
    <w:rsid w:val="003473FC"/>
    <w:rsid w:val="00347C67"/>
    <w:rsid w:val="003524BC"/>
    <w:rsid w:val="00354398"/>
    <w:rsid w:val="00355C65"/>
    <w:rsid w:val="00357014"/>
    <w:rsid w:val="00357AD6"/>
    <w:rsid w:val="003606E4"/>
    <w:rsid w:val="00362986"/>
    <w:rsid w:val="00365D52"/>
    <w:rsid w:val="0037134C"/>
    <w:rsid w:val="003714C6"/>
    <w:rsid w:val="003730F9"/>
    <w:rsid w:val="003745B4"/>
    <w:rsid w:val="00376557"/>
    <w:rsid w:val="003803BC"/>
    <w:rsid w:val="00382E19"/>
    <w:rsid w:val="00383388"/>
    <w:rsid w:val="0039354E"/>
    <w:rsid w:val="0039768A"/>
    <w:rsid w:val="003A410A"/>
    <w:rsid w:val="003B024A"/>
    <w:rsid w:val="003B2C40"/>
    <w:rsid w:val="003B38BD"/>
    <w:rsid w:val="003B3D36"/>
    <w:rsid w:val="003B4426"/>
    <w:rsid w:val="003C2239"/>
    <w:rsid w:val="003C2BCA"/>
    <w:rsid w:val="003C355F"/>
    <w:rsid w:val="003C4835"/>
    <w:rsid w:val="003C6977"/>
    <w:rsid w:val="003C760D"/>
    <w:rsid w:val="003D1E9C"/>
    <w:rsid w:val="003D3A93"/>
    <w:rsid w:val="003D5E2E"/>
    <w:rsid w:val="003E0E0E"/>
    <w:rsid w:val="003E142A"/>
    <w:rsid w:val="003E1AA2"/>
    <w:rsid w:val="003E1B3B"/>
    <w:rsid w:val="003E1E3E"/>
    <w:rsid w:val="003E6A29"/>
    <w:rsid w:val="003F79E1"/>
    <w:rsid w:val="0040350F"/>
    <w:rsid w:val="0040442F"/>
    <w:rsid w:val="004053DB"/>
    <w:rsid w:val="0040620E"/>
    <w:rsid w:val="00411002"/>
    <w:rsid w:val="004131DD"/>
    <w:rsid w:val="00414382"/>
    <w:rsid w:val="00415B82"/>
    <w:rsid w:val="00427A2B"/>
    <w:rsid w:val="00430E43"/>
    <w:rsid w:val="00432E6F"/>
    <w:rsid w:val="00433951"/>
    <w:rsid w:val="00441327"/>
    <w:rsid w:val="004455F4"/>
    <w:rsid w:val="004557B1"/>
    <w:rsid w:val="00461679"/>
    <w:rsid w:val="00462415"/>
    <w:rsid w:val="00466C74"/>
    <w:rsid w:val="00472D24"/>
    <w:rsid w:val="00477672"/>
    <w:rsid w:val="00480C6B"/>
    <w:rsid w:val="0048169B"/>
    <w:rsid w:val="00482738"/>
    <w:rsid w:val="0049048B"/>
    <w:rsid w:val="00491858"/>
    <w:rsid w:val="004A6532"/>
    <w:rsid w:val="004B50A7"/>
    <w:rsid w:val="004B55A2"/>
    <w:rsid w:val="004B7A8A"/>
    <w:rsid w:val="004C0C3C"/>
    <w:rsid w:val="004C315C"/>
    <w:rsid w:val="004C62F4"/>
    <w:rsid w:val="004C65E9"/>
    <w:rsid w:val="004C65ED"/>
    <w:rsid w:val="004C79CE"/>
    <w:rsid w:val="004C7CDA"/>
    <w:rsid w:val="004D085D"/>
    <w:rsid w:val="004D3D3B"/>
    <w:rsid w:val="004D4405"/>
    <w:rsid w:val="004E502C"/>
    <w:rsid w:val="004E620D"/>
    <w:rsid w:val="004E77E5"/>
    <w:rsid w:val="004F1B99"/>
    <w:rsid w:val="004F2AA7"/>
    <w:rsid w:val="004F3121"/>
    <w:rsid w:val="004F40E1"/>
    <w:rsid w:val="004F682A"/>
    <w:rsid w:val="0050209F"/>
    <w:rsid w:val="00502594"/>
    <w:rsid w:val="00504325"/>
    <w:rsid w:val="005128E3"/>
    <w:rsid w:val="005136F1"/>
    <w:rsid w:val="00515BF8"/>
    <w:rsid w:val="00522FD9"/>
    <w:rsid w:val="005234D7"/>
    <w:rsid w:val="00523971"/>
    <w:rsid w:val="005250F6"/>
    <w:rsid w:val="00525BB1"/>
    <w:rsid w:val="005275B7"/>
    <w:rsid w:val="00532FD5"/>
    <w:rsid w:val="00536B88"/>
    <w:rsid w:val="005374A7"/>
    <w:rsid w:val="00541F57"/>
    <w:rsid w:val="00547C9D"/>
    <w:rsid w:val="0055263E"/>
    <w:rsid w:val="0055267F"/>
    <w:rsid w:val="005529C4"/>
    <w:rsid w:val="00553A42"/>
    <w:rsid w:val="00555298"/>
    <w:rsid w:val="005578B3"/>
    <w:rsid w:val="00563991"/>
    <w:rsid w:val="00564D72"/>
    <w:rsid w:val="00565158"/>
    <w:rsid w:val="00572036"/>
    <w:rsid w:val="005729A9"/>
    <w:rsid w:val="005763F4"/>
    <w:rsid w:val="005765D6"/>
    <w:rsid w:val="0058182F"/>
    <w:rsid w:val="00583DF6"/>
    <w:rsid w:val="00583F72"/>
    <w:rsid w:val="00586775"/>
    <w:rsid w:val="0059100D"/>
    <w:rsid w:val="00591C7C"/>
    <w:rsid w:val="00593545"/>
    <w:rsid w:val="00595970"/>
    <w:rsid w:val="005A0968"/>
    <w:rsid w:val="005B30E2"/>
    <w:rsid w:val="005B7F25"/>
    <w:rsid w:val="005C0F34"/>
    <w:rsid w:val="005C0FAD"/>
    <w:rsid w:val="005C15E3"/>
    <w:rsid w:val="005C5FF0"/>
    <w:rsid w:val="005D1FFE"/>
    <w:rsid w:val="005D7CDC"/>
    <w:rsid w:val="005E0977"/>
    <w:rsid w:val="005E2575"/>
    <w:rsid w:val="005E2EB7"/>
    <w:rsid w:val="005E3CD3"/>
    <w:rsid w:val="005E470A"/>
    <w:rsid w:val="005E5A77"/>
    <w:rsid w:val="005E621F"/>
    <w:rsid w:val="005F0410"/>
    <w:rsid w:val="005F50CB"/>
    <w:rsid w:val="005F5600"/>
    <w:rsid w:val="005F6762"/>
    <w:rsid w:val="005F7CC0"/>
    <w:rsid w:val="006059FB"/>
    <w:rsid w:val="006114A2"/>
    <w:rsid w:val="00613864"/>
    <w:rsid w:val="00613915"/>
    <w:rsid w:val="00614076"/>
    <w:rsid w:val="0061552F"/>
    <w:rsid w:val="0062098C"/>
    <w:rsid w:val="006252D9"/>
    <w:rsid w:val="00630CAC"/>
    <w:rsid w:val="006321BA"/>
    <w:rsid w:val="00634820"/>
    <w:rsid w:val="006436F1"/>
    <w:rsid w:val="00645720"/>
    <w:rsid w:val="00654A70"/>
    <w:rsid w:val="006568BF"/>
    <w:rsid w:val="006634BB"/>
    <w:rsid w:val="006702E1"/>
    <w:rsid w:val="006706B7"/>
    <w:rsid w:val="00671A60"/>
    <w:rsid w:val="00671E88"/>
    <w:rsid w:val="00683214"/>
    <w:rsid w:val="00684F05"/>
    <w:rsid w:val="006900C4"/>
    <w:rsid w:val="00691119"/>
    <w:rsid w:val="006919C8"/>
    <w:rsid w:val="00692F80"/>
    <w:rsid w:val="0069401B"/>
    <w:rsid w:val="006979C6"/>
    <w:rsid w:val="006A0A28"/>
    <w:rsid w:val="006A1D42"/>
    <w:rsid w:val="006A3EE3"/>
    <w:rsid w:val="006A43C3"/>
    <w:rsid w:val="006A60CE"/>
    <w:rsid w:val="006B04EB"/>
    <w:rsid w:val="006B1B3D"/>
    <w:rsid w:val="006C44C2"/>
    <w:rsid w:val="006C74DE"/>
    <w:rsid w:val="006D1127"/>
    <w:rsid w:val="006D32C3"/>
    <w:rsid w:val="006D3AEB"/>
    <w:rsid w:val="006D406D"/>
    <w:rsid w:val="006E2A17"/>
    <w:rsid w:val="006E4171"/>
    <w:rsid w:val="006E55DC"/>
    <w:rsid w:val="006E7B95"/>
    <w:rsid w:val="006E7C4F"/>
    <w:rsid w:val="0070213E"/>
    <w:rsid w:val="007052C3"/>
    <w:rsid w:val="00705DC3"/>
    <w:rsid w:val="007077E1"/>
    <w:rsid w:val="00717AB3"/>
    <w:rsid w:val="007211CB"/>
    <w:rsid w:val="007239A9"/>
    <w:rsid w:val="007340C4"/>
    <w:rsid w:val="007378EC"/>
    <w:rsid w:val="00744929"/>
    <w:rsid w:val="007533A6"/>
    <w:rsid w:val="007538B9"/>
    <w:rsid w:val="0075430C"/>
    <w:rsid w:val="00756D8D"/>
    <w:rsid w:val="0075762B"/>
    <w:rsid w:val="00760880"/>
    <w:rsid w:val="00761161"/>
    <w:rsid w:val="00765847"/>
    <w:rsid w:val="0076584F"/>
    <w:rsid w:val="00765991"/>
    <w:rsid w:val="00766C82"/>
    <w:rsid w:val="0076716F"/>
    <w:rsid w:val="007676B0"/>
    <w:rsid w:val="00775810"/>
    <w:rsid w:val="007776B2"/>
    <w:rsid w:val="00783B8F"/>
    <w:rsid w:val="0078476A"/>
    <w:rsid w:val="007853F0"/>
    <w:rsid w:val="00785600"/>
    <w:rsid w:val="0079118C"/>
    <w:rsid w:val="007915CC"/>
    <w:rsid w:val="00794F7C"/>
    <w:rsid w:val="007A1785"/>
    <w:rsid w:val="007A1F4A"/>
    <w:rsid w:val="007A37DA"/>
    <w:rsid w:val="007A6372"/>
    <w:rsid w:val="007C0DED"/>
    <w:rsid w:val="007C4A13"/>
    <w:rsid w:val="007C52F6"/>
    <w:rsid w:val="007C7D42"/>
    <w:rsid w:val="007D4CCB"/>
    <w:rsid w:val="007E0984"/>
    <w:rsid w:val="007E44E3"/>
    <w:rsid w:val="007E763E"/>
    <w:rsid w:val="007F052D"/>
    <w:rsid w:val="007F23B0"/>
    <w:rsid w:val="007F2CD0"/>
    <w:rsid w:val="00805CAF"/>
    <w:rsid w:val="00812117"/>
    <w:rsid w:val="00813984"/>
    <w:rsid w:val="0081448F"/>
    <w:rsid w:val="00814518"/>
    <w:rsid w:val="00821C74"/>
    <w:rsid w:val="00824E9B"/>
    <w:rsid w:val="00826801"/>
    <w:rsid w:val="008313D5"/>
    <w:rsid w:val="008329A3"/>
    <w:rsid w:val="008346DC"/>
    <w:rsid w:val="0083530A"/>
    <w:rsid w:val="00840298"/>
    <w:rsid w:val="008438FF"/>
    <w:rsid w:val="00846B0D"/>
    <w:rsid w:val="00850B02"/>
    <w:rsid w:val="00851BF4"/>
    <w:rsid w:val="00855EFB"/>
    <w:rsid w:val="008566E4"/>
    <w:rsid w:val="008618AA"/>
    <w:rsid w:val="00862DA1"/>
    <w:rsid w:val="0086332E"/>
    <w:rsid w:val="00864012"/>
    <w:rsid w:val="00872973"/>
    <w:rsid w:val="008739C3"/>
    <w:rsid w:val="008744B7"/>
    <w:rsid w:val="0087754B"/>
    <w:rsid w:val="008940B3"/>
    <w:rsid w:val="00894E4F"/>
    <w:rsid w:val="00895F83"/>
    <w:rsid w:val="008A178C"/>
    <w:rsid w:val="008B1934"/>
    <w:rsid w:val="008B31BE"/>
    <w:rsid w:val="008C0CED"/>
    <w:rsid w:val="008C0E02"/>
    <w:rsid w:val="008C3DD6"/>
    <w:rsid w:val="008D0D98"/>
    <w:rsid w:val="008D54A6"/>
    <w:rsid w:val="008D636A"/>
    <w:rsid w:val="008D6C74"/>
    <w:rsid w:val="008E4A39"/>
    <w:rsid w:val="008E7156"/>
    <w:rsid w:val="008F0BDE"/>
    <w:rsid w:val="008F22D5"/>
    <w:rsid w:val="008F3DFA"/>
    <w:rsid w:val="008F5455"/>
    <w:rsid w:val="008F57AA"/>
    <w:rsid w:val="00904221"/>
    <w:rsid w:val="00904D48"/>
    <w:rsid w:val="0092027F"/>
    <w:rsid w:val="00920CEA"/>
    <w:rsid w:val="00922E7E"/>
    <w:rsid w:val="00924F93"/>
    <w:rsid w:val="009301B4"/>
    <w:rsid w:val="009306B8"/>
    <w:rsid w:val="009309A8"/>
    <w:rsid w:val="00933305"/>
    <w:rsid w:val="0093381C"/>
    <w:rsid w:val="009345F9"/>
    <w:rsid w:val="009435DB"/>
    <w:rsid w:val="00945AAE"/>
    <w:rsid w:val="0095031A"/>
    <w:rsid w:val="00951F6B"/>
    <w:rsid w:val="00952846"/>
    <w:rsid w:val="00955D52"/>
    <w:rsid w:val="0096545F"/>
    <w:rsid w:val="00965528"/>
    <w:rsid w:val="00975998"/>
    <w:rsid w:val="00977414"/>
    <w:rsid w:val="009863D1"/>
    <w:rsid w:val="00990970"/>
    <w:rsid w:val="009935B1"/>
    <w:rsid w:val="00996050"/>
    <w:rsid w:val="009A317D"/>
    <w:rsid w:val="009A3F2B"/>
    <w:rsid w:val="009A79D3"/>
    <w:rsid w:val="009A7C8C"/>
    <w:rsid w:val="009A7FAD"/>
    <w:rsid w:val="009B21C0"/>
    <w:rsid w:val="009B431B"/>
    <w:rsid w:val="009B58CA"/>
    <w:rsid w:val="009B59BB"/>
    <w:rsid w:val="009B5F9B"/>
    <w:rsid w:val="009B71B5"/>
    <w:rsid w:val="009C6CD6"/>
    <w:rsid w:val="009D7AD7"/>
    <w:rsid w:val="009E08E6"/>
    <w:rsid w:val="009E24E4"/>
    <w:rsid w:val="009F339A"/>
    <w:rsid w:val="009F5427"/>
    <w:rsid w:val="00A019E1"/>
    <w:rsid w:val="00A124A2"/>
    <w:rsid w:val="00A17CDB"/>
    <w:rsid w:val="00A20316"/>
    <w:rsid w:val="00A25E0E"/>
    <w:rsid w:val="00A25EC2"/>
    <w:rsid w:val="00A30202"/>
    <w:rsid w:val="00A32B46"/>
    <w:rsid w:val="00A333B0"/>
    <w:rsid w:val="00A33640"/>
    <w:rsid w:val="00A34267"/>
    <w:rsid w:val="00A35663"/>
    <w:rsid w:val="00A36317"/>
    <w:rsid w:val="00A36C61"/>
    <w:rsid w:val="00A41D50"/>
    <w:rsid w:val="00A473D7"/>
    <w:rsid w:val="00A47D5E"/>
    <w:rsid w:val="00A5672B"/>
    <w:rsid w:val="00A61075"/>
    <w:rsid w:val="00A61149"/>
    <w:rsid w:val="00A62359"/>
    <w:rsid w:val="00A623CB"/>
    <w:rsid w:val="00A667E9"/>
    <w:rsid w:val="00A70F58"/>
    <w:rsid w:val="00A73FD9"/>
    <w:rsid w:val="00A804A7"/>
    <w:rsid w:val="00A83D8A"/>
    <w:rsid w:val="00A866AE"/>
    <w:rsid w:val="00A90BA3"/>
    <w:rsid w:val="00A947E3"/>
    <w:rsid w:val="00AA0B22"/>
    <w:rsid w:val="00AA1A7C"/>
    <w:rsid w:val="00AA1E16"/>
    <w:rsid w:val="00AB104C"/>
    <w:rsid w:val="00AB11DF"/>
    <w:rsid w:val="00AC0420"/>
    <w:rsid w:val="00AC17F9"/>
    <w:rsid w:val="00AC415A"/>
    <w:rsid w:val="00AC548C"/>
    <w:rsid w:val="00AC6473"/>
    <w:rsid w:val="00AC75DF"/>
    <w:rsid w:val="00AD4792"/>
    <w:rsid w:val="00AD4C8E"/>
    <w:rsid w:val="00AD5F78"/>
    <w:rsid w:val="00AD614B"/>
    <w:rsid w:val="00AF1366"/>
    <w:rsid w:val="00AF1883"/>
    <w:rsid w:val="00AF36F6"/>
    <w:rsid w:val="00B0434D"/>
    <w:rsid w:val="00B057BE"/>
    <w:rsid w:val="00B060F9"/>
    <w:rsid w:val="00B06A46"/>
    <w:rsid w:val="00B20282"/>
    <w:rsid w:val="00B2298A"/>
    <w:rsid w:val="00B236FD"/>
    <w:rsid w:val="00B24377"/>
    <w:rsid w:val="00B24F06"/>
    <w:rsid w:val="00B2659D"/>
    <w:rsid w:val="00B27FFC"/>
    <w:rsid w:val="00B31113"/>
    <w:rsid w:val="00B347DE"/>
    <w:rsid w:val="00B44398"/>
    <w:rsid w:val="00B478E5"/>
    <w:rsid w:val="00B47F05"/>
    <w:rsid w:val="00B6005B"/>
    <w:rsid w:val="00B60BA9"/>
    <w:rsid w:val="00B645FF"/>
    <w:rsid w:val="00B7097E"/>
    <w:rsid w:val="00B75D6F"/>
    <w:rsid w:val="00B776ED"/>
    <w:rsid w:val="00B834F2"/>
    <w:rsid w:val="00B84AEB"/>
    <w:rsid w:val="00B91D15"/>
    <w:rsid w:val="00B95472"/>
    <w:rsid w:val="00BA250C"/>
    <w:rsid w:val="00BA3568"/>
    <w:rsid w:val="00BA53DE"/>
    <w:rsid w:val="00BB0D25"/>
    <w:rsid w:val="00BB1FA6"/>
    <w:rsid w:val="00BB3561"/>
    <w:rsid w:val="00BB3828"/>
    <w:rsid w:val="00BB68F4"/>
    <w:rsid w:val="00BC554A"/>
    <w:rsid w:val="00BD58F8"/>
    <w:rsid w:val="00BE271C"/>
    <w:rsid w:val="00BE5009"/>
    <w:rsid w:val="00BE67A4"/>
    <w:rsid w:val="00BE7996"/>
    <w:rsid w:val="00BF23BC"/>
    <w:rsid w:val="00BF7669"/>
    <w:rsid w:val="00C001A2"/>
    <w:rsid w:val="00C00C24"/>
    <w:rsid w:val="00C01FAA"/>
    <w:rsid w:val="00C03D8D"/>
    <w:rsid w:val="00C049D4"/>
    <w:rsid w:val="00C120CD"/>
    <w:rsid w:val="00C13AB8"/>
    <w:rsid w:val="00C1465E"/>
    <w:rsid w:val="00C16438"/>
    <w:rsid w:val="00C23158"/>
    <w:rsid w:val="00C3148B"/>
    <w:rsid w:val="00C32269"/>
    <w:rsid w:val="00C40B3D"/>
    <w:rsid w:val="00C412D9"/>
    <w:rsid w:val="00C43DDA"/>
    <w:rsid w:val="00C47BD0"/>
    <w:rsid w:val="00C50FB2"/>
    <w:rsid w:val="00C54F44"/>
    <w:rsid w:val="00C5770D"/>
    <w:rsid w:val="00C605BF"/>
    <w:rsid w:val="00C60EA5"/>
    <w:rsid w:val="00C61941"/>
    <w:rsid w:val="00C639DD"/>
    <w:rsid w:val="00C648E8"/>
    <w:rsid w:val="00C67170"/>
    <w:rsid w:val="00C72B6E"/>
    <w:rsid w:val="00C72E14"/>
    <w:rsid w:val="00C76C35"/>
    <w:rsid w:val="00C80D8F"/>
    <w:rsid w:val="00C80FD5"/>
    <w:rsid w:val="00C81F3E"/>
    <w:rsid w:val="00C84099"/>
    <w:rsid w:val="00C8766F"/>
    <w:rsid w:val="00C91195"/>
    <w:rsid w:val="00C918C2"/>
    <w:rsid w:val="00C9393A"/>
    <w:rsid w:val="00CA03D3"/>
    <w:rsid w:val="00CA304A"/>
    <w:rsid w:val="00CA7D82"/>
    <w:rsid w:val="00CB0722"/>
    <w:rsid w:val="00CC05B7"/>
    <w:rsid w:val="00CC1D83"/>
    <w:rsid w:val="00CC1E34"/>
    <w:rsid w:val="00CC302A"/>
    <w:rsid w:val="00CC4D88"/>
    <w:rsid w:val="00CD1E04"/>
    <w:rsid w:val="00CD38BC"/>
    <w:rsid w:val="00CE046B"/>
    <w:rsid w:val="00CE4C44"/>
    <w:rsid w:val="00CF0FB6"/>
    <w:rsid w:val="00CF1B68"/>
    <w:rsid w:val="00CF5826"/>
    <w:rsid w:val="00CF6C63"/>
    <w:rsid w:val="00CF72F8"/>
    <w:rsid w:val="00D01B25"/>
    <w:rsid w:val="00D05FC5"/>
    <w:rsid w:val="00D064A2"/>
    <w:rsid w:val="00D06B2D"/>
    <w:rsid w:val="00D15DE1"/>
    <w:rsid w:val="00D17F34"/>
    <w:rsid w:val="00D238A8"/>
    <w:rsid w:val="00D23B0E"/>
    <w:rsid w:val="00D24322"/>
    <w:rsid w:val="00D24D90"/>
    <w:rsid w:val="00D3080D"/>
    <w:rsid w:val="00D33AF6"/>
    <w:rsid w:val="00D354B5"/>
    <w:rsid w:val="00D35767"/>
    <w:rsid w:val="00D36668"/>
    <w:rsid w:val="00D4791B"/>
    <w:rsid w:val="00D51D81"/>
    <w:rsid w:val="00D60084"/>
    <w:rsid w:val="00D63512"/>
    <w:rsid w:val="00D65196"/>
    <w:rsid w:val="00D71526"/>
    <w:rsid w:val="00D72986"/>
    <w:rsid w:val="00D732B3"/>
    <w:rsid w:val="00D779A7"/>
    <w:rsid w:val="00D808F7"/>
    <w:rsid w:val="00D84D8F"/>
    <w:rsid w:val="00D8608D"/>
    <w:rsid w:val="00D8652B"/>
    <w:rsid w:val="00D86FF7"/>
    <w:rsid w:val="00D92EF6"/>
    <w:rsid w:val="00D93A4A"/>
    <w:rsid w:val="00DA1C1F"/>
    <w:rsid w:val="00DA435E"/>
    <w:rsid w:val="00DB255C"/>
    <w:rsid w:val="00DB2E18"/>
    <w:rsid w:val="00DB6913"/>
    <w:rsid w:val="00DB74B0"/>
    <w:rsid w:val="00DC2F42"/>
    <w:rsid w:val="00DE635F"/>
    <w:rsid w:val="00DF22D2"/>
    <w:rsid w:val="00DF5EE3"/>
    <w:rsid w:val="00E0104A"/>
    <w:rsid w:val="00E0368B"/>
    <w:rsid w:val="00E043A0"/>
    <w:rsid w:val="00E10EDA"/>
    <w:rsid w:val="00E11A32"/>
    <w:rsid w:val="00E12FB6"/>
    <w:rsid w:val="00E15813"/>
    <w:rsid w:val="00E15FAB"/>
    <w:rsid w:val="00E17016"/>
    <w:rsid w:val="00E2121C"/>
    <w:rsid w:val="00E25FE3"/>
    <w:rsid w:val="00E26DC3"/>
    <w:rsid w:val="00E32A09"/>
    <w:rsid w:val="00E342AF"/>
    <w:rsid w:val="00E36246"/>
    <w:rsid w:val="00E40426"/>
    <w:rsid w:val="00E404F5"/>
    <w:rsid w:val="00E55DFC"/>
    <w:rsid w:val="00E579D2"/>
    <w:rsid w:val="00E57A1E"/>
    <w:rsid w:val="00E60CB4"/>
    <w:rsid w:val="00E61F58"/>
    <w:rsid w:val="00E63E6F"/>
    <w:rsid w:val="00E67DC3"/>
    <w:rsid w:val="00E75668"/>
    <w:rsid w:val="00E7588A"/>
    <w:rsid w:val="00E823ED"/>
    <w:rsid w:val="00E85358"/>
    <w:rsid w:val="00E8661F"/>
    <w:rsid w:val="00E9071B"/>
    <w:rsid w:val="00E9424C"/>
    <w:rsid w:val="00EA3D90"/>
    <w:rsid w:val="00EA73B4"/>
    <w:rsid w:val="00EB1533"/>
    <w:rsid w:val="00EB513E"/>
    <w:rsid w:val="00EB5319"/>
    <w:rsid w:val="00EC1067"/>
    <w:rsid w:val="00EC25C3"/>
    <w:rsid w:val="00EC7019"/>
    <w:rsid w:val="00ED3E13"/>
    <w:rsid w:val="00ED6F65"/>
    <w:rsid w:val="00EE1DC7"/>
    <w:rsid w:val="00EE702A"/>
    <w:rsid w:val="00EE7104"/>
    <w:rsid w:val="00EF10A8"/>
    <w:rsid w:val="00EF4E4C"/>
    <w:rsid w:val="00EF6008"/>
    <w:rsid w:val="00F01F62"/>
    <w:rsid w:val="00F1008D"/>
    <w:rsid w:val="00F12A2B"/>
    <w:rsid w:val="00F136CE"/>
    <w:rsid w:val="00F14D06"/>
    <w:rsid w:val="00F16CB9"/>
    <w:rsid w:val="00F172E0"/>
    <w:rsid w:val="00F231CC"/>
    <w:rsid w:val="00F243A9"/>
    <w:rsid w:val="00F27B3C"/>
    <w:rsid w:val="00F3171F"/>
    <w:rsid w:val="00F327D6"/>
    <w:rsid w:val="00F367B1"/>
    <w:rsid w:val="00F40F73"/>
    <w:rsid w:val="00F46C6A"/>
    <w:rsid w:val="00F50A9A"/>
    <w:rsid w:val="00F56B91"/>
    <w:rsid w:val="00F60218"/>
    <w:rsid w:val="00F7022B"/>
    <w:rsid w:val="00F70B35"/>
    <w:rsid w:val="00F754BF"/>
    <w:rsid w:val="00F7585B"/>
    <w:rsid w:val="00F7639F"/>
    <w:rsid w:val="00F80BC4"/>
    <w:rsid w:val="00F810F6"/>
    <w:rsid w:val="00F84255"/>
    <w:rsid w:val="00F84567"/>
    <w:rsid w:val="00F86AA9"/>
    <w:rsid w:val="00F90874"/>
    <w:rsid w:val="00F926AD"/>
    <w:rsid w:val="00F92A37"/>
    <w:rsid w:val="00F944A2"/>
    <w:rsid w:val="00FA0C76"/>
    <w:rsid w:val="00FA3E91"/>
    <w:rsid w:val="00FA4564"/>
    <w:rsid w:val="00FA45C6"/>
    <w:rsid w:val="00FA4F3B"/>
    <w:rsid w:val="00FA6BC1"/>
    <w:rsid w:val="00FB1470"/>
    <w:rsid w:val="00FB1DC8"/>
    <w:rsid w:val="00FB25DC"/>
    <w:rsid w:val="00FB2DF5"/>
    <w:rsid w:val="00FB2F01"/>
    <w:rsid w:val="00FB4763"/>
    <w:rsid w:val="00FB7A21"/>
    <w:rsid w:val="00FC04B4"/>
    <w:rsid w:val="00FC0BF2"/>
    <w:rsid w:val="00FC1AEC"/>
    <w:rsid w:val="00FC20D1"/>
    <w:rsid w:val="00FC363D"/>
    <w:rsid w:val="00FC63D6"/>
    <w:rsid w:val="00FD67BA"/>
    <w:rsid w:val="00FE04DD"/>
    <w:rsid w:val="00FE0FD4"/>
    <w:rsid w:val="00FE4785"/>
    <w:rsid w:val="00FE6735"/>
    <w:rsid w:val="00FE7624"/>
    <w:rsid w:val="00FF5090"/>
    <w:rsid w:val="00FF575E"/>
    <w:rsid w:val="00FF66A3"/>
    <w:rsid w:val="00FF6C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6F0F"/>
  <w15:docId w15:val="{E609CE85-75CC-43BA-BD86-E07ACBE5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25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DC"/>
    <w:pPr>
      <w:ind w:left="720"/>
      <w:contextualSpacing/>
    </w:pPr>
  </w:style>
  <w:style w:type="character" w:customStyle="1" w:styleId="Heading2Char">
    <w:name w:val="Heading 2 Char"/>
    <w:basedOn w:val="DefaultParagraphFont"/>
    <w:link w:val="Heading2"/>
    <w:uiPriority w:val="9"/>
    <w:rsid w:val="00FB25D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B25DC"/>
    <w:rPr>
      <w:i/>
      <w:iCs/>
    </w:rPr>
  </w:style>
  <w:style w:type="character" w:customStyle="1" w:styleId="querysrchtext">
    <w:name w:val="querysrchtext"/>
    <w:basedOn w:val="DefaultParagraphFont"/>
    <w:rsid w:val="00FB25DC"/>
  </w:style>
  <w:style w:type="character" w:styleId="CommentReference">
    <w:name w:val="annotation reference"/>
    <w:basedOn w:val="DefaultParagraphFont"/>
    <w:uiPriority w:val="99"/>
    <w:semiHidden/>
    <w:unhideWhenUsed/>
    <w:rsid w:val="00A473D7"/>
    <w:rPr>
      <w:sz w:val="16"/>
      <w:szCs w:val="16"/>
    </w:rPr>
  </w:style>
  <w:style w:type="paragraph" w:styleId="CommentText">
    <w:name w:val="annotation text"/>
    <w:basedOn w:val="Normal"/>
    <w:link w:val="CommentTextChar"/>
    <w:uiPriority w:val="99"/>
    <w:unhideWhenUsed/>
    <w:rsid w:val="00A473D7"/>
    <w:pPr>
      <w:spacing w:line="240" w:lineRule="auto"/>
    </w:pPr>
    <w:rPr>
      <w:sz w:val="20"/>
      <w:szCs w:val="20"/>
    </w:rPr>
  </w:style>
  <w:style w:type="character" w:customStyle="1" w:styleId="CommentTextChar">
    <w:name w:val="Comment Text Char"/>
    <w:basedOn w:val="DefaultParagraphFont"/>
    <w:link w:val="CommentText"/>
    <w:uiPriority w:val="99"/>
    <w:rsid w:val="00A473D7"/>
    <w:rPr>
      <w:sz w:val="20"/>
      <w:szCs w:val="20"/>
    </w:rPr>
  </w:style>
  <w:style w:type="paragraph" w:styleId="CommentSubject">
    <w:name w:val="annotation subject"/>
    <w:basedOn w:val="CommentText"/>
    <w:next w:val="CommentText"/>
    <w:link w:val="CommentSubjectChar"/>
    <w:uiPriority w:val="99"/>
    <w:semiHidden/>
    <w:unhideWhenUsed/>
    <w:rsid w:val="00A473D7"/>
    <w:rPr>
      <w:b/>
      <w:bCs/>
    </w:rPr>
  </w:style>
  <w:style w:type="character" w:customStyle="1" w:styleId="CommentSubjectChar">
    <w:name w:val="Comment Subject Char"/>
    <w:basedOn w:val="CommentTextChar"/>
    <w:link w:val="CommentSubject"/>
    <w:uiPriority w:val="99"/>
    <w:semiHidden/>
    <w:rsid w:val="00A473D7"/>
    <w:rPr>
      <w:b/>
      <w:bCs/>
      <w:sz w:val="20"/>
      <w:szCs w:val="20"/>
    </w:rPr>
  </w:style>
  <w:style w:type="paragraph" w:styleId="Header">
    <w:name w:val="header"/>
    <w:basedOn w:val="Normal"/>
    <w:link w:val="HeaderChar"/>
    <w:uiPriority w:val="99"/>
    <w:unhideWhenUsed/>
    <w:rsid w:val="0034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2B4"/>
  </w:style>
  <w:style w:type="paragraph" w:styleId="Footer">
    <w:name w:val="footer"/>
    <w:basedOn w:val="Normal"/>
    <w:link w:val="FooterChar"/>
    <w:uiPriority w:val="99"/>
    <w:unhideWhenUsed/>
    <w:rsid w:val="0034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2B4"/>
  </w:style>
  <w:style w:type="table" w:styleId="TableGrid">
    <w:name w:val="Table Grid"/>
    <w:basedOn w:val="TableNormal"/>
    <w:uiPriority w:val="39"/>
    <w:rsid w:val="0072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7D6"/>
    <w:rPr>
      <w:color w:val="0563C1" w:themeColor="hyperlink"/>
      <w:u w:val="single"/>
    </w:rPr>
  </w:style>
  <w:style w:type="character" w:customStyle="1" w:styleId="UnresolvedMention1">
    <w:name w:val="Unresolved Mention1"/>
    <w:basedOn w:val="DefaultParagraphFont"/>
    <w:uiPriority w:val="99"/>
    <w:semiHidden/>
    <w:unhideWhenUsed/>
    <w:rsid w:val="00F327D6"/>
    <w:rPr>
      <w:color w:val="605E5C"/>
      <w:shd w:val="clear" w:color="auto" w:fill="E1DFDD"/>
    </w:rPr>
  </w:style>
  <w:style w:type="paragraph" w:styleId="BalloonText">
    <w:name w:val="Balloon Text"/>
    <w:basedOn w:val="Normal"/>
    <w:link w:val="BalloonTextChar"/>
    <w:uiPriority w:val="99"/>
    <w:semiHidden/>
    <w:unhideWhenUsed/>
    <w:rsid w:val="006B0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EB"/>
    <w:rPr>
      <w:rFonts w:ascii="Segoe UI" w:hAnsi="Segoe UI" w:cs="Segoe UI"/>
      <w:sz w:val="18"/>
      <w:szCs w:val="18"/>
    </w:rPr>
  </w:style>
  <w:style w:type="paragraph" w:styleId="Revision">
    <w:name w:val="Revision"/>
    <w:hidden/>
    <w:uiPriority w:val="99"/>
    <w:semiHidden/>
    <w:rsid w:val="00502594"/>
    <w:pPr>
      <w:spacing w:after="0" w:line="240" w:lineRule="auto"/>
    </w:pPr>
  </w:style>
  <w:style w:type="paragraph" w:styleId="FootnoteText">
    <w:name w:val="footnote text"/>
    <w:basedOn w:val="Normal"/>
    <w:link w:val="FootnoteTextChar"/>
    <w:uiPriority w:val="99"/>
    <w:semiHidden/>
    <w:unhideWhenUsed/>
    <w:rsid w:val="00843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8FF"/>
    <w:rPr>
      <w:sz w:val="20"/>
      <w:szCs w:val="20"/>
    </w:rPr>
  </w:style>
  <w:style w:type="character" w:styleId="FootnoteReference">
    <w:name w:val="footnote reference"/>
    <w:basedOn w:val="DefaultParagraphFont"/>
    <w:uiPriority w:val="99"/>
    <w:semiHidden/>
    <w:unhideWhenUsed/>
    <w:rsid w:val="00843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00539">
      <w:bodyDiv w:val="1"/>
      <w:marLeft w:val="0"/>
      <w:marRight w:val="0"/>
      <w:marTop w:val="0"/>
      <w:marBottom w:val="0"/>
      <w:divBdr>
        <w:top w:val="none" w:sz="0" w:space="0" w:color="auto"/>
        <w:left w:val="none" w:sz="0" w:space="0" w:color="auto"/>
        <w:bottom w:val="none" w:sz="0" w:space="0" w:color="auto"/>
        <w:right w:val="none" w:sz="0" w:space="0" w:color="auto"/>
      </w:divBdr>
    </w:div>
    <w:div w:id="678627866">
      <w:bodyDiv w:val="1"/>
      <w:marLeft w:val="0"/>
      <w:marRight w:val="0"/>
      <w:marTop w:val="0"/>
      <w:marBottom w:val="0"/>
      <w:divBdr>
        <w:top w:val="none" w:sz="0" w:space="0" w:color="auto"/>
        <w:left w:val="none" w:sz="0" w:space="0" w:color="auto"/>
        <w:bottom w:val="none" w:sz="0" w:space="0" w:color="auto"/>
        <w:right w:val="none" w:sz="0" w:space="0" w:color="auto"/>
      </w:divBdr>
    </w:div>
    <w:div w:id="1060254467">
      <w:bodyDiv w:val="1"/>
      <w:marLeft w:val="0"/>
      <w:marRight w:val="0"/>
      <w:marTop w:val="0"/>
      <w:marBottom w:val="0"/>
      <w:divBdr>
        <w:top w:val="none" w:sz="0" w:space="0" w:color="auto"/>
        <w:left w:val="none" w:sz="0" w:space="0" w:color="auto"/>
        <w:bottom w:val="none" w:sz="0" w:space="0" w:color="auto"/>
        <w:right w:val="none" w:sz="0" w:space="0" w:color="auto"/>
      </w:divBdr>
    </w:div>
    <w:div w:id="1103498523">
      <w:bodyDiv w:val="1"/>
      <w:marLeft w:val="0"/>
      <w:marRight w:val="0"/>
      <w:marTop w:val="0"/>
      <w:marBottom w:val="0"/>
      <w:divBdr>
        <w:top w:val="none" w:sz="0" w:space="0" w:color="auto"/>
        <w:left w:val="none" w:sz="0" w:space="0" w:color="auto"/>
        <w:bottom w:val="none" w:sz="0" w:space="0" w:color="auto"/>
        <w:right w:val="none" w:sz="0" w:space="0" w:color="auto"/>
      </w:divBdr>
    </w:div>
    <w:div w:id="1261261018">
      <w:bodyDiv w:val="1"/>
      <w:marLeft w:val="0"/>
      <w:marRight w:val="0"/>
      <w:marTop w:val="0"/>
      <w:marBottom w:val="0"/>
      <w:divBdr>
        <w:top w:val="none" w:sz="0" w:space="0" w:color="auto"/>
        <w:left w:val="none" w:sz="0" w:space="0" w:color="auto"/>
        <w:bottom w:val="none" w:sz="0" w:space="0" w:color="auto"/>
        <w:right w:val="none" w:sz="0" w:space="0" w:color="auto"/>
      </w:divBdr>
    </w:div>
    <w:div w:id="1627421214">
      <w:bodyDiv w:val="1"/>
      <w:marLeft w:val="0"/>
      <w:marRight w:val="0"/>
      <w:marTop w:val="0"/>
      <w:marBottom w:val="0"/>
      <w:divBdr>
        <w:top w:val="none" w:sz="0" w:space="0" w:color="auto"/>
        <w:left w:val="none" w:sz="0" w:space="0" w:color="auto"/>
        <w:bottom w:val="none" w:sz="0" w:space="0" w:color="auto"/>
        <w:right w:val="none" w:sz="0" w:space="0" w:color="auto"/>
      </w:divBdr>
    </w:div>
    <w:div w:id="1763142054">
      <w:bodyDiv w:val="1"/>
      <w:marLeft w:val="0"/>
      <w:marRight w:val="0"/>
      <w:marTop w:val="0"/>
      <w:marBottom w:val="0"/>
      <w:divBdr>
        <w:top w:val="none" w:sz="0" w:space="0" w:color="auto"/>
        <w:left w:val="none" w:sz="0" w:space="0" w:color="auto"/>
        <w:bottom w:val="none" w:sz="0" w:space="0" w:color="auto"/>
        <w:right w:val="none" w:sz="0" w:space="0" w:color="auto"/>
      </w:divBdr>
    </w:div>
    <w:div w:id="1925649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9084-B171-49AF-82A7-220A6491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5381</Words>
  <Characters>30675</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Nthambi</dc:creator>
  <cp:keywords/>
  <dc:description/>
  <cp:lastModifiedBy>Katherine Simpson</cp:lastModifiedBy>
  <cp:revision>2</cp:revision>
  <dcterms:created xsi:type="dcterms:W3CDTF">2022-06-16T09:54:00Z</dcterms:created>
  <dcterms:modified xsi:type="dcterms:W3CDTF">2022-06-16T09:54:00Z</dcterms:modified>
</cp:coreProperties>
</file>