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A61E" w14:textId="1B690AA2" w:rsidR="0061400D" w:rsidRDefault="0061400D" w:rsidP="0061400D">
      <w:pPr>
        <w:rPr>
          <w:rFonts w:ascii="Arial" w:hAnsi="Arial" w:cs="Arial"/>
          <w:b/>
          <w:iCs/>
          <w:sz w:val="28"/>
          <w:szCs w:val="28"/>
        </w:rPr>
      </w:pPr>
      <w:r>
        <w:rPr>
          <w:rFonts w:ascii="Arial" w:hAnsi="Arial" w:cs="Arial"/>
          <w:b/>
          <w:iCs/>
          <w:noProof/>
          <w:sz w:val="28"/>
          <w:szCs w:val="28"/>
          <w14:ligatures w14:val="standardContextual"/>
        </w:rPr>
        <w:drawing>
          <wp:inline distT="0" distB="0" distL="0" distR="0" wp14:anchorId="27C99E47" wp14:editId="73B565CB">
            <wp:extent cx="4038600" cy="696218"/>
            <wp:effectExtent l="0" t="0" r="0" b="8890"/>
            <wp:docPr id="813936698" name="Picture 1" descr="MRC/CSO Social and Public Health Sciences Un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36698" name="Picture 1" descr="MRC/CSO Social and Public Health Sciences Unit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82273" cy="703747"/>
                    </a:xfrm>
                    <a:prstGeom prst="rect">
                      <a:avLst/>
                    </a:prstGeom>
                  </pic:spPr>
                </pic:pic>
              </a:graphicData>
            </a:graphic>
          </wp:inline>
        </w:drawing>
      </w:r>
    </w:p>
    <w:p w14:paraId="521A60D1" w14:textId="77777777" w:rsidR="0061400D" w:rsidRDefault="0061400D" w:rsidP="0061400D">
      <w:pPr>
        <w:rPr>
          <w:rFonts w:ascii="Arial" w:hAnsi="Arial" w:cs="Arial"/>
          <w:b/>
          <w:iCs/>
          <w:sz w:val="28"/>
          <w:szCs w:val="28"/>
        </w:rPr>
      </w:pPr>
    </w:p>
    <w:p w14:paraId="22C9F305" w14:textId="7212B0ED" w:rsidR="0061400D" w:rsidRDefault="0061400D" w:rsidP="0061400D">
      <w:pPr>
        <w:rPr>
          <w:rFonts w:ascii="Arial" w:hAnsi="Arial" w:cs="Arial"/>
          <w:b/>
          <w:iCs/>
          <w:sz w:val="28"/>
          <w:szCs w:val="28"/>
        </w:rPr>
      </w:pPr>
      <w:r>
        <w:rPr>
          <w:rFonts w:ascii="Arial" w:hAnsi="Arial" w:cs="Arial"/>
          <w:b/>
          <w:iCs/>
          <w:sz w:val="28"/>
          <w:szCs w:val="28"/>
        </w:rPr>
        <w:t>MRC/CSO Social and Public Health Sciences Unit Consultation Response</w:t>
      </w:r>
    </w:p>
    <w:p w14:paraId="387CC9CE" w14:textId="77777777" w:rsidR="0061400D" w:rsidRDefault="0061400D" w:rsidP="0061400D">
      <w:pPr>
        <w:rPr>
          <w:rFonts w:ascii="Arial" w:hAnsi="Arial" w:cs="Arial"/>
          <w:b/>
          <w:iCs/>
          <w:sz w:val="28"/>
          <w:szCs w:val="28"/>
        </w:rPr>
      </w:pPr>
    </w:p>
    <w:p w14:paraId="2656A626" w14:textId="77777777" w:rsidR="0061400D" w:rsidRDefault="0061400D" w:rsidP="0061400D">
      <w:pPr>
        <w:rPr>
          <w:rFonts w:ascii="Arial" w:hAnsi="Arial" w:cs="Arial"/>
          <w:b/>
          <w:iCs/>
          <w:sz w:val="24"/>
          <w:szCs w:val="24"/>
        </w:rPr>
      </w:pPr>
      <w:r w:rsidRPr="00657F52">
        <w:rPr>
          <w:rFonts w:ascii="Arial" w:hAnsi="Arial" w:cs="Arial"/>
          <w:b/>
          <w:iCs/>
          <w:sz w:val="24"/>
          <w:szCs w:val="24"/>
        </w:rPr>
        <w:t>Title of consultation</w:t>
      </w:r>
    </w:p>
    <w:p w14:paraId="6530D020" w14:textId="77777777" w:rsidR="0061400D" w:rsidRDefault="0061400D" w:rsidP="0061400D">
      <w:pPr>
        <w:rPr>
          <w:rFonts w:ascii="Arial" w:hAnsi="Arial" w:cs="Arial"/>
          <w:b/>
          <w:iCs/>
          <w:sz w:val="24"/>
          <w:szCs w:val="24"/>
        </w:rPr>
      </w:pPr>
    </w:p>
    <w:p w14:paraId="1CAD510A" w14:textId="77777777" w:rsidR="0061400D" w:rsidRPr="0024002B" w:rsidRDefault="0061400D" w:rsidP="0061400D">
      <w:pPr>
        <w:rPr>
          <w:rFonts w:ascii="Arial" w:hAnsi="Arial" w:cs="Arial"/>
          <w:bCs/>
          <w:iCs/>
        </w:rPr>
      </w:pPr>
      <w:r w:rsidRPr="0024002B">
        <w:rPr>
          <w:rFonts w:ascii="Arial" w:hAnsi="Arial" w:cs="Arial"/>
          <w:bCs/>
          <w:iCs/>
        </w:rPr>
        <w:t>Men’s health</w:t>
      </w:r>
      <w:r>
        <w:rPr>
          <w:rFonts w:ascii="Arial" w:hAnsi="Arial" w:cs="Arial"/>
          <w:bCs/>
          <w:iCs/>
        </w:rPr>
        <w:t xml:space="preserve"> inquiry</w:t>
      </w:r>
    </w:p>
    <w:p w14:paraId="400AB850" w14:textId="77777777" w:rsidR="0061400D" w:rsidRDefault="0061400D" w:rsidP="0061400D">
      <w:pPr>
        <w:rPr>
          <w:rFonts w:ascii="Arial" w:hAnsi="Arial" w:cs="Arial"/>
          <w:b/>
          <w:iCs/>
          <w:sz w:val="24"/>
          <w:szCs w:val="24"/>
        </w:rPr>
      </w:pPr>
    </w:p>
    <w:p w14:paraId="764D9A12" w14:textId="77777777" w:rsidR="0061400D" w:rsidRDefault="0061400D" w:rsidP="0061400D">
      <w:pPr>
        <w:rPr>
          <w:rFonts w:ascii="Arial" w:hAnsi="Arial" w:cs="Arial"/>
          <w:b/>
          <w:iCs/>
          <w:sz w:val="24"/>
          <w:szCs w:val="24"/>
        </w:rPr>
      </w:pPr>
      <w:r w:rsidRPr="00657F52">
        <w:rPr>
          <w:rFonts w:ascii="Arial" w:hAnsi="Arial" w:cs="Arial"/>
          <w:b/>
          <w:iCs/>
          <w:sz w:val="24"/>
          <w:szCs w:val="24"/>
        </w:rPr>
        <w:t>Name of the consulting body</w:t>
      </w:r>
    </w:p>
    <w:p w14:paraId="1A1C898C" w14:textId="77777777" w:rsidR="0061400D" w:rsidRPr="00657F52" w:rsidRDefault="0061400D" w:rsidP="0061400D">
      <w:pPr>
        <w:rPr>
          <w:rFonts w:ascii="Arial" w:hAnsi="Arial" w:cs="Arial"/>
          <w:b/>
          <w:iCs/>
          <w:sz w:val="24"/>
          <w:szCs w:val="24"/>
        </w:rPr>
      </w:pPr>
    </w:p>
    <w:p w14:paraId="53D56DA4" w14:textId="77777777" w:rsidR="0061400D" w:rsidRPr="0024002B" w:rsidRDefault="0061400D" w:rsidP="0061400D">
      <w:pPr>
        <w:rPr>
          <w:rFonts w:ascii="Arial" w:hAnsi="Arial" w:cs="Arial"/>
          <w:bCs/>
          <w:iCs/>
        </w:rPr>
      </w:pPr>
      <w:r w:rsidRPr="0024002B">
        <w:rPr>
          <w:rFonts w:ascii="Arial" w:hAnsi="Arial" w:cs="Arial"/>
          <w:bCs/>
          <w:iCs/>
        </w:rPr>
        <w:t xml:space="preserve">Health and Social Care Committee, UK Parliament </w:t>
      </w:r>
    </w:p>
    <w:p w14:paraId="3DDC05BE" w14:textId="77777777" w:rsidR="0061400D" w:rsidRDefault="0061400D" w:rsidP="0061400D">
      <w:pPr>
        <w:rPr>
          <w:rFonts w:ascii="Arial" w:hAnsi="Arial" w:cs="Arial"/>
          <w:b/>
          <w:iCs/>
          <w:sz w:val="24"/>
          <w:szCs w:val="24"/>
        </w:rPr>
      </w:pPr>
    </w:p>
    <w:p w14:paraId="3CD529B5" w14:textId="77777777" w:rsidR="0061400D" w:rsidRDefault="0061400D" w:rsidP="0061400D">
      <w:pPr>
        <w:rPr>
          <w:rFonts w:ascii="Arial" w:hAnsi="Arial" w:cs="Arial"/>
          <w:b/>
          <w:iCs/>
          <w:sz w:val="24"/>
          <w:szCs w:val="24"/>
        </w:rPr>
      </w:pPr>
      <w:r w:rsidRPr="00657F52">
        <w:rPr>
          <w:rFonts w:ascii="Arial" w:hAnsi="Arial" w:cs="Arial"/>
          <w:b/>
          <w:iCs/>
          <w:sz w:val="24"/>
          <w:szCs w:val="24"/>
        </w:rPr>
        <w:t>Link to consultation</w:t>
      </w:r>
    </w:p>
    <w:p w14:paraId="58ADDCDE" w14:textId="77777777" w:rsidR="0061400D" w:rsidRDefault="0061400D" w:rsidP="0061400D">
      <w:pPr>
        <w:rPr>
          <w:rFonts w:ascii="Arial" w:hAnsi="Arial" w:cs="Arial"/>
          <w:b/>
          <w:iCs/>
          <w:sz w:val="24"/>
          <w:szCs w:val="24"/>
        </w:rPr>
      </w:pPr>
    </w:p>
    <w:p w14:paraId="20FF21DE" w14:textId="77777777" w:rsidR="0061400D" w:rsidRPr="0024002B" w:rsidRDefault="00D026B0" w:rsidP="0061400D">
      <w:pPr>
        <w:rPr>
          <w:rFonts w:ascii="Arial" w:hAnsi="Arial" w:cs="Arial"/>
          <w:bCs/>
          <w:iCs/>
        </w:rPr>
      </w:pPr>
      <w:hyperlink r:id="rId6" w:history="1">
        <w:r w:rsidR="0061400D" w:rsidRPr="0024002B">
          <w:rPr>
            <w:rStyle w:val="Hyperlink"/>
            <w:rFonts w:ascii="Arial" w:hAnsi="Arial" w:cs="Arial"/>
            <w:bCs/>
            <w:iCs/>
          </w:rPr>
          <w:t>https://committees.parliament.uk/work/7858/mens-health/</w:t>
        </w:r>
      </w:hyperlink>
      <w:r w:rsidR="0061400D" w:rsidRPr="0024002B">
        <w:rPr>
          <w:rFonts w:ascii="Arial" w:hAnsi="Arial" w:cs="Arial"/>
          <w:bCs/>
          <w:iCs/>
        </w:rPr>
        <w:t xml:space="preserve"> </w:t>
      </w:r>
    </w:p>
    <w:p w14:paraId="76C306BB" w14:textId="77777777" w:rsidR="0061400D" w:rsidRDefault="0061400D" w:rsidP="0061400D">
      <w:pPr>
        <w:rPr>
          <w:rFonts w:ascii="Arial" w:hAnsi="Arial" w:cs="Arial"/>
          <w:b/>
          <w:iCs/>
          <w:sz w:val="24"/>
          <w:szCs w:val="24"/>
        </w:rPr>
      </w:pPr>
    </w:p>
    <w:p w14:paraId="32E61FE8" w14:textId="77777777" w:rsidR="0061400D" w:rsidRDefault="0061400D" w:rsidP="0061400D">
      <w:pPr>
        <w:rPr>
          <w:rFonts w:ascii="Arial" w:hAnsi="Arial" w:cs="Arial"/>
          <w:b/>
          <w:iCs/>
          <w:sz w:val="24"/>
          <w:szCs w:val="24"/>
        </w:rPr>
      </w:pPr>
      <w:r w:rsidRPr="00657F52">
        <w:rPr>
          <w:rFonts w:ascii="Arial" w:hAnsi="Arial" w:cs="Arial"/>
          <w:b/>
          <w:iCs/>
          <w:sz w:val="24"/>
          <w:szCs w:val="24"/>
        </w:rPr>
        <w:t xml:space="preserve">Why did the MRC/CSO Social and Public Health Sciences Unit </w:t>
      </w:r>
      <w:r>
        <w:rPr>
          <w:rFonts w:ascii="Arial" w:hAnsi="Arial" w:cs="Arial"/>
          <w:b/>
          <w:iCs/>
          <w:sz w:val="24"/>
          <w:szCs w:val="24"/>
        </w:rPr>
        <w:t>respond</w:t>
      </w:r>
      <w:r w:rsidRPr="00657F52">
        <w:rPr>
          <w:rFonts w:ascii="Arial" w:hAnsi="Arial" w:cs="Arial"/>
          <w:b/>
          <w:iCs/>
          <w:sz w:val="24"/>
          <w:szCs w:val="24"/>
        </w:rPr>
        <w:t xml:space="preserve"> to this consultation?</w:t>
      </w:r>
    </w:p>
    <w:p w14:paraId="4162D761" w14:textId="77777777" w:rsidR="0061400D" w:rsidRDefault="0061400D" w:rsidP="0061400D">
      <w:pPr>
        <w:rPr>
          <w:rFonts w:ascii="Arial" w:hAnsi="Arial" w:cs="Arial"/>
          <w:b/>
          <w:iCs/>
          <w:sz w:val="24"/>
          <w:szCs w:val="24"/>
        </w:rPr>
      </w:pPr>
    </w:p>
    <w:p w14:paraId="07ED84C0" w14:textId="77777777" w:rsidR="0061400D" w:rsidRPr="00082EC8" w:rsidRDefault="0061400D" w:rsidP="0061400D">
      <w:pPr>
        <w:pStyle w:val="TableParagraph"/>
        <w:spacing w:before="2"/>
        <w:ind w:left="0" w:right="128"/>
        <w:rPr>
          <w:rFonts w:asciiTheme="minorBidi" w:hAnsiTheme="minorBidi" w:cstheme="minorBidi"/>
        </w:rPr>
      </w:pPr>
      <w:r>
        <w:rPr>
          <w:rFonts w:asciiTheme="minorBidi" w:hAnsiTheme="minorBidi" w:cstheme="minorBidi"/>
        </w:rPr>
        <w:t>We</w:t>
      </w:r>
      <w:r w:rsidRPr="00082EC8">
        <w:rPr>
          <w:rFonts w:asciiTheme="minorBidi" w:hAnsiTheme="minorBidi" w:cstheme="minorBidi"/>
        </w:rPr>
        <w:t xml:space="preserve"> conduct high quality research that</w:t>
      </w:r>
      <w:r w:rsidRPr="00082EC8">
        <w:rPr>
          <w:rFonts w:asciiTheme="minorBidi" w:hAnsiTheme="minorBidi" w:cstheme="minorBidi"/>
          <w:spacing w:val="-3"/>
        </w:rPr>
        <w:t xml:space="preserve"> </w:t>
      </w:r>
      <w:r w:rsidRPr="00082EC8">
        <w:rPr>
          <w:rFonts w:asciiTheme="minorBidi" w:hAnsiTheme="minorBidi" w:cstheme="minorBidi"/>
        </w:rPr>
        <w:t>has</w:t>
      </w:r>
      <w:r w:rsidRPr="00082EC8">
        <w:rPr>
          <w:rFonts w:asciiTheme="minorBidi" w:hAnsiTheme="minorBidi" w:cstheme="minorBidi"/>
          <w:spacing w:val="-1"/>
        </w:rPr>
        <w:t xml:space="preserve"> </w:t>
      </w:r>
      <w:r w:rsidRPr="00082EC8">
        <w:rPr>
          <w:rFonts w:asciiTheme="minorBidi" w:hAnsiTheme="minorBidi" w:cstheme="minorBidi"/>
        </w:rPr>
        <w:t>a</w:t>
      </w:r>
      <w:r w:rsidRPr="00082EC8">
        <w:rPr>
          <w:rFonts w:asciiTheme="minorBidi" w:hAnsiTheme="minorBidi" w:cstheme="minorBidi"/>
          <w:spacing w:val="-4"/>
        </w:rPr>
        <w:t xml:space="preserve"> </w:t>
      </w:r>
      <w:r w:rsidRPr="00082EC8">
        <w:rPr>
          <w:rFonts w:asciiTheme="minorBidi" w:hAnsiTheme="minorBidi" w:cstheme="minorBidi"/>
        </w:rPr>
        <w:t>real</w:t>
      </w:r>
      <w:r w:rsidRPr="00082EC8">
        <w:rPr>
          <w:rFonts w:asciiTheme="minorBidi" w:hAnsiTheme="minorBidi" w:cstheme="minorBidi"/>
          <w:spacing w:val="-5"/>
        </w:rPr>
        <w:t xml:space="preserve"> </w:t>
      </w:r>
      <w:r w:rsidRPr="00082EC8">
        <w:rPr>
          <w:rFonts w:asciiTheme="minorBidi" w:hAnsiTheme="minorBidi" w:cstheme="minorBidi"/>
        </w:rPr>
        <w:t>impact on</w:t>
      </w:r>
      <w:r w:rsidRPr="00082EC8">
        <w:rPr>
          <w:rFonts w:asciiTheme="minorBidi" w:hAnsiTheme="minorBidi" w:cstheme="minorBidi"/>
          <w:spacing w:val="-4"/>
        </w:rPr>
        <w:t xml:space="preserve"> </w:t>
      </w:r>
      <w:r w:rsidRPr="00082EC8">
        <w:rPr>
          <w:rFonts w:asciiTheme="minorBidi" w:hAnsiTheme="minorBidi" w:cstheme="minorBidi"/>
        </w:rPr>
        <w:t>health</w:t>
      </w:r>
      <w:r w:rsidRPr="00082EC8">
        <w:rPr>
          <w:rFonts w:asciiTheme="minorBidi" w:hAnsiTheme="minorBidi" w:cstheme="minorBidi"/>
          <w:spacing w:val="-2"/>
        </w:rPr>
        <w:t xml:space="preserve"> </w:t>
      </w:r>
      <w:r w:rsidRPr="00082EC8">
        <w:rPr>
          <w:rFonts w:asciiTheme="minorBidi" w:hAnsiTheme="minorBidi" w:cstheme="minorBidi"/>
        </w:rPr>
        <w:t>and</w:t>
      </w:r>
      <w:r w:rsidRPr="00082EC8">
        <w:rPr>
          <w:rFonts w:asciiTheme="minorBidi" w:hAnsiTheme="minorBidi" w:cstheme="minorBidi"/>
          <w:spacing w:val="-4"/>
        </w:rPr>
        <w:t xml:space="preserve"> </w:t>
      </w:r>
      <w:r w:rsidRPr="00082EC8">
        <w:rPr>
          <w:rFonts w:asciiTheme="minorBidi" w:hAnsiTheme="minorBidi" w:cstheme="minorBidi"/>
        </w:rPr>
        <w:t>wellbeing, and</w:t>
      </w:r>
      <w:r w:rsidRPr="00082EC8">
        <w:rPr>
          <w:rFonts w:asciiTheme="minorBidi" w:hAnsiTheme="minorBidi" w:cstheme="minorBidi"/>
          <w:spacing w:val="-2"/>
        </w:rPr>
        <w:t xml:space="preserve"> </w:t>
      </w:r>
      <w:r w:rsidRPr="00082EC8">
        <w:rPr>
          <w:rFonts w:asciiTheme="minorBidi" w:hAnsiTheme="minorBidi" w:cstheme="minorBidi"/>
        </w:rPr>
        <w:t>on</w:t>
      </w:r>
      <w:r w:rsidRPr="00082EC8">
        <w:rPr>
          <w:rFonts w:asciiTheme="minorBidi" w:hAnsiTheme="minorBidi" w:cstheme="minorBidi"/>
          <w:spacing w:val="-4"/>
        </w:rPr>
        <w:t xml:space="preserve"> </w:t>
      </w:r>
      <w:r w:rsidRPr="00082EC8">
        <w:rPr>
          <w:rFonts w:asciiTheme="minorBidi" w:hAnsiTheme="minorBidi" w:cstheme="minorBidi"/>
        </w:rPr>
        <w:t>reducing</w:t>
      </w:r>
      <w:r w:rsidRPr="00082EC8">
        <w:rPr>
          <w:rFonts w:asciiTheme="minorBidi" w:hAnsiTheme="minorBidi" w:cstheme="minorBidi"/>
          <w:spacing w:val="-2"/>
        </w:rPr>
        <w:t xml:space="preserve"> </w:t>
      </w:r>
      <w:r w:rsidRPr="00082EC8">
        <w:rPr>
          <w:rFonts w:asciiTheme="minorBidi" w:hAnsiTheme="minorBidi" w:cstheme="minorBidi"/>
        </w:rPr>
        <w:t>health</w:t>
      </w:r>
      <w:r w:rsidRPr="00082EC8">
        <w:rPr>
          <w:rFonts w:asciiTheme="minorBidi" w:hAnsiTheme="minorBidi" w:cstheme="minorBidi"/>
          <w:spacing w:val="-4"/>
        </w:rPr>
        <w:t xml:space="preserve"> </w:t>
      </w:r>
      <w:r w:rsidRPr="00082EC8">
        <w:rPr>
          <w:rFonts w:asciiTheme="minorBidi" w:hAnsiTheme="minorBidi" w:cstheme="minorBidi"/>
        </w:rPr>
        <w:t>inequalities –</w:t>
      </w:r>
      <w:r w:rsidRPr="00082EC8">
        <w:rPr>
          <w:rFonts w:asciiTheme="minorBidi" w:hAnsiTheme="minorBidi" w:cstheme="minorBidi"/>
          <w:spacing w:val="-2"/>
        </w:rPr>
        <w:t xml:space="preserve"> </w:t>
      </w:r>
      <w:r w:rsidRPr="00082EC8">
        <w:rPr>
          <w:rFonts w:asciiTheme="minorBidi" w:hAnsiTheme="minorBidi" w:cstheme="minorBidi"/>
        </w:rPr>
        <w:t>both at home and across the globe.</w:t>
      </w:r>
    </w:p>
    <w:p w14:paraId="3E0A6B6E" w14:textId="77777777" w:rsidR="0061400D" w:rsidRPr="00082EC8" w:rsidRDefault="0061400D" w:rsidP="0061400D">
      <w:pPr>
        <w:pStyle w:val="TableParagraph"/>
        <w:spacing w:before="10"/>
        <w:ind w:left="0"/>
        <w:rPr>
          <w:rFonts w:asciiTheme="minorBidi" w:hAnsiTheme="minorBidi" w:cstheme="minorBidi"/>
          <w:b/>
        </w:rPr>
      </w:pPr>
    </w:p>
    <w:p w14:paraId="30C81ED9" w14:textId="77777777" w:rsidR="0061400D" w:rsidRPr="00082EC8" w:rsidRDefault="0061400D" w:rsidP="0061400D">
      <w:pPr>
        <w:rPr>
          <w:rFonts w:asciiTheme="minorBidi" w:hAnsiTheme="minorBidi" w:cstheme="minorBidi"/>
          <w:b/>
          <w:iCs/>
        </w:rPr>
      </w:pPr>
      <w:r w:rsidRPr="00082EC8">
        <w:rPr>
          <w:rFonts w:asciiTheme="minorBidi" w:hAnsiTheme="minorBidi" w:cstheme="minorBidi"/>
        </w:rPr>
        <w:t>We</w:t>
      </w:r>
      <w:r w:rsidRPr="00082EC8">
        <w:rPr>
          <w:rFonts w:asciiTheme="minorBidi" w:hAnsiTheme="minorBidi" w:cstheme="minorBidi"/>
          <w:spacing w:val="-2"/>
        </w:rPr>
        <w:t xml:space="preserve"> </w:t>
      </w:r>
      <w:r w:rsidRPr="00082EC8">
        <w:rPr>
          <w:rFonts w:asciiTheme="minorBidi" w:hAnsiTheme="minorBidi" w:cstheme="minorBidi"/>
        </w:rPr>
        <w:t>have</w:t>
      </w:r>
      <w:r w:rsidRPr="00082EC8">
        <w:rPr>
          <w:rFonts w:asciiTheme="minorBidi" w:hAnsiTheme="minorBidi" w:cstheme="minorBidi"/>
          <w:spacing w:val="-5"/>
        </w:rPr>
        <w:t xml:space="preserve"> </w:t>
      </w:r>
      <w:r w:rsidRPr="00082EC8">
        <w:rPr>
          <w:rFonts w:asciiTheme="minorBidi" w:hAnsiTheme="minorBidi" w:cstheme="minorBidi"/>
        </w:rPr>
        <w:t>a</w:t>
      </w:r>
      <w:r w:rsidRPr="00082EC8">
        <w:rPr>
          <w:rFonts w:asciiTheme="minorBidi" w:hAnsiTheme="minorBidi" w:cstheme="minorBidi"/>
          <w:spacing w:val="-3"/>
        </w:rPr>
        <w:t xml:space="preserve"> </w:t>
      </w:r>
      <w:r w:rsidRPr="00082EC8">
        <w:rPr>
          <w:rFonts w:asciiTheme="minorBidi" w:hAnsiTheme="minorBidi" w:cstheme="minorBidi"/>
        </w:rPr>
        <w:t>particular</w:t>
      </w:r>
      <w:r w:rsidRPr="00082EC8">
        <w:rPr>
          <w:rFonts w:asciiTheme="minorBidi" w:hAnsiTheme="minorBidi" w:cstheme="minorBidi"/>
          <w:spacing w:val="-4"/>
        </w:rPr>
        <w:t xml:space="preserve"> </w:t>
      </w:r>
      <w:r w:rsidRPr="00082EC8">
        <w:rPr>
          <w:rFonts w:asciiTheme="minorBidi" w:hAnsiTheme="minorBidi" w:cstheme="minorBidi"/>
        </w:rPr>
        <w:t>focus</w:t>
      </w:r>
      <w:r w:rsidRPr="00082EC8">
        <w:rPr>
          <w:rFonts w:asciiTheme="minorBidi" w:hAnsiTheme="minorBidi" w:cstheme="minorBidi"/>
          <w:spacing w:val="-3"/>
        </w:rPr>
        <w:t xml:space="preserve"> </w:t>
      </w:r>
      <w:r w:rsidRPr="00082EC8">
        <w:rPr>
          <w:rFonts w:asciiTheme="minorBidi" w:hAnsiTheme="minorBidi" w:cstheme="minorBidi"/>
        </w:rPr>
        <w:t>on</w:t>
      </w:r>
      <w:r w:rsidRPr="00082EC8">
        <w:rPr>
          <w:rFonts w:asciiTheme="minorBidi" w:hAnsiTheme="minorBidi" w:cstheme="minorBidi"/>
          <w:spacing w:val="-3"/>
        </w:rPr>
        <w:t xml:space="preserve"> </w:t>
      </w:r>
      <w:r w:rsidRPr="00082EC8">
        <w:rPr>
          <w:rFonts w:asciiTheme="minorBidi" w:hAnsiTheme="minorBidi" w:cstheme="minorBidi"/>
        </w:rPr>
        <w:t>developing</w:t>
      </w:r>
      <w:r w:rsidRPr="00082EC8">
        <w:rPr>
          <w:rFonts w:asciiTheme="minorBidi" w:hAnsiTheme="minorBidi" w:cstheme="minorBidi"/>
          <w:spacing w:val="-3"/>
        </w:rPr>
        <w:t xml:space="preserve"> </w:t>
      </w:r>
      <w:r w:rsidRPr="00082EC8">
        <w:rPr>
          <w:rFonts w:asciiTheme="minorBidi" w:hAnsiTheme="minorBidi" w:cstheme="minorBidi"/>
        </w:rPr>
        <w:t>and</w:t>
      </w:r>
      <w:r w:rsidRPr="00082EC8">
        <w:rPr>
          <w:rFonts w:asciiTheme="minorBidi" w:hAnsiTheme="minorBidi" w:cstheme="minorBidi"/>
          <w:spacing w:val="-5"/>
        </w:rPr>
        <w:t xml:space="preserve"> </w:t>
      </w:r>
      <w:r w:rsidRPr="00082EC8">
        <w:rPr>
          <w:rFonts w:asciiTheme="minorBidi" w:hAnsiTheme="minorBidi" w:cstheme="minorBidi"/>
        </w:rPr>
        <w:t>using</w:t>
      </w:r>
      <w:r w:rsidRPr="00082EC8">
        <w:rPr>
          <w:rFonts w:asciiTheme="minorBidi" w:hAnsiTheme="minorBidi" w:cstheme="minorBidi"/>
          <w:spacing w:val="-3"/>
        </w:rPr>
        <w:t xml:space="preserve"> </w:t>
      </w:r>
      <w:r w:rsidRPr="00082EC8">
        <w:rPr>
          <w:rFonts w:asciiTheme="minorBidi" w:hAnsiTheme="minorBidi" w:cstheme="minorBidi"/>
        </w:rPr>
        <w:t>cutting-edge</w:t>
      </w:r>
      <w:r w:rsidRPr="00082EC8">
        <w:rPr>
          <w:rFonts w:asciiTheme="minorBidi" w:hAnsiTheme="minorBidi" w:cstheme="minorBidi"/>
          <w:spacing w:val="-5"/>
        </w:rPr>
        <w:t xml:space="preserve"> </w:t>
      </w:r>
      <w:r w:rsidRPr="00082EC8">
        <w:rPr>
          <w:rFonts w:asciiTheme="minorBidi" w:hAnsiTheme="minorBidi" w:cstheme="minorBidi"/>
        </w:rPr>
        <w:t>methods</w:t>
      </w:r>
      <w:r w:rsidRPr="00082EC8">
        <w:rPr>
          <w:rFonts w:asciiTheme="minorBidi" w:hAnsiTheme="minorBidi" w:cstheme="minorBidi"/>
          <w:spacing w:val="-5"/>
        </w:rPr>
        <w:t xml:space="preserve"> </w:t>
      </w:r>
      <w:r w:rsidRPr="00082EC8">
        <w:rPr>
          <w:rFonts w:asciiTheme="minorBidi" w:hAnsiTheme="minorBidi" w:cstheme="minorBidi"/>
        </w:rPr>
        <w:t>to</w:t>
      </w:r>
      <w:r w:rsidRPr="00082EC8">
        <w:rPr>
          <w:rFonts w:asciiTheme="minorBidi" w:hAnsiTheme="minorBidi" w:cstheme="minorBidi"/>
          <w:spacing w:val="-5"/>
        </w:rPr>
        <w:t xml:space="preserve"> </w:t>
      </w:r>
      <w:r w:rsidRPr="00082EC8">
        <w:rPr>
          <w:rFonts w:asciiTheme="minorBidi" w:hAnsiTheme="minorBidi" w:cstheme="minorBidi"/>
        </w:rPr>
        <w:t xml:space="preserve">understand how social, behavioural, economic, </w:t>
      </w:r>
      <w:proofErr w:type="gramStart"/>
      <w:r w:rsidRPr="00082EC8">
        <w:rPr>
          <w:rFonts w:asciiTheme="minorBidi" w:hAnsiTheme="minorBidi" w:cstheme="minorBidi"/>
        </w:rPr>
        <w:t>political</w:t>
      </w:r>
      <w:proofErr w:type="gramEnd"/>
      <w:r w:rsidRPr="00082EC8">
        <w:rPr>
          <w:rFonts w:asciiTheme="minorBidi" w:hAnsiTheme="minorBidi" w:cstheme="minorBidi"/>
        </w:rPr>
        <w:t xml:space="preserve"> and environmental factors influence health. We work with decision makers, </w:t>
      </w:r>
      <w:proofErr w:type="gramStart"/>
      <w:r w:rsidRPr="00082EC8">
        <w:rPr>
          <w:rFonts w:asciiTheme="minorBidi" w:hAnsiTheme="minorBidi" w:cstheme="minorBidi"/>
        </w:rPr>
        <w:t>practitioners</w:t>
      </w:r>
      <w:proofErr w:type="gramEnd"/>
      <w:r w:rsidRPr="00082EC8">
        <w:rPr>
          <w:rFonts w:asciiTheme="minorBidi" w:hAnsiTheme="minorBidi" w:cstheme="minorBidi"/>
        </w:rPr>
        <w:t xml:space="preserve"> and the public to identify interventions and policies that can have an effective and sustained impact on health and wellbeing, particularly among those most in need.</w:t>
      </w:r>
    </w:p>
    <w:p w14:paraId="0854340A" w14:textId="77777777" w:rsidR="0061400D" w:rsidRDefault="0061400D" w:rsidP="0061400D">
      <w:pPr>
        <w:rPr>
          <w:rFonts w:ascii="Arial" w:hAnsi="Arial" w:cs="Arial"/>
          <w:b/>
          <w:iCs/>
          <w:sz w:val="24"/>
          <w:szCs w:val="24"/>
        </w:rPr>
      </w:pPr>
    </w:p>
    <w:p w14:paraId="215D28DE" w14:textId="77777777" w:rsidR="0061400D" w:rsidRDefault="0061400D" w:rsidP="0061400D">
      <w:pPr>
        <w:rPr>
          <w:rFonts w:ascii="Arial" w:hAnsi="Arial" w:cs="Arial"/>
          <w:b/>
          <w:iCs/>
          <w:sz w:val="24"/>
          <w:szCs w:val="24"/>
        </w:rPr>
      </w:pPr>
      <w:r w:rsidRPr="00657F52">
        <w:rPr>
          <w:rFonts w:ascii="Arial" w:hAnsi="Arial" w:cs="Arial"/>
          <w:b/>
          <w:iCs/>
          <w:sz w:val="24"/>
          <w:szCs w:val="24"/>
        </w:rPr>
        <w:t>Our response</w:t>
      </w:r>
    </w:p>
    <w:p w14:paraId="0DF5A032" w14:textId="77777777" w:rsidR="0061400D" w:rsidRDefault="0061400D" w:rsidP="0061400D">
      <w:pPr>
        <w:rPr>
          <w:rFonts w:ascii="Arial" w:hAnsi="Arial" w:cs="Arial"/>
          <w:b/>
          <w:iCs/>
          <w:sz w:val="24"/>
          <w:szCs w:val="24"/>
        </w:rPr>
      </w:pPr>
    </w:p>
    <w:p w14:paraId="230F65F3" w14:textId="77777777" w:rsidR="0061400D" w:rsidRPr="00DF0360" w:rsidRDefault="0061400D" w:rsidP="0061400D">
      <w:pPr>
        <w:rPr>
          <w:rFonts w:ascii="Arial" w:hAnsi="Arial" w:cs="Arial"/>
          <w:bCs/>
          <w:iCs/>
        </w:rPr>
      </w:pPr>
      <w:r w:rsidRPr="00DF0360">
        <w:rPr>
          <w:rFonts w:ascii="Arial" w:hAnsi="Arial" w:cs="Arial"/>
          <w:bCs/>
          <w:iCs/>
        </w:rPr>
        <w:t>Key points</w:t>
      </w:r>
    </w:p>
    <w:p w14:paraId="20C6CF34" w14:textId="77777777" w:rsidR="0061400D" w:rsidRDefault="0061400D" w:rsidP="0061400D">
      <w:pPr>
        <w:rPr>
          <w:rFonts w:ascii="Arial" w:hAnsi="Arial" w:cs="Arial"/>
          <w:b/>
          <w:iCs/>
          <w:sz w:val="24"/>
          <w:szCs w:val="24"/>
        </w:rPr>
      </w:pPr>
    </w:p>
    <w:p w14:paraId="0607D303" w14:textId="77777777" w:rsidR="0061400D" w:rsidRPr="00DF0360" w:rsidRDefault="0061400D" w:rsidP="0061400D">
      <w:pPr>
        <w:pStyle w:val="ListParagraph"/>
        <w:numPr>
          <w:ilvl w:val="0"/>
          <w:numId w:val="1"/>
        </w:numPr>
        <w:rPr>
          <w:rFonts w:ascii="Arial" w:hAnsi="Arial" w:cs="Arial"/>
          <w:b/>
          <w:iCs/>
          <w:sz w:val="24"/>
          <w:szCs w:val="24"/>
        </w:rPr>
      </w:pPr>
      <w:r w:rsidRPr="00DF0360">
        <w:rPr>
          <w:rFonts w:asciiTheme="minorBidi" w:hAnsiTheme="minorBidi"/>
        </w:rPr>
        <w:t>The</w:t>
      </w:r>
      <w:r w:rsidRPr="00DF0360">
        <w:rPr>
          <w:rFonts w:asciiTheme="minorBidi" w:hAnsiTheme="minorBidi"/>
          <w:spacing w:val="-2"/>
        </w:rPr>
        <w:t xml:space="preserve"> </w:t>
      </w:r>
      <w:r w:rsidRPr="00DF0360">
        <w:rPr>
          <w:rFonts w:asciiTheme="minorBidi" w:hAnsiTheme="minorBidi"/>
        </w:rPr>
        <w:t xml:space="preserve">most </w:t>
      </w:r>
      <w:r>
        <w:rPr>
          <w:rFonts w:asciiTheme="minorBidi" w:hAnsiTheme="minorBidi"/>
        </w:rPr>
        <w:t>effective</w:t>
      </w:r>
      <w:r w:rsidRPr="00DF0360">
        <w:rPr>
          <w:rFonts w:asciiTheme="minorBidi" w:hAnsiTheme="minorBidi"/>
          <w:spacing w:val="-3"/>
        </w:rPr>
        <w:t xml:space="preserve"> </w:t>
      </w:r>
      <w:r w:rsidRPr="00DF0360">
        <w:rPr>
          <w:rFonts w:asciiTheme="minorBidi" w:hAnsiTheme="minorBidi"/>
        </w:rPr>
        <w:t>ways</w:t>
      </w:r>
      <w:r w:rsidRPr="00DF0360">
        <w:rPr>
          <w:rFonts w:asciiTheme="minorBidi" w:hAnsiTheme="minorBidi"/>
          <w:spacing w:val="-4"/>
        </w:rPr>
        <w:t xml:space="preserve"> </w:t>
      </w:r>
      <w:r w:rsidRPr="00DF0360">
        <w:rPr>
          <w:rFonts w:asciiTheme="minorBidi" w:hAnsiTheme="minorBidi"/>
        </w:rPr>
        <w:t>to</w:t>
      </w:r>
      <w:r w:rsidRPr="00DF0360">
        <w:rPr>
          <w:rFonts w:asciiTheme="minorBidi" w:hAnsiTheme="minorBidi"/>
          <w:spacing w:val="-4"/>
        </w:rPr>
        <w:t xml:space="preserve"> </w:t>
      </w:r>
      <w:r>
        <w:rPr>
          <w:rFonts w:asciiTheme="minorBidi" w:hAnsiTheme="minorBidi"/>
        </w:rPr>
        <w:t>improve</w:t>
      </w:r>
      <w:r w:rsidRPr="00DF0360">
        <w:rPr>
          <w:rFonts w:asciiTheme="minorBidi" w:hAnsiTheme="minorBidi"/>
        </w:rPr>
        <w:t xml:space="preserve"> men’s health</w:t>
      </w:r>
      <w:r w:rsidRPr="00DF0360">
        <w:rPr>
          <w:rFonts w:asciiTheme="minorBidi" w:hAnsiTheme="minorBidi"/>
          <w:spacing w:val="-2"/>
        </w:rPr>
        <w:t xml:space="preserve"> </w:t>
      </w:r>
      <w:r w:rsidRPr="00DF0360">
        <w:rPr>
          <w:rFonts w:asciiTheme="minorBidi" w:hAnsiTheme="minorBidi"/>
        </w:rPr>
        <w:t>and</w:t>
      </w:r>
      <w:r w:rsidRPr="00DF0360">
        <w:rPr>
          <w:rFonts w:asciiTheme="minorBidi" w:hAnsiTheme="minorBidi"/>
          <w:spacing w:val="-4"/>
        </w:rPr>
        <w:t xml:space="preserve"> </w:t>
      </w:r>
      <w:r w:rsidRPr="00DF0360">
        <w:rPr>
          <w:rFonts w:asciiTheme="minorBidi" w:hAnsiTheme="minorBidi"/>
        </w:rPr>
        <w:t>reduce</w:t>
      </w:r>
      <w:r w:rsidRPr="00DF0360">
        <w:rPr>
          <w:rFonts w:asciiTheme="minorBidi" w:hAnsiTheme="minorBidi"/>
          <w:spacing w:val="-2"/>
        </w:rPr>
        <w:t xml:space="preserve"> </w:t>
      </w:r>
      <w:r w:rsidRPr="00DF0360">
        <w:rPr>
          <w:rFonts w:asciiTheme="minorBidi" w:hAnsiTheme="minorBidi"/>
        </w:rPr>
        <w:t>inequalities</w:t>
      </w:r>
      <w:r w:rsidRPr="00DF0360">
        <w:rPr>
          <w:rFonts w:asciiTheme="minorBidi" w:hAnsiTheme="minorBidi"/>
          <w:spacing w:val="-2"/>
        </w:rPr>
        <w:t xml:space="preserve"> </w:t>
      </w:r>
      <w:r w:rsidRPr="00DF0360">
        <w:rPr>
          <w:rFonts w:asciiTheme="minorBidi" w:hAnsiTheme="minorBidi"/>
        </w:rPr>
        <w:t xml:space="preserve">are ‘upstream’ </w:t>
      </w:r>
      <w:proofErr w:type="gramStart"/>
      <w:r w:rsidRPr="00DF0360">
        <w:rPr>
          <w:rFonts w:asciiTheme="minorBidi" w:hAnsiTheme="minorBidi"/>
        </w:rPr>
        <w:t>i.e.</w:t>
      </w:r>
      <w:proofErr w:type="gramEnd"/>
      <w:r w:rsidRPr="00DF0360">
        <w:rPr>
          <w:rFonts w:asciiTheme="minorBidi" w:hAnsiTheme="minorBidi"/>
        </w:rPr>
        <w:t xml:space="preserve"> they focus on the social and economic determinants of health such as income, employment, education, housing, transport and the environment.</w:t>
      </w:r>
    </w:p>
    <w:p w14:paraId="7536DAC0" w14:textId="77777777" w:rsidR="0061400D" w:rsidRDefault="0061400D" w:rsidP="0061400D">
      <w:pPr>
        <w:ind w:left="60"/>
        <w:rPr>
          <w:rFonts w:asciiTheme="minorBidi" w:hAnsiTheme="minorBidi" w:cstheme="minorBidi"/>
        </w:rPr>
      </w:pPr>
    </w:p>
    <w:p w14:paraId="5472EE96" w14:textId="77777777" w:rsidR="0061400D" w:rsidRPr="00DF0360" w:rsidRDefault="0061400D" w:rsidP="0061400D">
      <w:pPr>
        <w:pStyle w:val="ListParagraph"/>
        <w:numPr>
          <w:ilvl w:val="0"/>
          <w:numId w:val="1"/>
        </w:numPr>
        <w:rPr>
          <w:rFonts w:asciiTheme="minorBidi" w:hAnsiTheme="minorBidi"/>
        </w:rPr>
      </w:pPr>
      <w:r w:rsidRPr="00DF0360">
        <w:rPr>
          <w:rFonts w:asciiTheme="minorBidi" w:hAnsiTheme="minorBidi"/>
        </w:rPr>
        <w:t>‘Downstream’ interventions like individual behaviour change campaigns have limited effectiveness compared with enacting policies that tackle the root causes of</w:t>
      </w:r>
      <w:r>
        <w:rPr>
          <w:rFonts w:asciiTheme="minorBidi" w:hAnsiTheme="minorBidi"/>
        </w:rPr>
        <w:t xml:space="preserve"> ill health and inequalities.</w:t>
      </w:r>
      <w:r w:rsidRPr="00DF0360">
        <w:rPr>
          <w:rFonts w:asciiTheme="minorBidi" w:hAnsiTheme="minorBidi"/>
        </w:rPr>
        <w:t xml:space="preserve">  </w:t>
      </w:r>
    </w:p>
    <w:p w14:paraId="5837CDA0" w14:textId="77777777" w:rsidR="0061400D" w:rsidRDefault="0061400D" w:rsidP="0061400D">
      <w:pPr>
        <w:rPr>
          <w:rFonts w:asciiTheme="minorBidi" w:hAnsiTheme="minorBidi" w:cstheme="minorBidi"/>
        </w:rPr>
      </w:pPr>
    </w:p>
    <w:p w14:paraId="6FD86ADC" w14:textId="77777777" w:rsidR="0061400D" w:rsidRPr="00DF0360" w:rsidRDefault="0061400D" w:rsidP="0061400D">
      <w:pPr>
        <w:pStyle w:val="ListParagraph"/>
        <w:numPr>
          <w:ilvl w:val="0"/>
          <w:numId w:val="1"/>
        </w:numPr>
        <w:rPr>
          <w:rFonts w:asciiTheme="minorBidi" w:hAnsiTheme="minorBidi"/>
        </w:rPr>
      </w:pPr>
      <w:r w:rsidRPr="00DF0360">
        <w:rPr>
          <w:rFonts w:asciiTheme="minorBidi" w:hAnsiTheme="minorBidi"/>
        </w:rPr>
        <w:t>The most deprived men are at especially high risk of poor health and early death. We continue to have health inequalities because we continue to have s</w:t>
      </w:r>
      <w:r>
        <w:rPr>
          <w:rFonts w:asciiTheme="minorBidi" w:hAnsiTheme="minorBidi"/>
        </w:rPr>
        <w:t>ignificant s</w:t>
      </w:r>
      <w:r w:rsidRPr="00DF0360">
        <w:rPr>
          <w:rFonts w:asciiTheme="minorBidi" w:hAnsiTheme="minorBidi"/>
        </w:rPr>
        <w:t>ocial and economic inequalities. Measures to reduce poverty, including improvements to the welfare system, are essential.</w:t>
      </w:r>
    </w:p>
    <w:p w14:paraId="5C885DCD" w14:textId="77777777" w:rsidR="0061400D" w:rsidRPr="00963D0E" w:rsidRDefault="0061400D" w:rsidP="0061400D">
      <w:pPr>
        <w:rPr>
          <w:rFonts w:asciiTheme="minorBidi" w:hAnsiTheme="minorBidi" w:cstheme="minorBidi"/>
          <w:highlight w:val="lightGray"/>
        </w:rPr>
      </w:pPr>
    </w:p>
    <w:p w14:paraId="76836041" w14:textId="77777777" w:rsidR="0061400D" w:rsidRDefault="0061400D" w:rsidP="0061400D">
      <w:pPr>
        <w:rPr>
          <w:rFonts w:asciiTheme="minorBidi" w:hAnsiTheme="minorBidi" w:cstheme="minorBidi"/>
        </w:rPr>
      </w:pPr>
      <w:r>
        <w:rPr>
          <w:rFonts w:asciiTheme="minorBidi" w:hAnsiTheme="minorBidi" w:cstheme="minorBidi"/>
        </w:rPr>
        <w:t xml:space="preserve">This response focuses on evidence from studies conducted by the MRC/CSO Social and Public Health Sciences Unit relating to male life expectancy, suicide rates, use of health </w:t>
      </w:r>
      <w:r>
        <w:rPr>
          <w:rFonts w:asciiTheme="minorBidi" w:hAnsiTheme="minorBidi" w:cstheme="minorBidi"/>
        </w:rPr>
        <w:lastRenderedPageBreak/>
        <w:t xml:space="preserve">services and health inequalities. We do not address cancer deaths or the role of community/sports-based projects. </w:t>
      </w:r>
    </w:p>
    <w:p w14:paraId="29109533" w14:textId="77777777" w:rsidR="0061400D" w:rsidRDefault="0061400D" w:rsidP="0061400D">
      <w:pPr>
        <w:rPr>
          <w:rFonts w:asciiTheme="minorBidi" w:hAnsiTheme="minorBidi" w:cstheme="minorBidi"/>
        </w:rPr>
      </w:pPr>
    </w:p>
    <w:p w14:paraId="22B1318C" w14:textId="6AE6094E" w:rsidR="0061400D" w:rsidRPr="00803D24" w:rsidRDefault="0061400D" w:rsidP="0061400D">
      <w:pPr>
        <w:rPr>
          <w:rFonts w:asciiTheme="minorBidi" w:hAnsiTheme="minorBidi" w:cstheme="minorBidi"/>
          <w:u w:val="single"/>
        </w:rPr>
      </w:pPr>
      <w:r w:rsidRPr="00803D24">
        <w:rPr>
          <w:rFonts w:asciiTheme="minorBidi" w:hAnsiTheme="minorBidi" w:cstheme="minorBidi"/>
          <w:u w:val="single"/>
        </w:rPr>
        <w:t>Overall trend</w:t>
      </w:r>
      <w:r>
        <w:rPr>
          <w:rFonts w:asciiTheme="minorBidi" w:hAnsiTheme="minorBidi" w:cstheme="minorBidi"/>
          <w:u w:val="single"/>
        </w:rPr>
        <w:t>s</w:t>
      </w:r>
      <w:r w:rsidRPr="00803D24">
        <w:rPr>
          <w:rFonts w:asciiTheme="minorBidi" w:hAnsiTheme="minorBidi" w:cstheme="minorBidi"/>
          <w:u w:val="single"/>
        </w:rPr>
        <w:t xml:space="preserve"> in </w:t>
      </w:r>
      <w:r>
        <w:rPr>
          <w:rFonts w:asciiTheme="minorBidi" w:hAnsiTheme="minorBidi" w:cstheme="minorBidi"/>
          <w:u w:val="single"/>
        </w:rPr>
        <w:t xml:space="preserve">health and inequalities in </w:t>
      </w:r>
      <w:r w:rsidRPr="00803D24">
        <w:rPr>
          <w:rFonts w:asciiTheme="minorBidi" w:hAnsiTheme="minorBidi" w:cstheme="minorBidi"/>
          <w:u w:val="single"/>
        </w:rPr>
        <w:t>Scotland</w:t>
      </w:r>
      <w:r w:rsidRPr="00803D24">
        <w:rPr>
          <w:rFonts w:asciiTheme="minorBidi" w:hAnsiTheme="minorBidi" w:cstheme="minorBidi"/>
          <w:u w:val="single"/>
        </w:rPr>
        <w:br/>
      </w:r>
    </w:p>
    <w:p w14:paraId="02C69185" w14:textId="77777777" w:rsidR="0061400D" w:rsidRDefault="0061400D" w:rsidP="0061400D">
      <w:pPr>
        <w:rPr>
          <w:rFonts w:asciiTheme="minorBidi" w:hAnsiTheme="minorBidi" w:cstheme="minorBidi"/>
        </w:rPr>
      </w:pPr>
      <w:r w:rsidRPr="00DF629C">
        <w:rPr>
          <w:rFonts w:asciiTheme="minorBidi" w:eastAsia="Times New Roman" w:hAnsiTheme="minorBidi" w:cstheme="minorBidi"/>
        </w:rPr>
        <w:t>Last year we published a report on trends in health inequalities in Scotland since the year 2000</w:t>
      </w:r>
      <w:r>
        <w:rPr>
          <w:rFonts w:asciiTheme="minorBidi" w:eastAsia="Times New Roman" w:hAnsiTheme="minorBidi" w:cstheme="minorBidi"/>
        </w:rPr>
        <w:t xml:space="preserve">. This showed that </w:t>
      </w:r>
      <w:r>
        <w:rPr>
          <w:rFonts w:asciiTheme="minorBidi" w:hAnsiTheme="minorBidi" w:cstheme="minorBidi"/>
        </w:rPr>
        <w:t>b</w:t>
      </w:r>
      <w:r w:rsidRPr="00963D0E">
        <w:rPr>
          <w:rFonts w:asciiTheme="minorBidi" w:hAnsiTheme="minorBidi" w:cstheme="minorBidi"/>
        </w:rPr>
        <w:t xml:space="preserve">etween 2000 and 2012, life expectancy was increasing, and avoidable mortality was decreasing. Progress was being made in deaths from cancer and cardiovascular disease, alcohol deaths, and suicides. In line with these improvements, absolute inequalities in mortality outcomes </w:t>
      </w:r>
      <w:r>
        <w:rPr>
          <w:rFonts w:asciiTheme="minorBidi" w:hAnsiTheme="minorBidi" w:cstheme="minorBidi"/>
        </w:rPr>
        <w:t xml:space="preserve">- including in men - </w:t>
      </w:r>
      <w:r w:rsidRPr="00963D0E">
        <w:rPr>
          <w:rFonts w:asciiTheme="minorBidi" w:hAnsiTheme="minorBidi" w:cstheme="minorBidi"/>
        </w:rPr>
        <w:t xml:space="preserve">were generally reducing. However, in the decade since we have seen </w:t>
      </w:r>
      <w:r>
        <w:rPr>
          <w:rFonts w:asciiTheme="minorBidi" w:hAnsiTheme="minorBidi" w:cstheme="minorBidi"/>
        </w:rPr>
        <w:t>these improvements stall</w:t>
      </w:r>
      <w:r w:rsidRPr="00963D0E">
        <w:rPr>
          <w:rFonts w:asciiTheme="minorBidi" w:hAnsiTheme="minorBidi" w:cstheme="minorBidi"/>
        </w:rPr>
        <w:t xml:space="preserve"> and in some cases outcomes and inequalities</w:t>
      </w:r>
      <w:r>
        <w:rPr>
          <w:rFonts w:asciiTheme="minorBidi" w:hAnsiTheme="minorBidi" w:cstheme="minorBidi"/>
        </w:rPr>
        <w:t xml:space="preserve"> have worsened.</w:t>
      </w:r>
    </w:p>
    <w:p w14:paraId="16C93DA3" w14:textId="77777777" w:rsidR="0061400D" w:rsidRDefault="0061400D" w:rsidP="0061400D">
      <w:pPr>
        <w:rPr>
          <w:rFonts w:asciiTheme="minorBidi" w:hAnsiTheme="minorBidi" w:cstheme="minorBidi"/>
        </w:rPr>
      </w:pPr>
    </w:p>
    <w:p w14:paraId="414E5109" w14:textId="77777777" w:rsidR="0061400D" w:rsidRPr="003D186A" w:rsidRDefault="0061400D" w:rsidP="0061400D">
      <w:pPr>
        <w:rPr>
          <w:rFonts w:asciiTheme="minorBidi" w:hAnsiTheme="minorBidi" w:cstheme="minorBidi"/>
        </w:rPr>
      </w:pPr>
      <w:r>
        <w:rPr>
          <w:rFonts w:asciiTheme="minorBidi" w:hAnsiTheme="minorBidi" w:cstheme="minorBidi"/>
        </w:rPr>
        <w:t xml:space="preserve">Looking across this period of around twenty years provides an opportunity to reflect on these key </w:t>
      </w:r>
      <w:proofErr w:type="gramStart"/>
      <w:r>
        <w:rPr>
          <w:rFonts w:asciiTheme="minorBidi" w:hAnsiTheme="minorBidi" w:cstheme="minorBidi"/>
        </w:rPr>
        <w:t>trends, and</w:t>
      </w:r>
      <w:proofErr w:type="gramEnd"/>
      <w:r w:rsidRPr="003D186A">
        <w:rPr>
          <w:rFonts w:asciiTheme="minorBidi" w:hAnsiTheme="minorBidi" w:cstheme="minorBidi"/>
        </w:rPr>
        <w:t xml:space="preserve"> demonstrates that </w:t>
      </w:r>
      <w:r>
        <w:rPr>
          <w:rFonts w:asciiTheme="minorBidi" w:hAnsiTheme="minorBidi" w:cstheme="minorBidi"/>
        </w:rPr>
        <w:t>improvements to population health outcomes</w:t>
      </w:r>
      <w:r w:rsidRPr="003D186A">
        <w:rPr>
          <w:rFonts w:asciiTheme="minorBidi" w:hAnsiTheme="minorBidi" w:cstheme="minorBidi"/>
        </w:rPr>
        <w:t xml:space="preserve"> are possible </w:t>
      </w:r>
      <w:r>
        <w:rPr>
          <w:rFonts w:asciiTheme="minorBidi" w:hAnsiTheme="minorBidi" w:cstheme="minorBidi"/>
        </w:rPr>
        <w:t>and</w:t>
      </w:r>
      <w:r w:rsidRPr="003D186A">
        <w:rPr>
          <w:rFonts w:asciiTheme="minorBidi" w:hAnsiTheme="minorBidi" w:cstheme="minorBidi"/>
        </w:rPr>
        <w:t xml:space="preserve"> within our powers to </w:t>
      </w:r>
      <w:r>
        <w:rPr>
          <w:rFonts w:asciiTheme="minorBidi" w:hAnsiTheme="minorBidi" w:cstheme="minorBidi"/>
        </w:rPr>
        <w:t>achieve.</w:t>
      </w:r>
    </w:p>
    <w:p w14:paraId="7487A74C" w14:textId="77777777" w:rsidR="0061400D" w:rsidRDefault="0061400D" w:rsidP="0061400D">
      <w:pPr>
        <w:rPr>
          <w:rFonts w:asciiTheme="minorBidi" w:hAnsiTheme="minorBidi" w:cstheme="minorBidi"/>
        </w:rPr>
      </w:pPr>
    </w:p>
    <w:p w14:paraId="132A176E" w14:textId="77777777" w:rsidR="0061400D" w:rsidRPr="00E87E19" w:rsidRDefault="0061400D" w:rsidP="0061400D">
      <w:pPr>
        <w:rPr>
          <w:rFonts w:asciiTheme="minorBidi" w:hAnsiTheme="minorBidi" w:cstheme="minorBidi"/>
          <w:sz w:val="20"/>
          <w:szCs w:val="20"/>
        </w:rPr>
      </w:pPr>
      <w:r w:rsidRPr="00E87E19">
        <w:rPr>
          <w:rFonts w:asciiTheme="minorBidi" w:hAnsiTheme="minorBidi" w:cstheme="minorBidi"/>
          <w:sz w:val="20"/>
          <w:szCs w:val="20"/>
        </w:rPr>
        <w:t xml:space="preserve">Reference - </w:t>
      </w:r>
      <w:r w:rsidRPr="00C949DF">
        <w:rPr>
          <w:rFonts w:asciiTheme="minorBidi" w:hAnsiTheme="minorBidi" w:cstheme="minorBidi"/>
          <w:sz w:val="20"/>
          <w:szCs w:val="20"/>
        </w:rPr>
        <w:t>Miall, N., Fergie, G. and Pearce, A. (2022) Health Inequalities in Scotland: trends in deaths, health and wellbeing, health behaviours, and health services since 2000. Project Report. University of Glasgow.</w:t>
      </w:r>
      <w:r w:rsidRPr="00E87E19">
        <w:rPr>
          <w:rFonts w:asciiTheme="minorBidi" w:hAnsiTheme="minorBidi" w:cstheme="minorBidi"/>
          <w:sz w:val="20"/>
          <w:szCs w:val="20"/>
        </w:rPr>
        <w:t xml:space="preserve"> </w:t>
      </w:r>
      <w:r>
        <w:rPr>
          <w:rFonts w:asciiTheme="minorBidi" w:hAnsiTheme="minorBidi" w:cstheme="minorBidi"/>
          <w:sz w:val="20"/>
          <w:szCs w:val="20"/>
        </w:rPr>
        <w:t>(</w:t>
      </w:r>
      <w:proofErr w:type="spellStart"/>
      <w:r>
        <w:fldChar w:fldCharType="begin"/>
      </w:r>
      <w:r>
        <w:instrText>HYPERLINK "https://www.gla.ac.uk/media/Media_892338_smxx.pdf"</w:instrText>
      </w:r>
      <w:r>
        <w:fldChar w:fldCharType="separate"/>
      </w:r>
      <w:r w:rsidRPr="007A1B29">
        <w:rPr>
          <w:rStyle w:val="Hyperlink"/>
          <w:rFonts w:asciiTheme="minorBidi" w:hAnsiTheme="minorBidi" w:cstheme="minorBidi"/>
          <w:sz w:val="20"/>
          <w:szCs w:val="20"/>
        </w:rPr>
        <w:t>doi</w:t>
      </w:r>
      <w:proofErr w:type="spellEnd"/>
      <w:r w:rsidRPr="007A1B29">
        <w:rPr>
          <w:rStyle w:val="Hyperlink"/>
          <w:rFonts w:asciiTheme="minorBidi" w:hAnsiTheme="minorBidi" w:cstheme="minorBidi"/>
          <w:sz w:val="20"/>
          <w:szCs w:val="20"/>
        </w:rPr>
        <w:t>: 10.36399/gla.pubs.282637</w:t>
      </w:r>
      <w:r>
        <w:rPr>
          <w:rStyle w:val="Hyperlink"/>
          <w:rFonts w:asciiTheme="minorBidi" w:hAnsiTheme="minorBidi" w:cstheme="minorBidi"/>
          <w:sz w:val="20"/>
          <w:szCs w:val="20"/>
        </w:rPr>
        <w:fldChar w:fldCharType="end"/>
      </w:r>
      <w:r>
        <w:rPr>
          <w:rFonts w:asciiTheme="minorBidi" w:hAnsiTheme="minorBidi" w:cstheme="minorBidi"/>
          <w:sz w:val="20"/>
          <w:szCs w:val="20"/>
        </w:rPr>
        <w:t>)</w:t>
      </w:r>
    </w:p>
    <w:p w14:paraId="50D1A483" w14:textId="77777777" w:rsidR="0061400D" w:rsidRPr="006A06F4" w:rsidRDefault="0061400D" w:rsidP="0061400D">
      <w:pPr>
        <w:rPr>
          <w:rFonts w:asciiTheme="minorBidi" w:hAnsiTheme="minorBidi" w:cstheme="minorBidi"/>
        </w:rPr>
      </w:pPr>
    </w:p>
    <w:p w14:paraId="15A10F5B" w14:textId="77777777" w:rsidR="0061400D" w:rsidRPr="00AA4875" w:rsidRDefault="0061400D" w:rsidP="0061400D">
      <w:pPr>
        <w:rPr>
          <w:rFonts w:asciiTheme="minorBidi" w:hAnsiTheme="minorBidi" w:cstheme="minorBidi"/>
          <w:u w:val="single"/>
        </w:rPr>
      </w:pPr>
      <w:r w:rsidRPr="00AA4875">
        <w:rPr>
          <w:rFonts w:asciiTheme="minorBidi" w:hAnsiTheme="minorBidi" w:cstheme="minorBidi"/>
          <w:u w:val="single"/>
        </w:rPr>
        <w:t>Young and middle-aged men</w:t>
      </w:r>
      <w:r>
        <w:rPr>
          <w:rFonts w:asciiTheme="minorBidi" w:hAnsiTheme="minorBidi" w:cstheme="minorBidi"/>
          <w:u w:val="single"/>
        </w:rPr>
        <w:t xml:space="preserve"> are faring particularly </w:t>
      </w:r>
      <w:proofErr w:type="gramStart"/>
      <w:r>
        <w:rPr>
          <w:rFonts w:asciiTheme="minorBidi" w:hAnsiTheme="minorBidi" w:cstheme="minorBidi"/>
          <w:u w:val="single"/>
        </w:rPr>
        <w:t>badly</w:t>
      </w:r>
      <w:proofErr w:type="gramEnd"/>
    </w:p>
    <w:p w14:paraId="5ED6E0C3" w14:textId="77777777" w:rsidR="0061400D" w:rsidRPr="00963D0E" w:rsidRDefault="0061400D" w:rsidP="0061400D">
      <w:pPr>
        <w:rPr>
          <w:rFonts w:asciiTheme="minorBidi" w:hAnsiTheme="minorBidi" w:cstheme="minorBidi"/>
        </w:rPr>
      </w:pPr>
    </w:p>
    <w:p w14:paraId="74797659" w14:textId="77777777" w:rsidR="0061400D" w:rsidRDefault="0061400D" w:rsidP="0061400D">
      <w:pPr>
        <w:rPr>
          <w:rFonts w:asciiTheme="minorBidi" w:hAnsiTheme="minorBidi" w:cstheme="minorBidi"/>
        </w:rPr>
      </w:pPr>
      <w:r w:rsidRPr="00963D0E">
        <w:rPr>
          <w:rFonts w:asciiTheme="minorBidi" w:hAnsiTheme="minorBidi" w:cstheme="minorBidi"/>
        </w:rPr>
        <w:t xml:space="preserve">Young and middle-aged men are faring particularly badly for some </w:t>
      </w:r>
      <w:r>
        <w:rPr>
          <w:rFonts w:asciiTheme="minorBidi" w:hAnsiTheme="minorBidi" w:cstheme="minorBidi"/>
        </w:rPr>
        <w:t xml:space="preserve">health </w:t>
      </w:r>
      <w:r w:rsidRPr="00963D0E">
        <w:rPr>
          <w:rFonts w:asciiTheme="minorBidi" w:hAnsiTheme="minorBidi" w:cstheme="minorBidi"/>
        </w:rPr>
        <w:t>outcomes</w:t>
      </w:r>
      <w:r>
        <w:rPr>
          <w:rFonts w:asciiTheme="minorBidi" w:hAnsiTheme="minorBidi" w:cstheme="minorBidi"/>
        </w:rPr>
        <w:t xml:space="preserve">, especially those living in the most deprived areas. </w:t>
      </w:r>
      <w:r w:rsidRPr="00963D0E">
        <w:rPr>
          <w:rFonts w:asciiTheme="minorBidi" w:hAnsiTheme="minorBidi" w:cstheme="minorBidi"/>
        </w:rPr>
        <w:t>For men living in the most deprived tenth of areas</w:t>
      </w:r>
      <w:r>
        <w:rPr>
          <w:rFonts w:asciiTheme="minorBidi" w:hAnsiTheme="minorBidi" w:cstheme="minorBidi"/>
        </w:rPr>
        <w:t xml:space="preserve"> in Scotland,</w:t>
      </w:r>
      <w:r w:rsidRPr="00963D0E">
        <w:rPr>
          <w:rFonts w:asciiTheme="minorBidi" w:hAnsiTheme="minorBidi" w:cstheme="minorBidi"/>
        </w:rPr>
        <w:t xml:space="preserve"> healthy life expectancy fell by almost five years (between 2015 and 2020) to </w:t>
      </w:r>
      <w:r>
        <w:rPr>
          <w:rFonts w:asciiTheme="minorBidi" w:hAnsiTheme="minorBidi" w:cstheme="minorBidi"/>
        </w:rPr>
        <w:t xml:space="preserve">just </w:t>
      </w:r>
      <w:r w:rsidRPr="00963D0E">
        <w:rPr>
          <w:rFonts w:asciiTheme="minorBidi" w:hAnsiTheme="minorBidi" w:cstheme="minorBidi"/>
        </w:rPr>
        <w:t xml:space="preserve">45 years, compared to being maintained at around 70 years for men living in the least deprived tenth of areas. </w:t>
      </w:r>
    </w:p>
    <w:p w14:paraId="72BE288B" w14:textId="77777777" w:rsidR="0061400D" w:rsidRDefault="0061400D" w:rsidP="0061400D">
      <w:pPr>
        <w:rPr>
          <w:rFonts w:asciiTheme="minorBidi" w:hAnsiTheme="minorBidi" w:cstheme="minorBidi"/>
        </w:rPr>
      </w:pPr>
    </w:p>
    <w:p w14:paraId="04265236" w14:textId="77777777" w:rsidR="0061400D" w:rsidRDefault="0061400D" w:rsidP="0061400D">
      <w:pPr>
        <w:rPr>
          <w:rFonts w:asciiTheme="minorBidi" w:hAnsiTheme="minorBidi" w:cstheme="minorBidi"/>
        </w:rPr>
      </w:pPr>
      <w:r>
        <w:rPr>
          <w:rFonts w:asciiTheme="minorBidi" w:hAnsiTheme="minorBidi" w:cstheme="minorBidi"/>
        </w:rPr>
        <w:t>Men living in</w:t>
      </w:r>
      <w:r w:rsidRPr="00963D0E">
        <w:rPr>
          <w:rFonts w:asciiTheme="minorBidi" w:hAnsiTheme="minorBidi" w:cstheme="minorBidi"/>
        </w:rPr>
        <w:t xml:space="preserve"> deprived areas are most likely to experience </w:t>
      </w:r>
      <w:r>
        <w:rPr>
          <w:rFonts w:asciiTheme="minorBidi" w:hAnsiTheme="minorBidi" w:cstheme="minorBidi"/>
        </w:rPr>
        <w:t xml:space="preserve">the </w:t>
      </w:r>
      <w:r w:rsidRPr="00963D0E">
        <w:rPr>
          <w:rFonts w:asciiTheme="minorBidi" w:hAnsiTheme="minorBidi" w:cstheme="minorBidi"/>
        </w:rPr>
        <w:t xml:space="preserve">multiple overlapping social disadvantages </w:t>
      </w:r>
      <w:proofErr w:type="gramStart"/>
      <w:r>
        <w:rPr>
          <w:rFonts w:asciiTheme="minorBidi" w:hAnsiTheme="minorBidi" w:cstheme="minorBidi"/>
        </w:rPr>
        <w:t>i.e.</w:t>
      </w:r>
      <w:proofErr w:type="gramEnd"/>
      <w:r>
        <w:rPr>
          <w:rFonts w:asciiTheme="minorBidi" w:hAnsiTheme="minorBidi" w:cstheme="minorBidi"/>
        </w:rPr>
        <w:t xml:space="preserve"> </w:t>
      </w:r>
      <w:r w:rsidRPr="00963D0E">
        <w:rPr>
          <w:rFonts w:asciiTheme="minorBidi" w:hAnsiTheme="minorBidi" w:cstheme="minorBidi"/>
        </w:rPr>
        <w:t>homelessness, justice involvement, opioid dependence, and psychosis</w:t>
      </w:r>
      <w:r>
        <w:rPr>
          <w:rFonts w:asciiTheme="minorBidi" w:hAnsiTheme="minorBidi" w:cstheme="minorBidi"/>
        </w:rPr>
        <w:t>, that are</w:t>
      </w:r>
      <w:r w:rsidRPr="00963D0E">
        <w:rPr>
          <w:rFonts w:asciiTheme="minorBidi" w:hAnsiTheme="minorBidi" w:cstheme="minorBidi"/>
        </w:rPr>
        <w:t xml:space="preserve"> associated with premature mortality.</w:t>
      </w:r>
      <w:r w:rsidRPr="00AB5BDB">
        <w:rPr>
          <w:rFonts w:asciiTheme="minorBidi" w:hAnsiTheme="minorBidi" w:cstheme="minorBidi"/>
        </w:rPr>
        <w:t xml:space="preserve"> </w:t>
      </w:r>
      <w:r>
        <w:rPr>
          <w:rFonts w:asciiTheme="minorBidi" w:hAnsiTheme="minorBidi" w:cstheme="minorBidi"/>
        </w:rPr>
        <w:t>The</w:t>
      </w:r>
      <w:r w:rsidRPr="00963D0E">
        <w:rPr>
          <w:rFonts w:asciiTheme="minorBidi" w:hAnsiTheme="minorBidi" w:cstheme="minorBidi"/>
        </w:rPr>
        <w:t xml:space="preserve"> rise in drug deaths</w:t>
      </w:r>
      <w:r>
        <w:rPr>
          <w:rFonts w:asciiTheme="minorBidi" w:hAnsiTheme="minorBidi" w:cstheme="minorBidi"/>
        </w:rPr>
        <w:t xml:space="preserve"> from 10 to 24 per 100,000 between 2013 and 2020 in Scotland</w:t>
      </w:r>
      <w:r w:rsidRPr="00963D0E">
        <w:rPr>
          <w:rFonts w:asciiTheme="minorBidi" w:hAnsiTheme="minorBidi" w:cstheme="minorBidi"/>
        </w:rPr>
        <w:t xml:space="preserve"> </w:t>
      </w:r>
      <w:r>
        <w:rPr>
          <w:rFonts w:asciiTheme="minorBidi" w:hAnsiTheme="minorBidi" w:cstheme="minorBidi"/>
        </w:rPr>
        <w:t>was</w:t>
      </w:r>
      <w:r w:rsidRPr="00963D0E">
        <w:rPr>
          <w:rFonts w:asciiTheme="minorBidi" w:hAnsiTheme="minorBidi" w:cstheme="minorBidi"/>
        </w:rPr>
        <w:t xml:space="preserve"> largely concentrated among men. </w:t>
      </w:r>
    </w:p>
    <w:p w14:paraId="4D2CA2E1" w14:textId="77777777" w:rsidR="0061400D" w:rsidRDefault="0061400D" w:rsidP="0061400D">
      <w:pPr>
        <w:rPr>
          <w:rFonts w:asciiTheme="minorBidi" w:hAnsiTheme="minorBidi" w:cstheme="minorBidi"/>
        </w:rPr>
      </w:pPr>
    </w:p>
    <w:p w14:paraId="44717398" w14:textId="77777777" w:rsidR="0061400D" w:rsidRDefault="0061400D" w:rsidP="0061400D">
      <w:pPr>
        <w:rPr>
          <w:rFonts w:asciiTheme="minorBidi" w:hAnsiTheme="minorBidi" w:cstheme="minorBidi"/>
        </w:rPr>
      </w:pPr>
      <w:r w:rsidRPr="00AA4875">
        <w:rPr>
          <w:rFonts w:asciiTheme="minorBidi" w:hAnsiTheme="minorBidi" w:cstheme="minorBidi"/>
        </w:rPr>
        <w:t xml:space="preserve">We also know that young and middle-aged men are most likely to miss outpatient appointments. </w:t>
      </w:r>
      <w:r>
        <w:rPr>
          <w:rFonts w:asciiTheme="minorBidi" w:hAnsiTheme="minorBidi" w:cstheme="minorBidi"/>
        </w:rPr>
        <w:t>The</w:t>
      </w:r>
      <w:r w:rsidRPr="00AA4875">
        <w:rPr>
          <w:rFonts w:asciiTheme="minorBidi" w:hAnsiTheme="minorBidi" w:cstheme="minorBidi"/>
        </w:rPr>
        <w:t xml:space="preserve"> proportion of outpatient and GP appointments where the patient ‘Did Not Attend’</w:t>
      </w:r>
      <w:r>
        <w:rPr>
          <w:rFonts w:asciiTheme="minorBidi" w:hAnsiTheme="minorBidi" w:cstheme="minorBidi"/>
        </w:rPr>
        <w:t xml:space="preserve"> (DNA)</w:t>
      </w:r>
      <w:r w:rsidRPr="00AA4875">
        <w:rPr>
          <w:rFonts w:asciiTheme="minorBidi" w:hAnsiTheme="minorBidi" w:cstheme="minorBidi"/>
        </w:rPr>
        <w:t xml:space="preserve"> is three times higher in the most deprived fifth of areas compared to the least.</w:t>
      </w:r>
    </w:p>
    <w:p w14:paraId="4F6C7099" w14:textId="77777777" w:rsidR="0061400D" w:rsidRPr="00CC239E" w:rsidRDefault="0061400D" w:rsidP="0061400D">
      <w:pPr>
        <w:rPr>
          <w:rFonts w:asciiTheme="minorBidi" w:hAnsiTheme="minorBidi" w:cstheme="minorBidi"/>
        </w:rPr>
      </w:pPr>
      <w:r>
        <w:rPr>
          <w:rFonts w:asciiTheme="minorBidi" w:hAnsiTheme="minorBidi" w:cstheme="minorBidi"/>
        </w:rPr>
        <w:t>DNAs</w:t>
      </w:r>
      <w:r w:rsidRPr="00CC239E">
        <w:rPr>
          <w:rFonts w:asciiTheme="minorBidi" w:hAnsiTheme="minorBidi" w:cstheme="minorBidi"/>
        </w:rPr>
        <w:t xml:space="preserve"> are thought to be especially high for appointments at alcohol and drug related services, due to the multiple barriers that drug and alcohol users experience, related to poor health, stigma, and wider social disadvantages.</w:t>
      </w:r>
    </w:p>
    <w:p w14:paraId="0E288A62" w14:textId="77777777" w:rsidR="0061400D" w:rsidRDefault="0061400D" w:rsidP="0061400D">
      <w:pPr>
        <w:rPr>
          <w:rFonts w:asciiTheme="minorBidi" w:hAnsiTheme="minorBidi" w:cstheme="minorBidi"/>
        </w:rPr>
      </w:pPr>
    </w:p>
    <w:p w14:paraId="44517B30" w14:textId="77777777" w:rsidR="0061400D" w:rsidRDefault="0061400D" w:rsidP="0061400D">
      <w:pPr>
        <w:rPr>
          <w:rFonts w:asciiTheme="minorBidi" w:hAnsiTheme="minorBidi" w:cstheme="minorBidi"/>
        </w:rPr>
      </w:pPr>
      <w:r w:rsidRPr="00921914">
        <w:rPr>
          <w:rFonts w:asciiTheme="minorBidi" w:hAnsiTheme="minorBidi" w:cstheme="minorBidi"/>
        </w:rPr>
        <w:t>A life course framework can help us to consider why there are especially high rates of ill health and deaths in the most deprived groups. Possible explanations include the accumulative effects of social disadvantage on health across the life course, the strong links between children’s educational and employment opportunities and that of their parents, and the negative consequences that ill health can have for life opportunities such as</w:t>
      </w:r>
      <w:r>
        <w:rPr>
          <w:rFonts w:asciiTheme="minorBidi" w:hAnsiTheme="minorBidi" w:cstheme="minorBidi"/>
        </w:rPr>
        <w:t xml:space="preserve"> </w:t>
      </w:r>
      <w:r w:rsidRPr="00921914">
        <w:rPr>
          <w:rFonts w:asciiTheme="minorBidi" w:hAnsiTheme="minorBidi" w:cstheme="minorBidi"/>
        </w:rPr>
        <w:t>employment. These can lead to the perpetuation and deepening of health inequalities across people’s lives and from one generation to the next.</w:t>
      </w:r>
    </w:p>
    <w:p w14:paraId="04EFB303" w14:textId="77777777" w:rsidR="0061400D" w:rsidRDefault="0061400D" w:rsidP="0061400D">
      <w:pPr>
        <w:rPr>
          <w:rFonts w:asciiTheme="minorBidi" w:hAnsiTheme="minorBidi" w:cstheme="minorBidi"/>
        </w:rPr>
      </w:pPr>
    </w:p>
    <w:p w14:paraId="7AB33402" w14:textId="77777777" w:rsidR="0061400D" w:rsidRPr="00E87E19" w:rsidRDefault="0061400D" w:rsidP="0061400D">
      <w:pPr>
        <w:rPr>
          <w:rFonts w:asciiTheme="minorBidi" w:hAnsiTheme="minorBidi" w:cstheme="minorBidi"/>
          <w:sz w:val="20"/>
          <w:szCs w:val="20"/>
        </w:rPr>
      </w:pPr>
      <w:r w:rsidRPr="00E87E19">
        <w:rPr>
          <w:rFonts w:asciiTheme="minorBidi" w:hAnsiTheme="minorBidi" w:cstheme="minorBidi"/>
          <w:sz w:val="20"/>
          <w:szCs w:val="20"/>
        </w:rPr>
        <w:t xml:space="preserve">Reference - </w:t>
      </w:r>
      <w:r w:rsidRPr="00C949DF">
        <w:rPr>
          <w:rFonts w:asciiTheme="minorBidi" w:hAnsiTheme="minorBidi" w:cstheme="minorBidi"/>
          <w:sz w:val="20"/>
          <w:szCs w:val="20"/>
        </w:rPr>
        <w:t>Miall, N., Fergie, G. and Pearce, A. (2022) Health Inequalities in Scotland: trends in deaths, health and wellbeing, health behaviours, and health services since 2000. Project Report. University of Glasgow.</w:t>
      </w:r>
      <w:r w:rsidRPr="00E87E19">
        <w:rPr>
          <w:rFonts w:asciiTheme="minorBidi" w:hAnsiTheme="minorBidi" w:cstheme="minorBidi"/>
          <w:sz w:val="20"/>
          <w:szCs w:val="20"/>
        </w:rPr>
        <w:t xml:space="preserve"> </w:t>
      </w:r>
      <w:r>
        <w:rPr>
          <w:rFonts w:asciiTheme="minorBidi" w:hAnsiTheme="minorBidi" w:cstheme="minorBidi"/>
          <w:sz w:val="20"/>
          <w:szCs w:val="20"/>
        </w:rPr>
        <w:t>(</w:t>
      </w:r>
      <w:proofErr w:type="spellStart"/>
      <w:r>
        <w:fldChar w:fldCharType="begin"/>
      </w:r>
      <w:r>
        <w:instrText>HYPERLINK "https://www.gla.ac.uk/media/Media_892338_smxx.pdf"</w:instrText>
      </w:r>
      <w:r>
        <w:fldChar w:fldCharType="separate"/>
      </w:r>
      <w:r w:rsidRPr="007A1B29">
        <w:rPr>
          <w:rStyle w:val="Hyperlink"/>
          <w:rFonts w:asciiTheme="minorBidi" w:hAnsiTheme="minorBidi" w:cstheme="minorBidi"/>
          <w:sz w:val="20"/>
          <w:szCs w:val="20"/>
        </w:rPr>
        <w:t>doi</w:t>
      </w:r>
      <w:proofErr w:type="spellEnd"/>
      <w:r w:rsidRPr="007A1B29">
        <w:rPr>
          <w:rStyle w:val="Hyperlink"/>
          <w:rFonts w:asciiTheme="minorBidi" w:hAnsiTheme="minorBidi" w:cstheme="minorBidi"/>
          <w:sz w:val="20"/>
          <w:szCs w:val="20"/>
        </w:rPr>
        <w:t>: 10.36399/gla.pubs.282637</w:t>
      </w:r>
      <w:r>
        <w:rPr>
          <w:rStyle w:val="Hyperlink"/>
          <w:rFonts w:asciiTheme="minorBidi" w:hAnsiTheme="minorBidi" w:cstheme="minorBidi"/>
          <w:sz w:val="20"/>
          <w:szCs w:val="20"/>
        </w:rPr>
        <w:fldChar w:fldCharType="end"/>
      </w:r>
      <w:r>
        <w:rPr>
          <w:rFonts w:asciiTheme="minorBidi" w:hAnsiTheme="minorBidi" w:cstheme="minorBidi"/>
          <w:sz w:val="20"/>
          <w:szCs w:val="20"/>
        </w:rPr>
        <w:t>)</w:t>
      </w:r>
    </w:p>
    <w:p w14:paraId="47DF1A3A" w14:textId="77777777" w:rsidR="0061400D" w:rsidRPr="00E87E19" w:rsidRDefault="0061400D" w:rsidP="0061400D">
      <w:pPr>
        <w:rPr>
          <w:rFonts w:asciiTheme="minorBidi" w:hAnsiTheme="minorBidi" w:cstheme="minorBidi"/>
          <w:sz w:val="20"/>
          <w:szCs w:val="20"/>
        </w:rPr>
      </w:pPr>
    </w:p>
    <w:p w14:paraId="54FDF351" w14:textId="77777777" w:rsidR="0061400D" w:rsidRPr="00C132AC" w:rsidRDefault="0061400D" w:rsidP="0061400D">
      <w:pPr>
        <w:pStyle w:val="Default"/>
        <w:rPr>
          <w:rFonts w:asciiTheme="minorBidi" w:hAnsiTheme="minorBidi" w:cstheme="minorBidi"/>
          <w:sz w:val="22"/>
          <w:szCs w:val="22"/>
        </w:rPr>
      </w:pPr>
      <w:r w:rsidRPr="00C132AC">
        <w:rPr>
          <w:rFonts w:asciiTheme="minorBidi" w:hAnsiTheme="minorBidi" w:cstheme="minorBidi"/>
          <w:sz w:val="22"/>
          <w:szCs w:val="22"/>
        </w:rPr>
        <w:t xml:space="preserve">There is a significant gender gap in higher education participation, and this has widened over time. By 2020/21, the difference between male and female participation rates in higher </w:t>
      </w:r>
      <w:r w:rsidRPr="00C132AC">
        <w:rPr>
          <w:rFonts w:asciiTheme="minorBidi" w:hAnsiTheme="minorBidi" w:cstheme="minorBidi"/>
          <w:sz w:val="22"/>
          <w:szCs w:val="22"/>
        </w:rPr>
        <w:lastRenderedPageBreak/>
        <w:t xml:space="preserve">education was a staggering 16 percentage points, with women much more likely to study in higher education than men. </w:t>
      </w:r>
    </w:p>
    <w:p w14:paraId="2D6C58DF" w14:textId="77777777" w:rsidR="0061400D" w:rsidRPr="00C132AC" w:rsidRDefault="0061400D" w:rsidP="0061400D">
      <w:pPr>
        <w:rPr>
          <w:rFonts w:asciiTheme="minorBidi" w:hAnsiTheme="minorBidi" w:cstheme="minorBidi"/>
        </w:rPr>
      </w:pPr>
    </w:p>
    <w:p w14:paraId="309A32D0" w14:textId="77777777" w:rsidR="0061400D" w:rsidRPr="000242C3" w:rsidRDefault="0061400D" w:rsidP="0061400D">
      <w:pPr>
        <w:rPr>
          <w:rFonts w:asciiTheme="minorBidi" w:hAnsiTheme="minorBidi" w:cstheme="minorBidi"/>
          <w:sz w:val="20"/>
          <w:szCs w:val="20"/>
        </w:rPr>
      </w:pPr>
      <w:r w:rsidRPr="00E82A72">
        <w:rPr>
          <w:rFonts w:asciiTheme="minorBidi" w:hAnsiTheme="minorBidi" w:cstheme="minorBidi"/>
          <w:sz w:val="20"/>
          <w:szCs w:val="20"/>
        </w:rPr>
        <w:t>Reference – Eiser</w:t>
      </w:r>
      <w:r>
        <w:rPr>
          <w:rFonts w:asciiTheme="minorBidi" w:hAnsiTheme="minorBidi" w:cstheme="minorBidi"/>
          <w:sz w:val="20"/>
          <w:szCs w:val="20"/>
        </w:rPr>
        <w:t>,</w:t>
      </w:r>
      <w:r w:rsidRPr="00E82A72">
        <w:rPr>
          <w:rFonts w:asciiTheme="minorBidi" w:hAnsiTheme="minorBidi" w:cstheme="minorBidi"/>
          <w:sz w:val="20"/>
          <w:szCs w:val="20"/>
        </w:rPr>
        <w:t xml:space="preserve"> D., Congreve</w:t>
      </w:r>
      <w:r>
        <w:rPr>
          <w:rFonts w:asciiTheme="minorBidi" w:hAnsiTheme="minorBidi" w:cstheme="minorBidi"/>
          <w:sz w:val="20"/>
          <w:szCs w:val="20"/>
        </w:rPr>
        <w:t>,</w:t>
      </w:r>
      <w:r w:rsidRPr="00E82A72">
        <w:rPr>
          <w:rFonts w:asciiTheme="minorBidi" w:hAnsiTheme="minorBidi" w:cstheme="minorBidi"/>
          <w:sz w:val="20"/>
          <w:szCs w:val="20"/>
        </w:rPr>
        <w:t xml:space="preserve"> E., Crummey</w:t>
      </w:r>
      <w:r>
        <w:rPr>
          <w:rFonts w:asciiTheme="minorBidi" w:hAnsiTheme="minorBidi" w:cstheme="minorBidi"/>
          <w:sz w:val="20"/>
          <w:szCs w:val="20"/>
        </w:rPr>
        <w:t>,</w:t>
      </w:r>
      <w:r w:rsidRPr="00E82A72">
        <w:rPr>
          <w:rFonts w:asciiTheme="minorBidi" w:hAnsiTheme="minorBidi" w:cstheme="minorBidi"/>
          <w:sz w:val="20"/>
          <w:szCs w:val="20"/>
        </w:rPr>
        <w:t xml:space="preserve"> C</w:t>
      </w:r>
      <w:r>
        <w:rPr>
          <w:rFonts w:asciiTheme="minorBidi" w:hAnsiTheme="minorBidi" w:cstheme="minorBidi"/>
          <w:sz w:val="20"/>
          <w:szCs w:val="20"/>
        </w:rPr>
        <w:t xml:space="preserve">. &amp; </w:t>
      </w:r>
      <w:r w:rsidRPr="00E82A72">
        <w:rPr>
          <w:rFonts w:asciiTheme="minorBidi" w:hAnsiTheme="minorBidi" w:cstheme="minorBidi"/>
          <w:sz w:val="20"/>
          <w:szCs w:val="20"/>
        </w:rPr>
        <w:t xml:space="preserve">Catalano, A. </w:t>
      </w:r>
      <w:r>
        <w:rPr>
          <w:rFonts w:asciiTheme="minorBidi" w:hAnsiTheme="minorBidi" w:cstheme="minorBidi"/>
          <w:sz w:val="20"/>
          <w:szCs w:val="20"/>
        </w:rPr>
        <w:t xml:space="preserve">(2022) </w:t>
      </w:r>
      <w:r w:rsidRPr="00E82A72">
        <w:rPr>
          <w:rFonts w:asciiTheme="minorBidi" w:hAnsiTheme="minorBidi" w:cstheme="minorBidi"/>
          <w:sz w:val="20"/>
          <w:szCs w:val="20"/>
        </w:rPr>
        <w:t xml:space="preserve">Trends in the socio-economic determinants of health in Scotland. </w:t>
      </w:r>
      <w:r>
        <w:rPr>
          <w:rFonts w:asciiTheme="minorBidi" w:hAnsiTheme="minorBidi" w:cstheme="minorBidi"/>
          <w:sz w:val="20"/>
          <w:szCs w:val="20"/>
        </w:rPr>
        <w:t xml:space="preserve">Project Report. </w:t>
      </w:r>
      <w:r w:rsidRPr="00E82A72">
        <w:rPr>
          <w:rFonts w:asciiTheme="minorBidi" w:hAnsiTheme="minorBidi" w:cstheme="minorBidi"/>
          <w:sz w:val="20"/>
          <w:szCs w:val="20"/>
        </w:rPr>
        <w:t xml:space="preserve">University of Strathclyde. </w:t>
      </w:r>
    </w:p>
    <w:p w14:paraId="269C1A33" w14:textId="77777777" w:rsidR="0061400D" w:rsidRPr="00E82A72" w:rsidRDefault="0061400D" w:rsidP="0061400D">
      <w:pPr>
        <w:rPr>
          <w:rFonts w:asciiTheme="minorBidi" w:hAnsiTheme="minorBidi" w:cstheme="minorBidi"/>
          <w:sz w:val="20"/>
          <w:szCs w:val="20"/>
        </w:rPr>
      </w:pPr>
      <w:r>
        <w:t>(</w:t>
      </w:r>
      <w:hyperlink r:id="rId7" w:history="1">
        <w:r w:rsidRPr="00F643DE">
          <w:rPr>
            <w:rStyle w:val="Hyperlink"/>
            <w:rFonts w:asciiTheme="minorBidi" w:hAnsiTheme="minorBidi" w:cstheme="minorBidi"/>
            <w:sz w:val="20"/>
            <w:szCs w:val="20"/>
          </w:rPr>
          <w:t>https://fraserofallander.org/wp-content/uploads/2022/11/FAI-Health-Foundation-Final-Report-2.pdf</w:t>
        </w:r>
      </w:hyperlink>
      <w:r>
        <w:rPr>
          <w:rFonts w:asciiTheme="minorBidi" w:hAnsiTheme="minorBidi" w:cstheme="minorBidi"/>
          <w:sz w:val="20"/>
          <w:szCs w:val="20"/>
        </w:rPr>
        <w:t>)</w:t>
      </w:r>
    </w:p>
    <w:p w14:paraId="4DA5D8B0" w14:textId="77777777" w:rsidR="0061400D" w:rsidRPr="00336E3F" w:rsidRDefault="0061400D" w:rsidP="0061400D">
      <w:pPr>
        <w:rPr>
          <w:rFonts w:asciiTheme="minorBidi" w:hAnsiTheme="minorBidi" w:cstheme="minorBidi"/>
          <w:b/>
          <w:iCs/>
          <w:sz w:val="24"/>
          <w:szCs w:val="24"/>
        </w:rPr>
      </w:pPr>
    </w:p>
    <w:p w14:paraId="6E76C0AF" w14:textId="77777777" w:rsidR="0061400D" w:rsidRDefault="0061400D" w:rsidP="0061400D">
      <w:pPr>
        <w:rPr>
          <w:rFonts w:asciiTheme="minorBidi" w:hAnsiTheme="minorBidi" w:cstheme="minorBidi"/>
          <w:u w:val="single"/>
        </w:rPr>
      </w:pPr>
      <w:r w:rsidRPr="00803D24">
        <w:rPr>
          <w:rFonts w:asciiTheme="minorBidi" w:hAnsiTheme="minorBidi" w:cstheme="minorBidi"/>
          <w:u w:val="single"/>
        </w:rPr>
        <w:t>Deaths of despair</w:t>
      </w:r>
      <w:r>
        <w:rPr>
          <w:rFonts w:asciiTheme="minorBidi" w:hAnsiTheme="minorBidi" w:cstheme="minorBidi"/>
          <w:u w:val="single"/>
        </w:rPr>
        <w:t xml:space="preserve"> – alcohol, </w:t>
      </w:r>
      <w:proofErr w:type="gramStart"/>
      <w:r>
        <w:rPr>
          <w:rFonts w:asciiTheme="minorBidi" w:hAnsiTheme="minorBidi" w:cstheme="minorBidi"/>
          <w:u w:val="single"/>
        </w:rPr>
        <w:t>drugs</w:t>
      </w:r>
      <w:proofErr w:type="gramEnd"/>
      <w:r>
        <w:rPr>
          <w:rFonts w:asciiTheme="minorBidi" w:hAnsiTheme="minorBidi" w:cstheme="minorBidi"/>
          <w:u w:val="single"/>
        </w:rPr>
        <w:t xml:space="preserve"> and suicide</w:t>
      </w:r>
    </w:p>
    <w:p w14:paraId="5CCAF73A" w14:textId="77777777" w:rsidR="0061400D" w:rsidRPr="00803D24" w:rsidRDefault="0061400D" w:rsidP="0061400D">
      <w:pPr>
        <w:rPr>
          <w:rFonts w:asciiTheme="minorBidi" w:hAnsiTheme="minorBidi" w:cstheme="minorBidi"/>
          <w:u w:val="single"/>
        </w:rPr>
      </w:pPr>
    </w:p>
    <w:p w14:paraId="717B5D6F" w14:textId="77777777" w:rsidR="0061400D" w:rsidRDefault="0061400D" w:rsidP="0061400D">
      <w:pPr>
        <w:rPr>
          <w:rFonts w:asciiTheme="minorBidi" w:hAnsiTheme="minorBidi" w:cstheme="minorBidi"/>
          <w:shd w:val="clear" w:color="auto" w:fill="FFFFFF"/>
        </w:rPr>
      </w:pPr>
      <w:r w:rsidRPr="00803D24">
        <w:rPr>
          <w:rFonts w:asciiTheme="minorBidi" w:hAnsiTheme="minorBidi" w:cstheme="minorBidi"/>
          <w:shd w:val="clear" w:color="auto" w:fill="FFFFFF"/>
        </w:rPr>
        <w:t>Increasing mortality among men from drugs, alcohol and suicides is a growing public health concern. Collectively known as “deaths of despair”, they are seen to stem from unprecedented economic pressures</w:t>
      </w:r>
      <w:r>
        <w:rPr>
          <w:rFonts w:asciiTheme="minorBidi" w:hAnsiTheme="minorBidi" w:cstheme="minorBidi"/>
          <w:shd w:val="clear" w:color="auto" w:fill="FFFFFF"/>
        </w:rPr>
        <w:t xml:space="preserve">, deteriorating labour market opportunities, a lack of power (political and economic) </w:t>
      </w:r>
      <w:r w:rsidRPr="00803D24">
        <w:rPr>
          <w:rFonts w:asciiTheme="minorBidi" w:hAnsiTheme="minorBidi" w:cstheme="minorBidi"/>
          <w:shd w:val="clear" w:color="auto" w:fill="FFFFFF"/>
        </w:rPr>
        <w:t>and a breakdown in social support structures.</w:t>
      </w:r>
      <w:r>
        <w:rPr>
          <w:rFonts w:asciiTheme="minorBidi" w:hAnsiTheme="minorBidi" w:cstheme="minorBidi"/>
          <w:shd w:val="clear" w:color="auto" w:fill="FFFFFF"/>
        </w:rPr>
        <w:t xml:space="preserve"> </w:t>
      </w:r>
    </w:p>
    <w:p w14:paraId="24BC64B6" w14:textId="77777777" w:rsidR="0061400D" w:rsidRDefault="0061400D" w:rsidP="0061400D">
      <w:pPr>
        <w:rPr>
          <w:rFonts w:asciiTheme="minorBidi" w:hAnsiTheme="minorBidi" w:cstheme="minorBidi"/>
          <w:shd w:val="clear" w:color="auto" w:fill="FFFFFF"/>
        </w:rPr>
      </w:pPr>
    </w:p>
    <w:p w14:paraId="6A70577B" w14:textId="77777777" w:rsidR="0061400D" w:rsidRPr="00921914" w:rsidRDefault="0061400D" w:rsidP="0061400D">
      <w:pPr>
        <w:rPr>
          <w:rFonts w:asciiTheme="minorBidi" w:hAnsiTheme="minorBidi" w:cstheme="minorBidi"/>
        </w:rPr>
      </w:pPr>
      <w:r w:rsidRPr="00921914">
        <w:rPr>
          <w:rFonts w:ascii="Arial" w:hAnsi="Arial" w:cs="Arial"/>
        </w:rPr>
        <w:t>For most causes of death, risk increases with age. This is not the case for deaths of despair, some of which peak at far younger ages.</w:t>
      </w:r>
      <w:r>
        <w:rPr>
          <w:rFonts w:ascii="Arial" w:hAnsi="Arial" w:cs="Arial"/>
        </w:rPr>
        <w:t xml:space="preserve"> </w:t>
      </w:r>
      <w:r w:rsidRPr="00921914">
        <w:rPr>
          <w:rFonts w:asciiTheme="minorBidi" w:hAnsiTheme="minorBidi" w:cstheme="minorBidi"/>
        </w:rPr>
        <w:t>Suicide was the leading cause of external deaths and of overall mortality in 15 to 44-year-old men in Scotland up until 2013, when it was overtaken by drug deaths.</w:t>
      </w:r>
    </w:p>
    <w:p w14:paraId="72D900D1" w14:textId="77777777" w:rsidR="0061400D" w:rsidRDefault="0061400D" w:rsidP="0061400D">
      <w:pPr>
        <w:rPr>
          <w:rFonts w:asciiTheme="minorBidi" w:hAnsiTheme="minorBidi" w:cstheme="minorBidi"/>
          <w:shd w:val="clear" w:color="auto" w:fill="FFFFFF"/>
        </w:rPr>
      </w:pPr>
    </w:p>
    <w:p w14:paraId="0A014ACA" w14:textId="77777777" w:rsidR="0061400D" w:rsidRPr="00414796" w:rsidRDefault="0061400D" w:rsidP="0061400D">
      <w:pPr>
        <w:rPr>
          <w:rFonts w:asciiTheme="minorBidi" w:hAnsiTheme="minorBidi" w:cstheme="minorBidi"/>
        </w:rPr>
      </w:pPr>
      <w:r>
        <w:rPr>
          <w:rFonts w:asciiTheme="minorBidi" w:hAnsiTheme="minorBidi" w:cstheme="minorBidi"/>
          <w:shd w:val="clear" w:color="auto" w:fill="FFFFFF"/>
        </w:rPr>
        <w:t>However, d</w:t>
      </w:r>
      <w:r w:rsidRPr="00414796">
        <w:rPr>
          <w:rFonts w:asciiTheme="minorBidi" w:hAnsiTheme="minorBidi" w:cstheme="minorBidi"/>
          <w:shd w:val="clear" w:color="auto" w:fill="FFFFFF"/>
        </w:rPr>
        <w:t>eaths of despair are not an inevitability of economic transitions or recessions. Countries with high investment in social protection and active labour market programs do not experience increases in suicides or alcohol abuse during recessions.</w:t>
      </w:r>
    </w:p>
    <w:p w14:paraId="6E9EDA68" w14:textId="77777777" w:rsidR="0061400D" w:rsidRDefault="0061400D" w:rsidP="0061400D">
      <w:pPr>
        <w:rPr>
          <w:rFonts w:asciiTheme="minorBidi" w:hAnsiTheme="minorBidi" w:cstheme="minorBidi"/>
          <w:shd w:val="clear" w:color="auto" w:fill="FFFFFF"/>
        </w:rPr>
      </w:pPr>
    </w:p>
    <w:p w14:paraId="5F2DBC5E" w14:textId="77777777" w:rsidR="0061400D" w:rsidRPr="00E87E19" w:rsidRDefault="0061400D" w:rsidP="0061400D">
      <w:pPr>
        <w:rPr>
          <w:rFonts w:asciiTheme="minorBidi" w:hAnsiTheme="minorBidi" w:cstheme="minorBidi"/>
          <w:sz w:val="20"/>
          <w:szCs w:val="20"/>
        </w:rPr>
      </w:pPr>
      <w:r w:rsidRPr="000242C3">
        <w:rPr>
          <w:rFonts w:asciiTheme="minorBidi" w:hAnsiTheme="minorBidi" w:cstheme="minorBidi"/>
          <w:sz w:val="20"/>
          <w:szCs w:val="20"/>
        </w:rPr>
        <w:t xml:space="preserve">Reference – </w:t>
      </w:r>
      <w:r w:rsidRPr="002E2B88">
        <w:rPr>
          <w:rFonts w:asciiTheme="minorBidi" w:hAnsiTheme="minorBidi" w:cstheme="minorBidi"/>
          <w:sz w:val="20"/>
          <w:szCs w:val="20"/>
        </w:rPr>
        <w:t>Allik, M., Brown, D., Dundas, R. and Leyland, A. H. (2020) Deaths of despair: Cause-specific mortality and socioeconomic inequalities in cause-specific mortality among young men in Scotland. International Journal for Equity in Health, 19, 215. (</w:t>
      </w:r>
      <w:proofErr w:type="spellStart"/>
      <w:r>
        <w:fldChar w:fldCharType="begin"/>
      </w:r>
      <w:r>
        <w:instrText>HYPERLINK "https://equityhealthj.biomedcentral.com/articles/10.1186/s12939-020-01329-7"</w:instrText>
      </w:r>
      <w:r>
        <w:fldChar w:fldCharType="separate"/>
      </w:r>
      <w:r w:rsidRPr="007138B8">
        <w:rPr>
          <w:rStyle w:val="Hyperlink"/>
          <w:rFonts w:asciiTheme="minorBidi" w:hAnsiTheme="minorBidi" w:cstheme="minorBidi"/>
          <w:sz w:val="20"/>
          <w:szCs w:val="20"/>
        </w:rPr>
        <w:t>doi</w:t>
      </w:r>
      <w:proofErr w:type="spellEnd"/>
      <w:r w:rsidRPr="007138B8">
        <w:rPr>
          <w:rStyle w:val="Hyperlink"/>
          <w:rFonts w:asciiTheme="minorBidi" w:hAnsiTheme="minorBidi" w:cstheme="minorBidi"/>
          <w:sz w:val="20"/>
          <w:szCs w:val="20"/>
        </w:rPr>
        <w:t>: 10.1186/s12939-020-01329-7</w:t>
      </w:r>
      <w:r>
        <w:rPr>
          <w:rStyle w:val="Hyperlink"/>
          <w:rFonts w:asciiTheme="minorBidi" w:hAnsiTheme="minorBidi" w:cstheme="minorBidi"/>
          <w:sz w:val="20"/>
          <w:szCs w:val="20"/>
        </w:rPr>
        <w:fldChar w:fldCharType="end"/>
      </w:r>
      <w:r>
        <w:rPr>
          <w:rFonts w:asciiTheme="minorBidi" w:hAnsiTheme="minorBidi" w:cstheme="minorBidi"/>
          <w:sz w:val="20"/>
          <w:szCs w:val="20"/>
        </w:rPr>
        <w:t>)</w:t>
      </w:r>
    </w:p>
    <w:p w14:paraId="78A05443" w14:textId="77777777" w:rsidR="0061400D" w:rsidRDefault="0061400D" w:rsidP="0061400D">
      <w:pPr>
        <w:rPr>
          <w:rFonts w:asciiTheme="minorBidi" w:hAnsiTheme="minorBidi" w:cstheme="minorBidi"/>
        </w:rPr>
      </w:pPr>
    </w:p>
    <w:p w14:paraId="39CD80AE" w14:textId="77777777" w:rsidR="0061400D" w:rsidRPr="00CC239E" w:rsidRDefault="0061400D" w:rsidP="0061400D">
      <w:pPr>
        <w:rPr>
          <w:rFonts w:asciiTheme="minorBidi" w:hAnsiTheme="minorBidi" w:cstheme="minorBidi"/>
          <w:u w:val="single"/>
        </w:rPr>
      </w:pPr>
      <w:r w:rsidRPr="00CC239E">
        <w:rPr>
          <w:rFonts w:asciiTheme="minorBidi" w:hAnsiTheme="minorBidi" w:cstheme="minorBidi"/>
          <w:u w:val="single"/>
        </w:rPr>
        <w:t>Health and social care services</w:t>
      </w:r>
    </w:p>
    <w:p w14:paraId="1BCE743F" w14:textId="77777777" w:rsidR="0061400D" w:rsidRDefault="0061400D" w:rsidP="0061400D">
      <w:pPr>
        <w:rPr>
          <w:rFonts w:asciiTheme="minorBidi" w:hAnsiTheme="minorBidi" w:cstheme="minorBidi"/>
        </w:rPr>
      </w:pPr>
    </w:p>
    <w:p w14:paraId="5A4E50FA" w14:textId="77777777" w:rsidR="0061400D" w:rsidRPr="00CC239E" w:rsidRDefault="0061400D" w:rsidP="0061400D">
      <w:pPr>
        <w:rPr>
          <w:rFonts w:asciiTheme="minorBidi" w:hAnsiTheme="minorBidi" w:cstheme="minorBidi"/>
        </w:rPr>
      </w:pPr>
      <w:r w:rsidRPr="00CC239E">
        <w:rPr>
          <w:rFonts w:asciiTheme="minorBidi" w:hAnsiTheme="minorBidi" w:cstheme="minorBidi"/>
        </w:rPr>
        <w:t>Improvements to people’s living and working conditions and the reduction of social inequality will reduce need by preventing unnecessary ill health, support people to recognise symptoms and seek advice at earlier stages of illness, remove barriers to accessing services, and could improve the population’s means and confidence in navigating the health system and any treatment regimes.</w:t>
      </w:r>
    </w:p>
    <w:p w14:paraId="09857A97" w14:textId="77777777" w:rsidR="0061400D" w:rsidRPr="00CC239E" w:rsidRDefault="0061400D" w:rsidP="0061400D">
      <w:pPr>
        <w:rPr>
          <w:rFonts w:asciiTheme="minorBidi" w:hAnsiTheme="minorBidi" w:cstheme="minorBidi"/>
        </w:rPr>
      </w:pPr>
    </w:p>
    <w:p w14:paraId="60BC9851" w14:textId="77777777" w:rsidR="0061400D" w:rsidRPr="00E87E19" w:rsidRDefault="0061400D" w:rsidP="0061400D">
      <w:pPr>
        <w:rPr>
          <w:rFonts w:asciiTheme="minorBidi" w:hAnsiTheme="minorBidi" w:cstheme="minorBidi"/>
          <w:sz w:val="20"/>
          <w:szCs w:val="20"/>
        </w:rPr>
      </w:pPr>
      <w:r w:rsidRPr="00FE572F">
        <w:rPr>
          <w:rFonts w:asciiTheme="minorBidi" w:hAnsiTheme="minorBidi" w:cstheme="minorBidi"/>
          <w:sz w:val="20"/>
          <w:szCs w:val="20"/>
        </w:rPr>
        <w:t xml:space="preserve">Reference - </w:t>
      </w:r>
      <w:r w:rsidRPr="00C949DF">
        <w:rPr>
          <w:rFonts w:asciiTheme="minorBidi" w:hAnsiTheme="minorBidi" w:cstheme="minorBidi"/>
          <w:sz w:val="20"/>
          <w:szCs w:val="20"/>
        </w:rPr>
        <w:t>Miall, N., Fergie, G. and Pearce, A. (2022) Health Inequalities in Scotland: trends in deaths, health and wellbeing, health behaviours, and health services since 2000. Project Report. University of Glasgow.</w:t>
      </w:r>
      <w:r w:rsidRPr="00E87E19">
        <w:rPr>
          <w:rFonts w:asciiTheme="minorBidi" w:hAnsiTheme="minorBidi" w:cstheme="minorBidi"/>
          <w:sz w:val="20"/>
          <w:szCs w:val="20"/>
        </w:rPr>
        <w:t xml:space="preserve"> </w:t>
      </w:r>
      <w:r>
        <w:rPr>
          <w:rFonts w:asciiTheme="minorBidi" w:hAnsiTheme="minorBidi" w:cstheme="minorBidi"/>
          <w:sz w:val="20"/>
          <w:szCs w:val="20"/>
        </w:rPr>
        <w:t>(</w:t>
      </w:r>
      <w:proofErr w:type="spellStart"/>
      <w:r>
        <w:fldChar w:fldCharType="begin"/>
      </w:r>
      <w:r>
        <w:instrText>HYPERLINK "https://www.gla.ac.uk/media/Media_892338_smxx.pdf"</w:instrText>
      </w:r>
      <w:r>
        <w:fldChar w:fldCharType="separate"/>
      </w:r>
      <w:r w:rsidRPr="007A1B29">
        <w:rPr>
          <w:rStyle w:val="Hyperlink"/>
          <w:rFonts w:asciiTheme="minorBidi" w:hAnsiTheme="minorBidi" w:cstheme="minorBidi"/>
          <w:sz w:val="20"/>
          <w:szCs w:val="20"/>
        </w:rPr>
        <w:t>doi</w:t>
      </w:r>
      <w:proofErr w:type="spellEnd"/>
      <w:r w:rsidRPr="007A1B29">
        <w:rPr>
          <w:rStyle w:val="Hyperlink"/>
          <w:rFonts w:asciiTheme="minorBidi" w:hAnsiTheme="minorBidi" w:cstheme="minorBidi"/>
          <w:sz w:val="20"/>
          <w:szCs w:val="20"/>
        </w:rPr>
        <w:t>: 10.36399/gla.pubs.282637</w:t>
      </w:r>
      <w:r>
        <w:rPr>
          <w:rStyle w:val="Hyperlink"/>
          <w:rFonts w:asciiTheme="minorBidi" w:hAnsiTheme="minorBidi" w:cstheme="minorBidi"/>
          <w:sz w:val="20"/>
          <w:szCs w:val="20"/>
        </w:rPr>
        <w:fldChar w:fldCharType="end"/>
      </w:r>
      <w:r>
        <w:rPr>
          <w:rFonts w:asciiTheme="minorBidi" w:hAnsiTheme="minorBidi" w:cstheme="minorBidi"/>
          <w:sz w:val="20"/>
          <w:szCs w:val="20"/>
        </w:rPr>
        <w:t>)</w:t>
      </w:r>
    </w:p>
    <w:p w14:paraId="3E2C54BC" w14:textId="77777777" w:rsidR="0061400D" w:rsidRDefault="0061400D" w:rsidP="0061400D">
      <w:pPr>
        <w:rPr>
          <w:rFonts w:ascii="Arial" w:hAnsi="Arial" w:cs="Arial"/>
          <w:u w:val="single"/>
        </w:rPr>
      </w:pPr>
    </w:p>
    <w:p w14:paraId="45BB8D0F" w14:textId="77777777" w:rsidR="0061400D" w:rsidRPr="00AB5BDB" w:rsidRDefault="0061400D" w:rsidP="0061400D">
      <w:pPr>
        <w:rPr>
          <w:rFonts w:ascii="Arial" w:hAnsi="Arial" w:cs="Arial"/>
          <w:u w:val="single"/>
        </w:rPr>
      </w:pPr>
      <w:r>
        <w:rPr>
          <w:rFonts w:ascii="Arial" w:hAnsi="Arial" w:cs="Arial"/>
          <w:u w:val="single"/>
        </w:rPr>
        <w:t>Impact of a</w:t>
      </w:r>
      <w:r w:rsidRPr="00AB5BDB">
        <w:rPr>
          <w:rFonts w:ascii="Arial" w:hAnsi="Arial" w:cs="Arial"/>
          <w:u w:val="single"/>
        </w:rPr>
        <w:t>usterity policie</w:t>
      </w:r>
      <w:r>
        <w:rPr>
          <w:rFonts w:ascii="Arial" w:hAnsi="Arial" w:cs="Arial"/>
          <w:u w:val="single"/>
        </w:rPr>
        <w:t>s on deaths</w:t>
      </w:r>
    </w:p>
    <w:p w14:paraId="471F4D58" w14:textId="77777777" w:rsidR="0061400D" w:rsidRPr="00AB5BDB" w:rsidRDefault="0061400D" w:rsidP="0061400D">
      <w:pPr>
        <w:rPr>
          <w:rFonts w:ascii="Arial" w:hAnsi="Arial" w:cs="Arial"/>
        </w:rPr>
      </w:pPr>
    </w:p>
    <w:p w14:paraId="16E6FB18" w14:textId="77777777" w:rsidR="0061400D" w:rsidRPr="003D186A" w:rsidRDefault="0061400D" w:rsidP="0061400D">
      <w:pPr>
        <w:rPr>
          <w:rFonts w:ascii="Arial" w:hAnsi="Arial" w:cs="Arial"/>
        </w:rPr>
      </w:pPr>
      <w:r>
        <w:rPr>
          <w:rFonts w:ascii="Arial" w:hAnsi="Arial" w:cs="Arial"/>
        </w:rPr>
        <w:t>A recent study suggests that</w:t>
      </w:r>
      <w:r w:rsidRPr="00AB5BDB">
        <w:rPr>
          <w:rFonts w:ascii="Arial" w:hAnsi="Arial" w:cs="Arial"/>
        </w:rPr>
        <w:t xml:space="preserve"> an additional 335,000 deaths</w:t>
      </w:r>
      <w:r>
        <w:rPr>
          <w:rFonts w:ascii="Arial" w:hAnsi="Arial" w:cs="Arial"/>
        </w:rPr>
        <w:t>,</w:t>
      </w:r>
      <w:r w:rsidRPr="00AB5BDB">
        <w:rPr>
          <w:rFonts w:ascii="Arial" w:hAnsi="Arial" w:cs="Arial"/>
        </w:rPr>
        <w:t xml:space="preserve"> </w:t>
      </w:r>
      <w:proofErr w:type="gramStart"/>
      <w:r>
        <w:rPr>
          <w:rFonts w:ascii="Arial" w:hAnsi="Arial" w:cs="Arial"/>
        </w:rPr>
        <w:t>i.e.</w:t>
      </w:r>
      <w:proofErr w:type="gramEnd"/>
      <w:r>
        <w:rPr>
          <w:rFonts w:ascii="Arial" w:hAnsi="Arial" w:cs="Arial"/>
        </w:rPr>
        <w:t xml:space="preserve"> above the number expected based on previous trends, </w:t>
      </w:r>
      <w:r w:rsidRPr="00AB5BDB">
        <w:rPr>
          <w:rFonts w:ascii="Arial" w:hAnsi="Arial" w:cs="Arial"/>
        </w:rPr>
        <w:t>were observed across Scotland, England &amp; Wales between 2012 and 2019.</w:t>
      </w:r>
      <w:r>
        <w:rPr>
          <w:rFonts w:ascii="Arial" w:hAnsi="Arial" w:cs="Arial"/>
        </w:rPr>
        <w:t xml:space="preserve"> </w:t>
      </w:r>
      <w:r w:rsidRPr="003D186A">
        <w:rPr>
          <w:rFonts w:asciiTheme="minorBidi" w:hAnsiTheme="minorBidi" w:cstheme="minorBidi"/>
        </w:rPr>
        <w:t>Statistical analyses demonstrate that previously improving mortality trends changed around 2011-2013 in both Scotland and England (following the implementation of austerity policies in 2010).</w:t>
      </w:r>
    </w:p>
    <w:p w14:paraId="363B7E31" w14:textId="77777777" w:rsidR="0061400D" w:rsidRPr="00AB5BDB" w:rsidRDefault="0061400D" w:rsidP="0061400D">
      <w:pPr>
        <w:rPr>
          <w:rFonts w:ascii="Arial" w:hAnsi="Arial" w:cs="Arial"/>
        </w:rPr>
      </w:pPr>
    </w:p>
    <w:p w14:paraId="2364F9AA" w14:textId="77777777" w:rsidR="0061400D" w:rsidRDefault="0061400D" w:rsidP="0061400D">
      <w:pPr>
        <w:rPr>
          <w:rFonts w:ascii="Arial" w:hAnsi="Arial" w:cs="Arial"/>
        </w:rPr>
      </w:pPr>
      <w:r>
        <w:rPr>
          <w:rFonts w:ascii="Arial" w:hAnsi="Arial" w:cs="Arial"/>
        </w:rPr>
        <w:t xml:space="preserve">The study </w:t>
      </w:r>
      <w:r w:rsidRPr="00AB5BDB">
        <w:rPr>
          <w:rFonts w:ascii="Arial" w:hAnsi="Arial" w:cs="Arial"/>
        </w:rPr>
        <w:t xml:space="preserve">adds to the growing evidence of the profound and deeply concerning changes to mortality trends observed </w:t>
      </w:r>
      <w:proofErr w:type="gramStart"/>
      <w:r w:rsidRPr="00AB5BDB">
        <w:rPr>
          <w:rFonts w:ascii="Arial" w:hAnsi="Arial" w:cs="Arial"/>
        </w:rPr>
        <w:t>as a result of</w:t>
      </w:r>
      <w:proofErr w:type="gramEnd"/>
      <w:r w:rsidRPr="00AB5BDB">
        <w:rPr>
          <w:rFonts w:ascii="Arial" w:hAnsi="Arial" w:cs="Arial"/>
        </w:rPr>
        <w:t xml:space="preserve"> UK Government economic ‘austerity’ policies. These have slashed billions of pounds from our public services and social security system with devastating impacts. Without support, people have been swept up by a rising tide of poverty and dragged under by decreased income, poor housing, poor nutrition, poor </w:t>
      </w:r>
      <w:proofErr w:type="gramStart"/>
      <w:r w:rsidRPr="00AB5BDB">
        <w:rPr>
          <w:rFonts w:ascii="Arial" w:hAnsi="Arial" w:cs="Arial"/>
        </w:rPr>
        <w:t>health</w:t>
      </w:r>
      <w:proofErr w:type="gramEnd"/>
      <w:r w:rsidRPr="00AB5BDB">
        <w:rPr>
          <w:rFonts w:ascii="Arial" w:hAnsi="Arial" w:cs="Arial"/>
        </w:rPr>
        <w:t xml:space="preserve"> and social isolation – ultimately leading to premature death</w:t>
      </w:r>
      <w:r>
        <w:rPr>
          <w:rFonts w:ascii="Arial" w:hAnsi="Arial" w:cs="Arial"/>
        </w:rPr>
        <w:t>.</w:t>
      </w:r>
    </w:p>
    <w:p w14:paraId="73CABCC1" w14:textId="77777777" w:rsidR="0061400D" w:rsidRDefault="0061400D" w:rsidP="0061400D">
      <w:pPr>
        <w:rPr>
          <w:rFonts w:ascii="Arial" w:hAnsi="Arial" w:cs="Arial"/>
        </w:rPr>
      </w:pPr>
    </w:p>
    <w:p w14:paraId="43B83BB0" w14:textId="77777777" w:rsidR="0061400D" w:rsidRPr="00E87E19" w:rsidRDefault="0061400D" w:rsidP="0061400D">
      <w:pPr>
        <w:rPr>
          <w:rFonts w:ascii="Arial" w:hAnsi="Arial" w:cs="Arial"/>
          <w:sz w:val="20"/>
          <w:szCs w:val="20"/>
        </w:rPr>
      </w:pPr>
      <w:r w:rsidRPr="00E87E19">
        <w:rPr>
          <w:rFonts w:ascii="Arial" w:hAnsi="Arial" w:cs="Arial"/>
          <w:sz w:val="20"/>
          <w:szCs w:val="20"/>
        </w:rPr>
        <w:lastRenderedPageBreak/>
        <w:t xml:space="preserve">Reference – </w:t>
      </w:r>
      <w:r w:rsidRPr="00316CDC">
        <w:rPr>
          <w:rFonts w:asciiTheme="minorBidi" w:hAnsiTheme="minorBidi" w:cstheme="minorBidi"/>
          <w:sz w:val="20"/>
          <w:szCs w:val="20"/>
        </w:rPr>
        <w:t>Walsh, D., Dundas, R., McCartney, G., Gibson, M. and Seaman, R. (2022) Bearing the burden of austerity: how do changing mortality rates in the UK compare between men and women? Journal of Epidemiology and Community Health, 76(12), pp. 1027-1033.</w:t>
      </w:r>
      <w:r>
        <w:rPr>
          <w:rFonts w:asciiTheme="minorBidi" w:hAnsiTheme="minorBidi" w:cstheme="minorBidi"/>
          <w:sz w:val="20"/>
          <w:szCs w:val="20"/>
        </w:rPr>
        <w:t>(</w:t>
      </w:r>
      <w:hyperlink r:id="rId8" w:history="1">
        <w:r w:rsidRPr="00492476">
          <w:rPr>
            <w:rStyle w:val="Hyperlink"/>
            <w:rFonts w:asciiTheme="minorBidi" w:hAnsiTheme="minorBidi" w:cstheme="minorBidi"/>
            <w:sz w:val="20"/>
            <w:szCs w:val="20"/>
          </w:rPr>
          <w:t>doi:10.1136/jech-2022- 219645</w:t>
        </w:r>
      </w:hyperlink>
      <w:r>
        <w:rPr>
          <w:rFonts w:asciiTheme="minorBidi" w:hAnsiTheme="minorBidi" w:cstheme="minorBidi"/>
          <w:sz w:val="20"/>
          <w:szCs w:val="20"/>
        </w:rPr>
        <w:t>)</w:t>
      </w:r>
    </w:p>
    <w:p w14:paraId="0DD6A748" w14:textId="77777777" w:rsidR="0061400D" w:rsidRPr="00DF0360" w:rsidRDefault="0061400D" w:rsidP="0061400D">
      <w:pPr>
        <w:rPr>
          <w:rFonts w:asciiTheme="minorBidi" w:hAnsiTheme="minorBidi" w:cstheme="minorBidi"/>
          <w:bCs/>
          <w:iCs/>
          <w:u w:val="single"/>
        </w:rPr>
      </w:pPr>
    </w:p>
    <w:p w14:paraId="512A9D6C" w14:textId="77777777" w:rsidR="0061400D" w:rsidRDefault="0061400D" w:rsidP="0061400D">
      <w:pPr>
        <w:rPr>
          <w:rFonts w:asciiTheme="minorBidi" w:hAnsiTheme="minorBidi" w:cstheme="minorBidi"/>
          <w:u w:val="single"/>
        </w:rPr>
      </w:pPr>
    </w:p>
    <w:p w14:paraId="7EDC2E8C" w14:textId="17F94722" w:rsidR="0061400D" w:rsidRPr="00803D24" w:rsidRDefault="0061400D" w:rsidP="0061400D">
      <w:pPr>
        <w:rPr>
          <w:rFonts w:asciiTheme="minorBidi" w:hAnsiTheme="minorBidi" w:cstheme="minorBidi"/>
          <w:u w:val="single"/>
        </w:rPr>
      </w:pPr>
      <w:r w:rsidRPr="00803D24">
        <w:rPr>
          <w:rFonts w:asciiTheme="minorBidi" w:hAnsiTheme="minorBidi" w:cstheme="minorBidi"/>
          <w:u w:val="single"/>
        </w:rPr>
        <w:t xml:space="preserve">UK public </w:t>
      </w:r>
      <w:r>
        <w:rPr>
          <w:rFonts w:asciiTheme="minorBidi" w:hAnsiTheme="minorBidi" w:cstheme="minorBidi"/>
          <w:u w:val="single"/>
        </w:rPr>
        <w:t>policy support</w:t>
      </w:r>
    </w:p>
    <w:p w14:paraId="5FF2B64E" w14:textId="77777777" w:rsidR="0061400D" w:rsidRDefault="0061400D" w:rsidP="0061400D">
      <w:pPr>
        <w:rPr>
          <w:rFonts w:asciiTheme="minorBidi" w:hAnsiTheme="minorBidi" w:cstheme="minorBidi"/>
        </w:rPr>
      </w:pPr>
    </w:p>
    <w:p w14:paraId="7D48BB81" w14:textId="77777777" w:rsidR="0061400D" w:rsidRDefault="0061400D" w:rsidP="0061400D">
      <w:pPr>
        <w:rPr>
          <w:rFonts w:asciiTheme="minorBidi" w:hAnsiTheme="minorBidi" w:cstheme="minorBidi"/>
        </w:rPr>
      </w:pPr>
      <w:r>
        <w:rPr>
          <w:rFonts w:asciiTheme="minorBidi" w:hAnsiTheme="minorBidi" w:cstheme="minorBidi"/>
        </w:rPr>
        <w:t xml:space="preserve">Governments should be reassured the UK </w:t>
      </w:r>
      <w:r w:rsidRPr="00803D24">
        <w:rPr>
          <w:rFonts w:asciiTheme="minorBidi" w:hAnsiTheme="minorBidi" w:cstheme="minorBidi"/>
        </w:rPr>
        <w:t xml:space="preserve">public favour tackling health inequalities via living and working conditions. A 2016 study explored public views of health inequalities and potential policy responses in three UK cities – Glasgow, </w:t>
      </w:r>
      <w:proofErr w:type="gramStart"/>
      <w:r w:rsidRPr="00803D24">
        <w:rPr>
          <w:rFonts w:asciiTheme="minorBidi" w:hAnsiTheme="minorBidi" w:cstheme="minorBidi"/>
        </w:rPr>
        <w:t>Manchester</w:t>
      </w:r>
      <w:proofErr w:type="gramEnd"/>
      <w:r w:rsidRPr="00803D24">
        <w:rPr>
          <w:rFonts w:asciiTheme="minorBidi" w:hAnsiTheme="minorBidi" w:cstheme="minorBidi"/>
        </w:rPr>
        <w:t xml:space="preserve"> and Liverpool. The results challenge perceptions that there is a lack of public support for upstream, macro-level policy proposals and instead demonstrate support for proposals aiming to tackle health inequalities via improvements to living and working conditions, with more limited support for proposals targeting individual behavioural change. </w:t>
      </w:r>
    </w:p>
    <w:p w14:paraId="6A4E36A7" w14:textId="77777777" w:rsidR="0061400D" w:rsidRDefault="0061400D" w:rsidP="0061400D">
      <w:pPr>
        <w:rPr>
          <w:rFonts w:asciiTheme="minorBidi" w:hAnsiTheme="minorBidi" w:cstheme="minorBidi"/>
        </w:rPr>
      </w:pPr>
    </w:p>
    <w:p w14:paraId="559388FF" w14:textId="77777777" w:rsidR="0061400D" w:rsidRPr="00545CE0" w:rsidRDefault="0061400D" w:rsidP="0061400D">
      <w:pPr>
        <w:rPr>
          <w:rFonts w:asciiTheme="minorBidi" w:hAnsiTheme="minorBidi" w:cstheme="minorBidi"/>
          <w:sz w:val="20"/>
          <w:szCs w:val="20"/>
        </w:rPr>
      </w:pPr>
      <w:r w:rsidRPr="006D1075">
        <w:rPr>
          <w:rFonts w:asciiTheme="minorBidi" w:hAnsiTheme="minorBidi" w:cstheme="minorBidi"/>
          <w:sz w:val="20"/>
          <w:szCs w:val="20"/>
        </w:rPr>
        <w:t xml:space="preserve">Reference – </w:t>
      </w:r>
      <w:r w:rsidRPr="00492476">
        <w:rPr>
          <w:rFonts w:asciiTheme="minorBidi" w:hAnsiTheme="minorBidi" w:cstheme="minorBidi"/>
          <w:sz w:val="20"/>
          <w:szCs w:val="20"/>
        </w:rPr>
        <w:t xml:space="preserve">Smith, K. E., Macintyre, A., Weakley, </w:t>
      </w:r>
      <w:proofErr w:type="gramStart"/>
      <w:r w:rsidRPr="00492476">
        <w:rPr>
          <w:rFonts w:asciiTheme="minorBidi" w:hAnsiTheme="minorBidi" w:cstheme="minorBidi"/>
          <w:sz w:val="20"/>
          <w:szCs w:val="20"/>
        </w:rPr>
        <w:t>S. ,</w:t>
      </w:r>
      <w:proofErr w:type="gramEnd"/>
      <w:r w:rsidRPr="00492476">
        <w:rPr>
          <w:rFonts w:asciiTheme="minorBidi" w:hAnsiTheme="minorBidi" w:cstheme="minorBidi"/>
          <w:sz w:val="20"/>
          <w:szCs w:val="20"/>
        </w:rPr>
        <w:t xml:space="preserve"> Hill, S. E., Escobar, O. and Fergie, G. (2021) Public understandings of potential policy responses to health inequalities: Evidence from a UK national survey and citizens’ juries in three UK cities. </w:t>
      </w:r>
      <w:r w:rsidRPr="00417865">
        <w:rPr>
          <w:rFonts w:asciiTheme="minorBidi" w:hAnsiTheme="minorBidi" w:cstheme="minorBidi"/>
          <w:sz w:val="20"/>
          <w:szCs w:val="20"/>
        </w:rPr>
        <w:t>Social Science and Medicine, 291, 114458. (</w:t>
      </w:r>
      <w:proofErr w:type="spellStart"/>
      <w:r>
        <w:fldChar w:fldCharType="begin"/>
      </w:r>
      <w:r>
        <w:instrText>HYPERLINK "https://www.sciencedirect.com/science/article/pii/S0277953621007905?via%3Dihub"</w:instrText>
      </w:r>
      <w:r>
        <w:fldChar w:fldCharType="separate"/>
      </w:r>
      <w:r w:rsidRPr="00417865">
        <w:rPr>
          <w:rStyle w:val="Hyperlink"/>
          <w:rFonts w:asciiTheme="minorBidi" w:hAnsiTheme="minorBidi" w:cstheme="minorBidi"/>
          <w:sz w:val="20"/>
          <w:szCs w:val="20"/>
        </w:rPr>
        <w:t>doi</w:t>
      </w:r>
      <w:proofErr w:type="spellEnd"/>
      <w:r w:rsidRPr="00417865">
        <w:rPr>
          <w:rStyle w:val="Hyperlink"/>
          <w:rFonts w:asciiTheme="minorBidi" w:hAnsiTheme="minorBidi" w:cstheme="minorBidi"/>
          <w:sz w:val="20"/>
          <w:szCs w:val="20"/>
        </w:rPr>
        <w:t>: 10.1016/j.socscimed.2021.114458</w:t>
      </w:r>
      <w:r>
        <w:rPr>
          <w:rStyle w:val="Hyperlink"/>
          <w:rFonts w:asciiTheme="minorBidi" w:hAnsiTheme="minorBidi" w:cstheme="minorBidi"/>
          <w:sz w:val="20"/>
          <w:szCs w:val="20"/>
        </w:rPr>
        <w:fldChar w:fldCharType="end"/>
      </w:r>
      <w:r w:rsidRPr="00417865">
        <w:rPr>
          <w:rFonts w:asciiTheme="minorBidi" w:hAnsiTheme="minorBidi" w:cstheme="minorBidi"/>
          <w:sz w:val="20"/>
          <w:szCs w:val="20"/>
        </w:rPr>
        <w:t>)</w:t>
      </w:r>
    </w:p>
    <w:p w14:paraId="17FB80CC" w14:textId="77777777" w:rsidR="0061400D" w:rsidRPr="00545CE0" w:rsidRDefault="0061400D" w:rsidP="0061400D">
      <w:pPr>
        <w:rPr>
          <w:rFonts w:asciiTheme="minorBidi" w:hAnsiTheme="minorBidi" w:cstheme="minorBidi"/>
        </w:rPr>
      </w:pPr>
    </w:p>
    <w:p w14:paraId="2688C3A4" w14:textId="77777777" w:rsidR="0061400D" w:rsidRPr="00C132AC" w:rsidRDefault="0061400D" w:rsidP="0061400D">
      <w:pPr>
        <w:rPr>
          <w:rFonts w:asciiTheme="minorBidi" w:hAnsiTheme="minorBidi" w:cstheme="minorBidi"/>
        </w:rPr>
      </w:pPr>
      <w:r w:rsidRPr="00C132AC">
        <w:rPr>
          <w:rFonts w:asciiTheme="minorBidi" w:hAnsiTheme="minorBidi" w:cstheme="minorBidi"/>
        </w:rPr>
        <w:t xml:space="preserve">The public has remained relatively pro-welfare throughout the Covid pandemic. </w:t>
      </w:r>
      <w:r w:rsidRPr="00C132AC">
        <w:rPr>
          <w:rFonts w:asciiTheme="minorBidi" w:hAnsiTheme="minorBidi" w:cstheme="minorBidi"/>
          <w:lang w:eastAsia="zh-CN"/>
        </w:rPr>
        <w:t xml:space="preserve">52% say they are in favour of increasing taxes to spend more on health, </w:t>
      </w:r>
      <w:proofErr w:type="gramStart"/>
      <w:r w:rsidRPr="00C132AC">
        <w:rPr>
          <w:rFonts w:asciiTheme="minorBidi" w:hAnsiTheme="minorBidi" w:cstheme="minorBidi"/>
          <w:lang w:eastAsia="zh-CN"/>
        </w:rPr>
        <w:t>education</w:t>
      </w:r>
      <w:proofErr w:type="gramEnd"/>
      <w:r w:rsidRPr="00C132AC">
        <w:rPr>
          <w:rFonts w:asciiTheme="minorBidi" w:hAnsiTheme="minorBidi" w:cstheme="minorBidi"/>
          <w:lang w:eastAsia="zh-CN"/>
        </w:rPr>
        <w:t xml:space="preserve"> and social benefits, similar to the 53% who said this in 2019, shortly before the pandemic.</w:t>
      </w:r>
      <w:r w:rsidRPr="00C132AC">
        <w:rPr>
          <w:rFonts w:asciiTheme="minorBidi" w:hAnsiTheme="minorBidi" w:cstheme="minorBidi"/>
        </w:rPr>
        <w:t xml:space="preserve"> </w:t>
      </w:r>
    </w:p>
    <w:p w14:paraId="67C62086" w14:textId="77777777" w:rsidR="0061400D" w:rsidRPr="00214B79" w:rsidRDefault="0061400D" w:rsidP="0061400D">
      <w:pPr>
        <w:rPr>
          <w:rFonts w:asciiTheme="minorBidi" w:hAnsiTheme="minorBidi" w:cstheme="minorBidi"/>
        </w:rPr>
      </w:pPr>
    </w:p>
    <w:p w14:paraId="36DAAC7E" w14:textId="77777777" w:rsidR="0061400D" w:rsidRPr="00C527B4" w:rsidRDefault="0061400D" w:rsidP="0061400D">
      <w:pPr>
        <w:rPr>
          <w:rFonts w:asciiTheme="minorBidi" w:hAnsiTheme="minorBidi" w:cstheme="minorBidi"/>
          <w:sz w:val="20"/>
          <w:szCs w:val="20"/>
        </w:rPr>
      </w:pPr>
      <w:r w:rsidRPr="00E87E19">
        <w:rPr>
          <w:rFonts w:asciiTheme="minorBidi" w:hAnsiTheme="minorBidi" w:cstheme="minorBidi"/>
          <w:sz w:val="20"/>
          <w:szCs w:val="20"/>
        </w:rPr>
        <w:t xml:space="preserve">Reference </w:t>
      </w:r>
      <w:r>
        <w:rPr>
          <w:rFonts w:asciiTheme="minorBidi" w:hAnsiTheme="minorBidi" w:cstheme="minorBidi"/>
          <w:sz w:val="20"/>
          <w:szCs w:val="20"/>
        </w:rPr>
        <w:t>–</w:t>
      </w:r>
      <w:r w:rsidRPr="00E87E19">
        <w:rPr>
          <w:rFonts w:asciiTheme="minorBidi" w:hAnsiTheme="minorBidi" w:cstheme="minorBidi"/>
          <w:sz w:val="20"/>
          <w:szCs w:val="20"/>
        </w:rPr>
        <w:t xml:space="preserve"> </w:t>
      </w:r>
      <w:r>
        <w:rPr>
          <w:rFonts w:asciiTheme="minorBidi" w:hAnsiTheme="minorBidi" w:cstheme="minorBidi"/>
          <w:sz w:val="20"/>
          <w:szCs w:val="20"/>
        </w:rPr>
        <w:t xml:space="preserve">British Social Attitudes 39. (2022) National Centre for Social Research. </w:t>
      </w:r>
    </w:p>
    <w:p w14:paraId="7E182241" w14:textId="77777777" w:rsidR="0061400D" w:rsidRPr="00C527B4" w:rsidRDefault="0061400D" w:rsidP="0061400D">
      <w:pPr>
        <w:rPr>
          <w:rFonts w:asciiTheme="minorBidi" w:hAnsiTheme="minorBidi" w:cstheme="minorBidi"/>
          <w:sz w:val="20"/>
          <w:szCs w:val="20"/>
        </w:rPr>
      </w:pPr>
      <w:r w:rsidRPr="00C527B4">
        <w:t>(</w:t>
      </w:r>
      <w:hyperlink r:id="rId9" w:history="1">
        <w:r w:rsidRPr="00C527B4">
          <w:rPr>
            <w:rStyle w:val="Hyperlink"/>
            <w:rFonts w:asciiTheme="minorBidi" w:hAnsiTheme="minorBidi" w:cstheme="minorBidi"/>
            <w:sz w:val="20"/>
            <w:szCs w:val="20"/>
          </w:rPr>
          <w:t>https://bsa.natcen.ac.uk/latest-report/british-social-attitudes-39/taxation-welfare-and-inequality.aspx</w:t>
        </w:r>
      </w:hyperlink>
      <w:r w:rsidRPr="00C527B4">
        <w:rPr>
          <w:rFonts w:asciiTheme="minorBidi" w:hAnsiTheme="minorBidi" w:cstheme="minorBidi"/>
          <w:sz w:val="20"/>
          <w:szCs w:val="20"/>
        </w:rPr>
        <w:t xml:space="preserve">) </w:t>
      </w:r>
    </w:p>
    <w:p w14:paraId="7EE71890" w14:textId="77777777" w:rsidR="0061400D" w:rsidRPr="00C527B4" w:rsidRDefault="0061400D" w:rsidP="0061400D">
      <w:pPr>
        <w:rPr>
          <w:rFonts w:ascii="Arial" w:hAnsi="Arial" w:cs="Arial"/>
          <w:b/>
          <w:iCs/>
          <w:sz w:val="24"/>
          <w:szCs w:val="24"/>
        </w:rPr>
      </w:pPr>
    </w:p>
    <w:p w14:paraId="02A63D62" w14:textId="77777777" w:rsidR="0061400D" w:rsidRPr="00657F52" w:rsidRDefault="0061400D" w:rsidP="0061400D">
      <w:pPr>
        <w:rPr>
          <w:rFonts w:ascii="Arial" w:hAnsi="Arial" w:cs="Arial"/>
          <w:b/>
          <w:iCs/>
          <w:sz w:val="24"/>
          <w:szCs w:val="24"/>
        </w:rPr>
      </w:pPr>
      <w:r w:rsidRPr="00657F52">
        <w:rPr>
          <w:rFonts w:ascii="Arial" w:hAnsi="Arial" w:cs="Arial"/>
          <w:b/>
          <w:iCs/>
          <w:sz w:val="24"/>
          <w:szCs w:val="24"/>
        </w:rPr>
        <w:t>Date of submission</w:t>
      </w:r>
    </w:p>
    <w:p w14:paraId="3E8D8FD3" w14:textId="77777777" w:rsidR="0061400D" w:rsidRDefault="0061400D" w:rsidP="0061400D">
      <w:pPr>
        <w:rPr>
          <w:rFonts w:ascii="Arial" w:hAnsi="Arial" w:cs="Arial"/>
          <w:b/>
          <w:iCs/>
          <w:sz w:val="24"/>
          <w:szCs w:val="24"/>
        </w:rPr>
      </w:pPr>
    </w:p>
    <w:p w14:paraId="57D36679" w14:textId="77777777" w:rsidR="0061400D" w:rsidRPr="00032FD9" w:rsidRDefault="0061400D" w:rsidP="0061400D">
      <w:pPr>
        <w:rPr>
          <w:rFonts w:ascii="Arial" w:hAnsi="Arial" w:cs="Arial"/>
          <w:bCs/>
          <w:iCs/>
        </w:rPr>
      </w:pPr>
      <w:r>
        <w:rPr>
          <w:rFonts w:ascii="Arial" w:hAnsi="Arial" w:cs="Arial"/>
          <w:bCs/>
          <w:iCs/>
        </w:rPr>
        <w:t>5th</w:t>
      </w:r>
      <w:r w:rsidRPr="00032FD9">
        <w:rPr>
          <w:rFonts w:ascii="Arial" w:hAnsi="Arial" w:cs="Arial"/>
          <w:bCs/>
          <w:iCs/>
        </w:rPr>
        <w:t xml:space="preserve"> September 2023</w:t>
      </w:r>
    </w:p>
    <w:p w14:paraId="640F121C" w14:textId="77777777" w:rsidR="0061400D" w:rsidRDefault="0061400D" w:rsidP="0061400D">
      <w:pPr>
        <w:rPr>
          <w:rFonts w:ascii="Arial" w:hAnsi="Arial" w:cs="Arial"/>
          <w:b/>
          <w:iCs/>
          <w:sz w:val="24"/>
          <w:szCs w:val="24"/>
        </w:rPr>
      </w:pPr>
    </w:p>
    <w:p w14:paraId="3136BA6D" w14:textId="77777777" w:rsidR="0061400D" w:rsidRDefault="0061400D" w:rsidP="0061400D">
      <w:pPr>
        <w:rPr>
          <w:rFonts w:ascii="Arial" w:hAnsi="Arial" w:cs="Arial"/>
          <w:b/>
          <w:iCs/>
          <w:sz w:val="24"/>
          <w:szCs w:val="24"/>
        </w:rPr>
      </w:pPr>
      <w:r>
        <w:rPr>
          <w:rFonts w:ascii="Arial" w:hAnsi="Arial" w:cs="Arial"/>
          <w:b/>
          <w:iCs/>
          <w:sz w:val="24"/>
          <w:szCs w:val="24"/>
        </w:rPr>
        <w:t xml:space="preserve">Who to contact about this </w:t>
      </w:r>
      <w:proofErr w:type="gramStart"/>
      <w:r>
        <w:rPr>
          <w:rFonts w:ascii="Arial" w:hAnsi="Arial" w:cs="Arial"/>
          <w:b/>
          <w:iCs/>
          <w:sz w:val="24"/>
          <w:szCs w:val="24"/>
        </w:rPr>
        <w:t>response</w:t>
      </w:r>
      <w:proofErr w:type="gramEnd"/>
      <w:r>
        <w:rPr>
          <w:rFonts w:ascii="Arial" w:hAnsi="Arial" w:cs="Arial"/>
          <w:b/>
          <w:iCs/>
          <w:sz w:val="24"/>
          <w:szCs w:val="24"/>
        </w:rPr>
        <w:t xml:space="preserve"> </w:t>
      </w:r>
    </w:p>
    <w:p w14:paraId="1B9AC3E9" w14:textId="77777777" w:rsidR="0061400D" w:rsidRDefault="0061400D" w:rsidP="0061400D">
      <w:pPr>
        <w:rPr>
          <w:rFonts w:ascii="Arial" w:hAnsi="Arial" w:cs="Arial"/>
          <w:b/>
          <w:iCs/>
          <w:sz w:val="24"/>
          <w:szCs w:val="24"/>
        </w:rPr>
      </w:pPr>
    </w:p>
    <w:p w14:paraId="1B5A9318" w14:textId="77777777" w:rsidR="0061400D" w:rsidRPr="00032FD9" w:rsidRDefault="0061400D" w:rsidP="0061400D">
      <w:pPr>
        <w:rPr>
          <w:rFonts w:ascii="Arial" w:hAnsi="Arial" w:cs="Arial"/>
          <w:bCs/>
          <w:iCs/>
        </w:rPr>
      </w:pPr>
      <w:r w:rsidRPr="00032FD9">
        <w:rPr>
          <w:rFonts w:ascii="Arial" w:hAnsi="Arial" w:cs="Arial"/>
          <w:bCs/>
          <w:iCs/>
        </w:rPr>
        <w:t xml:space="preserve">Dr Anna Pearce, Senior Research Fellow, MRC/CSO Social and Public Health Sciences Unit, University of Glasgow. Email: </w:t>
      </w:r>
      <w:hyperlink r:id="rId10" w:history="1">
        <w:r w:rsidRPr="00032FD9">
          <w:rPr>
            <w:rStyle w:val="Hyperlink"/>
            <w:rFonts w:ascii="Arial" w:hAnsi="Arial" w:cs="Arial"/>
            <w:bCs/>
            <w:iCs/>
          </w:rPr>
          <w:t>Anna.Pearce@glasgow.ac.uk</w:t>
        </w:r>
      </w:hyperlink>
      <w:r w:rsidRPr="00032FD9">
        <w:rPr>
          <w:rFonts w:ascii="Arial" w:hAnsi="Arial" w:cs="Arial"/>
          <w:bCs/>
          <w:iCs/>
        </w:rPr>
        <w:t xml:space="preserve"> </w:t>
      </w:r>
    </w:p>
    <w:p w14:paraId="7CC9C433" w14:textId="77777777" w:rsidR="0061400D" w:rsidRPr="00032FD9" w:rsidRDefault="0061400D" w:rsidP="0061400D">
      <w:pPr>
        <w:rPr>
          <w:rFonts w:ascii="Arial" w:hAnsi="Arial" w:cs="Arial"/>
        </w:rPr>
      </w:pPr>
    </w:p>
    <w:p w14:paraId="6378D97A" w14:textId="77777777" w:rsidR="0061400D" w:rsidRPr="00032FD9" w:rsidRDefault="0061400D" w:rsidP="0061400D">
      <w:pPr>
        <w:rPr>
          <w:rFonts w:ascii="Arial" w:hAnsi="Arial" w:cs="Arial"/>
          <w:bCs/>
          <w:iCs/>
        </w:rPr>
      </w:pPr>
      <w:r w:rsidRPr="00032FD9">
        <w:rPr>
          <w:rFonts w:ascii="Arial" w:hAnsi="Arial" w:cs="Arial"/>
          <w:bCs/>
          <w:iCs/>
        </w:rPr>
        <w:t xml:space="preserve">Visit our website </w:t>
      </w:r>
      <w:hyperlink r:id="rId11" w:history="1">
        <w:r w:rsidRPr="00032FD9">
          <w:rPr>
            <w:rStyle w:val="Hyperlink"/>
            <w:rFonts w:ascii="Arial" w:hAnsi="Arial" w:cs="Arial"/>
            <w:bCs/>
            <w:iCs/>
          </w:rPr>
          <w:t>www.gla.ac.uk/sphsu</w:t>
        </w:r>
      </w:hyperlink>
      <w:r w:rsidRPr="00032FD9">
        <w:rPr>
          <w:rFonts w:ascii="Arial" w:hAnsi="Arial" w:cs="Arial"/>
          <w:bCs/>
          <w:iCs/>
        </w:rPr>
        <w:t xml:space="preserve"> and follow us </w:t>
      </w:r>
      <w:hyperlink r:id="rId12" w:history="1">
        <w:r w:rsidRPr="00032FD9">
          <w:rPr>
            <w:rStyle w:val="Hyperlink"/>
            <w:rFonts w:ascii="Arial" w:hAnsi="Arial" w:cs="Arial"/>
            <w:bCs/>
            <w:iCs/>
          </w:rPr>
          <w:t>@theSPHSU</w:t>
        </w:r>
      </w:hyperlink>
    </w:p>
    <w:p w14:paraId="2E3C0E63" w14:textId="77777777" w:rsidR="0061400D" w:rsidRPr="00032FD9" w:rsidRDefault="0061400D" w:rsidP="0061400D">
      <w:pPr>
        <w:rPr>
          <w:rFonts w:ascii="Arial" w:hAnsi="Arial" w:cs="Arial"/>
          <w:bCs/>
          <w:iCs/>
        </w:rPr>
      </w:pPr>
    </w:p>
    <w:p w14:paraId="5100C97A" w14:textId="77777777" w:rsidR="0061400D" w:rsidRPr="00032FD9" w:rsidRDefault="0061400D" w:rsidP="0061400D">
      <w:pPr>
        <w:rPr>
          <w:rFonts w:ascii="Arial" w:hAnsi="Arial" w:cs="Arial"/>
          <w:bCs/>
          <w:iCs/>
        </w:rPr>
      </w:pPr>
      <w:r w:rsidRPr="00032FD9">
        <w:rPr>
          <w:rFonts w:ascii="Arial" w:hAnsi="Arial" w:cs="Arial"/>
          <w:bCs/>
          <w:iCs/>
        </w:rPr>
        <w:t>MRC/CSO Social and Public Health Sciences Unit</w:t>
      </w:r>
    </w:p>
    <w:p w14:paraId="263E1B2C" w14:textId="77777777" w:rsidR="0061400D" w:rsidRPr="00032FD9" w:rsidRDefault="0061400D" w:rsidP="0061400D">
      <w:pPr>
        <w:rPr>
          <w:rFonts w:ascii="Arial" w:hAnsi="Arial" w:cs="Arial"/>
          <w:bCs/>
          <w:iCs/>
        </w:rPr>
      </w:pPr>
      <w:r w:rsidRPr="00032FD9">
        <w:rPr>
          <w:rFonts w:ascii="Arial" w:hAnsi="Arial" w:cs="Arial"/>
          <w:bCs/>
          <w:iCs/>
        </w:rPr>
        <w:t xml:space="preserve">School of Health and Wellbeing </w:t>
      </w:r>
    </w:p>
    <w:p w14:paraId="37A53642" w14:textId="77777777" w:rsidR="0061400D" w:rsidRPr="00032FD9" w:rsidRDefault="0061400D" w:rsidP="0061400D">
      <w:pPr>
        <w:rPr>
          <w:rFonts w:ascii="Arial" w:hAnsi="Arial" w:cs="Arial"/>
          <w:bCs/>
          <w:iCs/>
        </w:rPr>
      </w:pPr>
      <w:r w:rsidRPr="00032FD9">
        <w:rPr>
          <w:rFonts w:ascii="Arial" w:hAnsi="Arial" w:cs="Arial"/>
          <w:bCs/>
          <w:iCs/>
        </w:rPr>
        <w:t>Clarice Pears Building</w:t>
      </w:r>
    </w:p>
    <w:p w14:paraId="581F628F" w14:textId="77777777" w:rsidR="0061400D" w:rsidRPr="00032FD9" w:rsidRDefault="0061400D" w:rsidP="0061400D">
      <w:pPr>
        <w:rPr>
          <w:rFonts w:ascii="Arial" w:hAnsi="Arial" w:cs="Arial"/>
          <w:bCs/>
          <w:iCs/>
        </w:rPr>
      </w:pPr>
      <w:r w:rsidRPr="00032FD9">
        <w:rPr>
          <w:rFonts w:ascii="Arial" w:hAnsi="Arial" w:cs="Arial"/>
          <w:bCs/>
          <w:iCs/>
        </w:rPr>
        <w:t>90 Byres Road</w:t>
      </w:r>
    </w:p>
    <w:p w14:paraId="4714E6F5" w14:textId="77777777" w:rsidR="0061400D" w:rsidRPr="00032FD9" w:rsidRDefault="0061400D" w:rsidP="0061400D">
      <w:pPr>
        <w:rPr>
          <w:rFonts w:ascii="Arial" w:hAnsi="Arial" w:cs="Arial"/>
          <w:bCs/>
          <w:iCs/>
        </w:rPr>
      </w:pPr>
      <w:r w:rsidRPr="00032FD9">
        <w:rPr>
          <w:rFonts w:ascii="Arial" w:hAnsi="Arial" w:cs="Arial"/>
          <w:bCs/>
          <w:iCs/>
        </w:rPr>
        <w:t>Glasgow</w:t>
      </w:r>
    </w:p>
    <w:p w14:paraId="07ED2B23" w14:textId="77777777" w:rsidR="0061400D" w:rsidRPr="00032FD9" w:rsidRDefault="0061400D" w:rsidP="0061400D">
      <w:r w:rsidRPr="00032FD9">
        <w:rPr>
          <w:rFonts w:ascii="Arial" w:hAnsi="Arial" w:cs="Arial"/>
          <w:bCs/>
          <w:iCs/>
        </w:rPr>
        <w:t>G12 8TB</w:t>
      </w:r>
    </w:p>
    <w:p w14:paraId="1BDA8312" w14:textId="77777777" w:rsidR="0051108F" w:rsidRDefault="0051108F"/>
    <w:sectPr w:rsidR="00511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A75D1"/>
    <w:multiLevelType w:val="hybridMultilevel"/>
    <w:tmpl w:val="FF7A9CD2"/>
    <w:lvl w:ilvl="0" w:tplc="9D207F04">
      <w:start w:val="1"/>
      <w:numFmt w:val="decimal"/>
      <w:lvlText w:val="%1."/>
      <w:lvlJc w:val="left"/>
      <w:pPr>
        <w:ind w:left="720" w:hanging="360"/>
      </w:pPr>
      <w:rPr>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556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E7"/>
    <w:rsid w:val="0051108F"/>
    <w:rsid w:val="0061400D"/>
    <w:rsid w:val="00D026B0"/>
    <w:rsid w:val="00E22B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E1B9"/>
  <w15:chartTrackingRefBased/>
  <w15:docId w15:val="{01C58438-DAEB-4144-83C1-7FF1E866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0D"/>
    <w:pPr>
      <w:spacing w:after="0" w:line="240" w:lineRule="auto"/>
    </w:pPr>
    <w:rPr>
      <w:rFonts w:ascii="Calibri" w:eastAsiaTheme="minorHAnsi" w:hAnsi="Calibri"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00D"/>
    <w:rPr>
      <w:color w:val="0563C1" w:themeColor="hyperlink"/>
      <w:u w:val="single"/>
    </w:rPr>
  </w:style>
  <w:style w:type="paragraph" w:styleId="ListParagraph">
    <w:name w:val="List Paragraph"/>
    <w:basedOn w:val="Normal"/>
    <w:uiPriority w:val="34"/>
    <w:qFormat/>
    <w:rsid w:val="0061400D"/>
    <w:pPr>
      <w:ind w:left="720"/>
    </w:pPr>
    <w:rPr>
      <w:rFonts w:asciiTheme="minorHAnsi" w:eastAsiaTheme="minorEastAsia" w:hAnsiTheme="minorHAnsi" w:cstheme="minorBidi"/>
      <w:kern w:val="2"/>
      <w:lang w:eastAsia="zh-CN"/>
      <w14:ligatures w14:val="standardContextual"/>
    </w:rPr>
  </w:style>
  <w:style w:type="paragraph" w:customStyle="1" w:styleId="TableParagraph">
    <w:name w:val="Table Paragraph"/>
    <w:basedOn w:val="Normal"/>
    <w:uiPriority w:val="1"/>
    <w:qFormat/>
    <w:rsid w:val="0061400D"/>
    <w:pPr>
      <w:widowControl w:val="0"/>
      <w:autoSpaceDE w:val="0"/>
      <w:autoSpaceDN w:val="0"/>
      <w:ind w:left="107"/>
    </w:pPr>
    <w:rPr>
      <w:rFonts w:ascii="Arial" w:eastAsia="Arial" w:hAnsi="Arial" w:cs="Arial"/>
      <w:lang w:val="en-US"/>
    </w:rPr>
  </w:style>
  <w:style w:type="paragraph" w:customStyle="1" w:styleId="Default">
    <w:name w:val="Default"/>
    <w:rsid w:val="0061400D"/>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ch.bmj.com/content/jech/early/2022/09/26/jech-2022-219645.ful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aserofallander.org/wp-content/uploads/2022/11/FAI-Health-Foundation-Final-Report-2.pdf" TargetMode="External"/><Relationship Id="rId12" Type="http://schemas.openxmlformats.org/officeDocument/2006/relationships/hyperlink" Target="https://twitter.com/theSPH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ittees.parliament.uk/work/7858/mens-health/" TargetMode="External"/><Relationship Id="rId11" Type="http://schemas.openxmlformats.org/officeDocument/2006/relationships/hyperlink" Target="http://www.gla.ac.uk/sphsu" TargetMode="External"/><Relationship Id="rId5" Type="http://schemas.openxmlformats.org/officeDocument/2006/relationships/image" Target="media/image1.png"/><Relationship Id="rId10" Type="http://schemas.openxmlformats.org/officeDocument/2006/relationships/hyperlink" Target="mailto:Anna.Pearce@glasgow.ac.uk" TargetMode="External"/><Relationship Id="rId4" Type="http://schemas.openxmlformats.org/officeDocument/2006/relationships/webSettings" Target="webSettings.xml"/><Relationship Id="rId9" Type="http://schemas.openxmlformats.org/officeDocument/2006/relationships/hyperlink" Target="https://bsa.natcen.ac.uk/latest-report/british-social-attitudes-39/taxation-welfare-and-inequality.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1728</Words>
  <Characters>9850</Characters>
  <Application>Microsoft Office Word</Application>
  <DocSecurity>8</DocSecurity>
  <Lines>82</Lines>
  <Paragraphs>23</Paragraphs>
  <ScaleCrop>false</ScaleCrop>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Bell</dc:creator>
  <cp:keywords/>
  <dc:description/>
  <cp:lastModifiedBy>Gillian Bell</cp:lastModifiedBy>
  <cp:revision>3</cp:revision>
  <dcterms:created xsi:type="dcterms:W3CDTF">2023-09-06T15:21:00Z</dcterms:created>
  <dcterms:modified xsi:type="dcterms:W3CDTF">2023-09-06T15:22:00Z</dcterms:modified>
</cp:coreProperties>
</file>