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2F202" w14:textId="77777777" w:rsidR="00806A61" w:rsidRPr="0027581B" w:rsidRDefault="00806A61" w:rsidP="00806A61">
      <w:pPr>
        <w:spacing w:line="240" w:lineRule="auto"/>
        <w:jc w:val="both"/>
        <w:rPr>
          <w:rFonts w:ascii="Calibri" w:hAnsi="Calibri"/>
        </w:rPr>
      </w:pPr>
      <w:r w:rsidRPr="0027581B">
        <w:rPr>
          <w:rFonts w:ascii="Calibri" w:hAnsi="Calibri"/>
        </w:rPr>
        <w:t xml:space="preserve">The purpose of the Reflective Analysis (RA) is for the School/ Subject or Unit (S/S/U) under review to consider and evaluate its learning and teaching provision, consider the impact of its approach, evaluating what works well and reflecting on areas that could be improved. The narrative should </w:t>
      </w:r>
      <w:r w:rsidRPr="0027581B">
        <w:rPr>
          <w:rFonts w:ascii="Calibri" w:hAnsi="Calibri"/>
          <w:b/>
          <w:bCs/>
        </w:rPr>
        <w:t>incorporate evidence with cross-referencing to associated documentation</w:t>
      </w:r>
      <w:r w:rsidRPr="0027581B">
        <w:rPr>
          <w:rFonts w:ascii="Calibri" w:hAnsi="Calibri"/>
        </w:rPr>
        <w:t xml:space="preserve">. </w:t>
      </w:r>
    </w:p>
    <w:p w14:paraId="442B15BC" w14:textId="77777777" w:rsidR="00806A61" w:rsidRDefault="00806A61" w:rsidP="00806A61">
      <w:pPr>
        <w:spacing w:after="320" w:line="240" w:lineRule="auto"/>
        <w:jc w:val="both"/>
        <w:rPr>
          <w:rFonts w:ascii="Calibri" w:hAnsi="Calibri"/>
        </w:rPr>
      </w:pPr>
      <w:r w:rsidRPr="0027581B">
        <w:rPr>
          <w:rFonts w:ascii="Calibri" w:hAnsi="Calibri"/>
        </w:rPr>
        <w:t>There are 4 sections to the RA.  The first is important in terms of setting the scene and understanding the S/S/U under review.  The list of areas to cover is indicative.  Please include others if they are considered important for understanding your S/S/U. The remaining 3 sections address the S/S/U’s practice in relation to supporting learning and teaching, involving students and supporting their wider experience.  The questions in these sections do not need to be answered in turn. They are intended to support a reflective approach and a focus on enhancement.</w:t>
      </w:r>
    </w:p>
    <w:p w14:paraId="43EDB36D" w14:textId="77777777" w:rsidR="00806A61" w:rsidRDefault="00806A61">
      <w:pPr>
        <w:rPr>
          <w:rFonts w:ascii="Calibri" w:hAnsi="Calibri"/>
        </w:rPr>
      </w:pPr>
      <w:r>
        <w:rPr>
          <w:rFonts w:ascii="Calibri" w:hAnsi="Calibri"/>
        </w:rPr>
        <w:br w:type="page"/>
      </w:r>
    </w:p>
    <w:p w14:paraId="1109262E" w14:textId="77777777" w:rsidR="00806A61" w:rsidRDefault="00806A61">
      <w:pPr>
        <w:rPr>
          <w:rFonts w:ascii="Calibri" w:hAnsi="Calibri"/>
          <w:color w:val="FFFFFF" w:themeColor="background1"/>
          <w:sz w:val="24"/>
          <w:szCs w:val="24"/>
        </w:rPr>
      </w:pPr>
    </w:p>
    <w:p w14:paraId="270A746D" w14:textId="77777777" w:rsidR="00806A61" w:rsidRDefault="00806A61" w:rsidP="00583317">
      <w:pPr>
        <w:shd w:val="clear" w:color="auto" w:fill="B4C6E7" w:themeFill="accent1" w:themeFillTint="66"/>
        <w:jc w:val="center"/>
        <w:rPr>
          <w:rFonts w:ascii="Calibri" w:hAnsi="Calibri"/>
          <w:color w:val="FFFFFF" w:themeColor="background1"/>
          <w:sz w:val="24"/>
          <w:szCs w:val="24"/>
        </w:rPr>
      </w:pPr>
      <w:r>
        <w:rPr>
          <w:rFonts w:ascii="Calibri" w:hAnsi="Calibri"/>
          <w:color w:val="FFFFFF" w:themeColor="background1"/>
          <w:sz w:val="24"/>
          <w:szCs w:val="24"/>
        </w:rPr>
        <w:t>THE UNIVERSITY OF GLASGOW</w:t>
      </w:r>
    </w:p>
    <w:p w14:paraId="57213889" w14:textId="77777777" w:rsidR="00583317" w:rsidRPr="0027581B" w:rsidRDefault="00583317" w:rsidP="00583317">
      <w:pPr>
        <w:shd w:val="clear" w:color="auto" w:fill="B4C6E7" w:themeFill="accent1" w:themeFillTint="66"/>
        <w:jc w:val="center"/>
        <w:rPr>
          <w:rFonts w:ascii="Calibri" w:hAnsi="Calibri"/>
          <w:color w:val="FFFFFF" w:themeColor="background1"/>
          <w:sz w:val="24"/>
          <w:szCs w:val="24"/>
        </w:rPr>
      </w:pPr>
      <w:r w:rsidRPr="0027581B">
        <w:rPr>
          <w:rFonts w:ascii="Calibri" w:hAnsi="Calibri"/>
          <w:color w:val="FFFFFF" w:themeColor="background1"/>
          <w:sz w:val="24"/>
          <w:szCs w:val="24"/>
        </w:rPr>
        <w:t>Periodic Subject Review of the School of</w:t>
      </w:r>
    </w:p>
    <w:p w14:paraId="3082CFCA" w14:textId="77777777" w:rsidR="00583317" w:rsidRPr="0027581B" w:rsidRDefault="00583317" w:rsidP="00583317">
      <w:pPr>
        <w:shd w:val="clear" w:color="auto" w:fill="B4C6E7" w:themeFill="accent1" w:themeFillTint="66"/>
        <w:jc w:val="center"/>
        <w:rPr>
          <w:rFonts w:ascii="Calibri" w:hAnsi="Calibri"/>
          <w:color w:val="FFFFFF" w:themeColor="background1"/>
          <w:sz w:val="24"/>
          <w:szCs w:val="24"/>
        </w:rPr>
      </w:pPr>
      <w:r w:rsidRPr="0027581B">
        <w:rPr>
          <w:rFonts w:ascii="Calibri" w:hAnsi="Calibri"/>
          <w:color w:val="FFFFFF" w:themeColor="background1"/>
          <w:sz w:val="24"/>
          <w:szCs w:val="24"/>
        </w:rPr>
        <w:t>Reflective Analysis (RA)</w:t>
      </w:r>
    </w:p>
    <w:p w14:paraId="256A4111" w14:textId="77777777" w:rsidR="00806A61" w:rsidRPr="0027581B" w:rsidRDefault="00806A61" w:rsidP="00575858">
      <w:pPr>
        <w:spacing w:after="320" w:line="240" w:lineRule="auto"/>
        <w:jc w:val="both"/>
        <w:rPr>
          <w:rFonts w:ascii="Calibri" w:hAnsi="Calibri"/>
        </w:rPr>
      </w:pPr>
    </w:p>
    <w:p w14:paraId="784EE3FE" w14:textId="77777777" w:rsidR="00583317" w:rsidRPr="0027581B" w:rsidRDefault="00583317" w:rsidP="00575858">
      <w:pPr>
        <w:pStyle w:val="ListParagraph"/>
        <w:numPr>
          <w:ilvl w:val="0"/>
          <w:numId w:val="1"/>
        </w:numPr>
        <w:shd w:val="clear" w:color="auto" w:fill="B4C6E7" w:themeFill="accent1" w:themeFillTint="66"/>
        <w:spacing w:after="240" w:line="240" w:lineRule="auto"/>
        <w:ind w:left="357" w:hanging="357"/>
        <w:contextualSpacing w:val="0"/>
        <w:rPr>
          <w:rFonts w:ascii="Calibri" w:hAnsi="Calibri"/>
          <w:color w:val="FFFFFF" w:themeColor="background1"/>
          <w:sz w:val="24"/>
          <w:szCs w:val="24"/>
        </w:rPr>
      </w:pPr>
      <w:r w:rsidRPr="0027581B">
        <w:rPr>
          <w:rFonts w:ascii="Calibri" w:hAnsi="Calibri"/>
          <w:color w:val="FFFFFF" w:themeColor="background1"/>
          <w:sz w:val="24"/>
          <w:szCs w:val="24"/>
        </w:rPr>
        <w:t xml:space="preserve">STRATEGY FOR DEVELOPMENT </w:t>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t>[4 pages]</w:t>
      </w:r>
    </w:p>
    <w:p w14:paraId="058D77AB" w14:textId="77777777" w:rsidR="00583317" w:rsidRPr="0027581B" w:rsidRDefault="00583317" w:rsidP="00806A61">
      <w:pPr>
        <w:pStyle w:val="ListParagraph"/>
        <w:numPr>
          <w:ilvl w:val="1"/>
          <w:numId w:val="1"/>
        </w:numPr>
        <w:spacing w:after="120" w:line="240" w:lineRule="auto"/>
        <w:ind w:left="675" w:hanging="357"/>
        <w:contextualSpacing w:val="0"/>
        <w:rPr>
          <w:rFonts w:ascii="Calibri" w:hAnsi="Calibri"/>
          <w:sz w:val="21"/>
          <w:szCs w:val="21"/>
        </w:rPr>
      </w:pPr>
      <w:r w:rsidRPr="0027581B">
        <w:rPr>
          <w:rFonts w:ascii="Calibri" w:hAnsi="Calibri"/>
          <w:sz w:val="21"/>
          <w:szCs w:val="21"/>
        </w:rPr>
        <w:t>Progress made since last review</w:t>
      </w:r>
    </w:p>
    <w:p w14:paraId="1F34A048" w14:textId="77777777" w:rsidR="002717B9" w:rsidRPr="0027581B" w:rsidRDefault="002717B9" w:rsidP="00575858">
      <w:pPr>
        <w:pStyle w:val="ListParagraph"/>
        <w:numPr>
          <w:ilvl w:val="1"/>
          <w:numId w:val="1"/>
        </w:numPr>
        <w:spacing w:after="120" w:line="240" w:lineRule="auto"/>
        <w:ind w:left="675" w:hanging="357"/>
        <w:contextualSpacing w:val="0"/>
        <w:rPr>
          <w:rFonts w:ascii="Calibri" w:hAnsi="Calibri"/>
          <w:sz w:val="21"/>
          <w:szCs w:val="21"/>
        </w:rPr>
      </w:pPr>
      <w:r w:rsidRPr="0027581B">
        <w:rPr>
          <w:rFonts w:ascii="Calibri" w:hAnsi="Calibri"/>
          <w:sz w:val="21"/>
          <w:szCs w:val="21"/>
        </w:rPr>
        <w:t>S</w:t>
      </w:r>
      <w:r w:rsidR="00583317" w:rsidRPr="0027581B">
        <w:rPr>
          <w:rFonts w:ascii="Calibri" w:hAnsi="Calibri"/>
          <w:sz w:val="21"/>
          <w:szCs w:val="21"/>
        </w:rPr>
        <w:t>trategy for development</w:t>
      </w:r>
      <w:r w:rsidRPr="0027581B">
        <w:rPr>
          <w:rFonts w:ascii="Calibri" w:hAnsi="Calibri"/>
          <w:sz w:val="21"/>
          <w:szCs w:val="21"/>
        </w:rPr>
        <w:t xml:space="preserve"> </w:t>
      </w:r>
      <w:r w:rsidRPr="0027581B">
        <w:rPr>
          <w:rFonts w:ascii="Calibri" w:eastAsia="Times New Roman" w:hAnsi="Calibri" w:cs="Times New Roman"/>
          <w:color w:val="000000"/>
          <w:sz w:val="21"/>
          <w:szCs w:val="21"/>
        </w:rPr>
        <w:t>referring to statistics and short-term plans, and connection to wider L&amp;T strategy and action plans at University, College (and if a Subject Area, School) level. Refer to data on:</w:t>
      </w:r>
    </w:p>
    <w:p w14:paraId="40F5B6BC" w14:textId="77777777" w:rsidR="002717B9" w:rsidRPr="0027581B" w:rsidRDefault="002717B9" w:rsidP="00575858">
      <w:pPr>
        <w:pStyle w:val="ListParagraph"/>
        <w:numPr>
          <w:ilvl w:val="0"/>
          <w:numId w:val="4"/>
        </w:numPr>
        <w:spacing w:after="60" w:line="240" w:lineRule="auto"/>
        <w:ind w:left="1264" w:hanging="357"/>
        <w:contextualSpacing w:val="0"/>
        <w:rPr>
          <w:rFonts w:ascii="Calibri" w:eastAsia="Times New Roman" w:hAnsi="Calibri" w:cs="Times New Roman"/>
          <w:color w:val="000000"/>
          <w:sz w:val="21"/>
          <w:szCs w:val="21"/>
        </w:rPr>
      </w:pPr>
      <w:r w:rsidRPr="0027581B">
        <w:rPr>
          <w:rFonts w:ascii="Calibri" w:eastAsia="Times New Roman" w:hAnsi="Calibri" w:cs="Times New Roman"/>
          <w:color w:val="000000"/>
          <w:sz w:val="21"/>
          <w:szCs w:val="21"/>
        </w:rPr>
        <w:t>UG and PGT Programmes (both internally and in collaboration with external partners)</w:t>
      </w:r>
    </w:p>
    <w:p w14:paraId="2D701633" w14:textId="77777777" w:rsidR="002717B9" w:rsidRPr="0027581B" w:rsidRDefault="002717B9" w:rsidP="00575858">
      <w:pPr>
        <w:pStyle w:val="ListParagraph"/>
        <w:numPr>
          <w:ilvl w:val="0"/>
          <w:numId w:val="4"/>
        </w:numPr>
        <w:spacing w:after="60" w:line="240" w:lineRule="auto"/>
        <w:ind w:left="1264" w:hanging="357"/>
        <w:contextualSpacing w:val="0"/>
        <w:rPr>
          <w:rFonts w:ascii="Calibri" w:eastAsia="Times New Roman" w:hAnsi="Calibri" w:cs="Times New Roman"/>
          <w:color w:val="000000"/>
          <w:sz w:val="21"/>
          <w:szCs w:val="21"/>
        </w:rPr>
      </w:pPr>
      <w:r w:rsidRPr="0027581B">
        <w:rPr>
          <w:rFonts w:ascii="Calibri" w:eastAsia="Times New Roman" w:hAnsi="Calibri" w:cs="Times New Roman"/>
          <w:color w:val="000000"/>
          <w:sz w:val="21"/>
          <w:szCs w:val="21"/>
        </w:rPr>
        <w:t>Student numbers, staffing, physical resources (including infrastructure and IT support)</w:t>
      </w:r>
    </w:p>
    <w:p w14:paraId="40107C71" w14:textId="77777777" w:rsidR="002717B9" w:rsidRPr="0027581B" w:rsidRDefault="002717B9" w:rsidP="00575858">
      <w:pPr>
        <w:pStyle w:val="ListParagraph"/>
        <w:numPr>
          <w:ilvl w:val="0"/>
          <w:numId w:val="4"/>
        </w:numPr>
        <w:spacing w:after="60" w:line="240" w:lineRule="auto"/>
        <w:ind w:left="1264" w:hanging="357"/>
        <w:contextualSpacing w:val="0"/>
        <w:rPr>
          <w:rFonts w:ascii="Calibri" w:eastAsia="Times New Roman" w:hAnsi="Calibri" w:cs="Times New Roman"/>
          <w:color w:val="000000"/>
          <w:sz w:val="21"/>
          <w:szCs w:val="21"/>
        </w:rPr>
      </w:pPr>
      <w:r w:rsidRPr="0027581B">
        <w:rPr>
          <w:rFonts w:ascii="Calibri" w:eastAsia="Times New Roman" w:hAnsi="Calibri" w:cs="Times New Roman"/>
          <w:color w:val="000000"/>
          <w:sz w:val="21"/>
          <w:szCs w:val="21"/>
        </w:rPr>
        <w:t>Diversity of staff</w:t>
      </w:r>
    </w:p>
    <w:p w14:paraId="5382D3B1" w14:textId="77777777" w:rsidR="002717B9" w:rsidRPr="0027581B" w:rsidRDefault="002717B9" w:rsidP="00575858">
      <w:pPr>
        <w:pStyle w:val="ListParagraph"/>
        <w:numPr>
          <w:ilvl w:val="0"/>
          <w:numId w:val="4"/>
        </w:numPr>
        <w:spacing w:after="120" w:line="240" w:lineRule="auto"/>
        <w:ind w:left="1264" w:hanging="357"/>
        <w:contextualSpacing w:val="0"/>
        <w:rPr>
          <w:rFonts w:ascii="Calibri" w:eastAsia="Times New Roman" w:hAnsi="Calibri" w:cs="Times New Roman"/>
          <w:color w:val="000000"/>
          <w:sz w:val="21"/>
          <w:szCs w:val="21"/>
        </w:rPr>
      </w:pPr>
      <w:r w:rsidRPr="0027581B">
        <w:rPr>
          <w:rFonts w:ascii="Calibri" w:eastAsia="Times New Roman" w:hAnsi="Calibri" w:cs="Times New Roman"/>
          <w:color w:val="000000"/>
          <w:sz w:val="21"/>
          <w:szCs w:val="21"/>
        </w:rPr>
        <w:t>Widening participation, with commentary on the School’s support for students from WP backgrounds  Referring to wider policy such as the Accessible and Inclusive Learning</w:t>
      </w:r>
    </w:p>
    <w:p w14:paraId="5D000291" w14:textId="77777777" w:rsidR="006104F1" w:rsidRPr="0027581B" w:rsidRDefault="006104F1" w:rsidP="00575858">
      <w:pPr>
        <w:pStyle w:val="ListParagraph"/>
        <w:spacing w:after="120" w:line="240" w:lineRule="auto"/>
        <w:ind w:left="680" w:firstLine="23"/>
        <w:contextualSpacing w:val="0"/>
        <w:rPr>
          <w:rFonts w:ascii="Calibri" w:eastAsia="Times New Roman" w:hAnsi="Calibri" w:cs="Times New Roman"/>
          <w:color w:val="000000"/>
          <w:sz w:val="21"/>
          <w:szCs w:val="21"/>
        </w:rPr>
      </w:pPr>
      <w:r w:rsidRPr="0027581B">
        <w:rPr>
          <w:rFonts w:ascii="Calibri" w:eastAsia="Times New Roman" w:hAnsi="Calibri" w:cs="Times New Roman"/>
          <w:color w:val="000000"/>
          <w:sz w:val="21"/>
          <w:szCs w:val="21"/>
        </w:rPr>
        <w:t xml:space="preserve">The Strategy should also cover: </w:t>
      </w:r>
    </w:p>
    <w:p w14:paraId="646F69A3" w14:textId="77777777" w:rsidR="006104F1" w:rsidRPr="0027581B" w:rsidRDefault="006104F1" w:rsidP="00575858">
      <w:pPr>
        <w:pStyle w:val="ListParagraph"/>
        <w:numPr>
          <w:ilvl w:val="0"/>
          <w:numId w:val="5"/>
        </w:numPr>
        <w:spacing w:after="60" w:line="240" w:lineRule="auto"/>
        <w:ind w:left="1264" w:hanging="357"/>
        <w:contextualSpacing w:val="0"/>
        <w:rPr>
          <w:rFonts w:ascii="Calibri" w:eastAsia="Times New Roman" w:hAnsi="Calibri" w:cs="Times New Roman"/>
          <w:color w:val="000000"/>
          <w:sz w:val="21"/>
          <w:szCs w:val="21"/>
        </w:rPr>
      </w:pPr>
      <w:r w:rsidRPr="0027581B">
        <w:rPr>
          <w:rFonts w:ascii="Calibri" w:eastAsia="Times New Roman" w:hAnsi="Calibri" w:cs="Times New Roman"/>
          <w:color w:val="000000"/>
          <w:sz w:val="21"/>
          <w:szCs w:val="21"/>
        </w:rPr>
        <w:t>How the School ensures that the student experience is equivalent regardless of the location or mode of delivery, referring to cohorts, or programmes,  involving external partners, alternative modes of delivery such as part-time, or online distance learners</w:t>
      </w:r>
    </w:p>
    <w:p w14:paraId="213480D0" w14:textId="77777777" w:rsidR="002717B9" w:rsidRPr="0027581B" w:rsidRDefault="006104F1" w:rsidP="00575858">
      <w:pPr>
        <w:pStyle w:val="ListParagraph"/>
        <w:numPr>
          <w:ilvl w:val="0"/>
          <w:numId w:val="3"/>
        </w:numPr>
        <w:spacing w:after="200" w:line="240" w:lineRule="auto"/>
        <w:ind w:left="1264" w:hanging="357"/>
        <w:contextualSpacing w:val="0"/>
        <w:rPr>
          <w:rFonts w:ascii="Calibri" w:eastAsia="Times New Roman" w:hAnsi="Calibri" w:cs="Times New Roman"/>
          <w:color w:val="000000"/>
          <w:sz w:val="21"/>
          <w:szCs w:val="21"/>
        </w:rPr>
      </w:pPr>
      <w:r w:rsidRPr="0027581B">
        <w:rPr>
          <w:rFonts w:ascii="Calibri" w:eastAsia="Times New Roman" w:hAnsi="Calibri" w:cs="Times New Roman"/>
          <w:color w:val="000000"/>
          <w:sz w:val="21"/>
          <w:szCs w:val="21"/>
        </w:rPr>
        <w:t>Links with professional bodies (including accrediting bodies), peer institutions, policy makers or other external agencies and their influence on the School’s development strategy</w:t>
      </w:r>
    </w:p>
    <w:p w14:paraId="763E62EE" w14:textId="77777777" w:rsidR="006104F1" w:rsidRPr="0027581B" w:rsidRDefault="006104F1" w:rsidP="00806A61">
      <w:pPr>
        <w:pStyle w:val="ListParagraph"/>
        <w:numPr>
          <w:ilvl w:val="1"/>
          <w:numId w:val="1"/>
        </w:numPr>
        <w:spacing w:after="120" w:line="240" w:lineRule="auto"/>
        <w:ind w:left="675" w:hanging="357"/>
        <w:contextualSpacing w:val="0"/>
        <w:rPr>
          <w:rFonts w:ascii="Calibri" w:hAnsi="Calibri"/>
          <w:sz w:val="21"/>
          <w:szCs w:val="21"/>
        </w:rPr>
      </w:pPr>
      <w:r w:rsidRPr="0027581B">
        <w:rPr>
          <w:rFonts w:ascii="Calibri" w:eastAsia="Times New Roman" w:hAnsi="Calibri" w:cs="Times New Roman"/>
          <w:color w:val="000000"/>
          <w:sz w:val="21"/>
          <w:szCs w:val="21"/>
        </w:rPr>
        <w:t xml:space="preserve">How does the School communicate its vision to staff and students and ensure their ‘buy in’? </w:t>
      </w:r>
    </w:p>
    <w:p w14:paraId="52664D94" w14:textId="77777777" w:rsidR="006104F1" w:rsidRPr="0027581B" w:rsidRDefault="006104F1" w:rsidP="00806A61">
      <w:pPr>
        <w:pStyle w:val="ListParagraph"/>
        <w:numPr>
          <w:ilvl w:val="1"/>
          <w:numId w:val="1"/>
        </w:numPr>
        <w:spacing w:after="120" w:line="240" w:lineRule="auto"/>
        <w:ind w:left="675" w:hanging="357"/>
        <w:contextualSpacing w:val="0"/>
        <w:rPr>
          <w:rFonts w:ascii="Calibri" w:hAnsi="Calibri"/>
          <w:sz w:val="21"/>
          <w:szCs w:val="21"/>
        </w:rPr>
      </w:pPr>
      <w:r w:rsidRPr="0027581B">
        <w:rPr>
          <w:rFonts w:ascii="Calibri" w:eastAsia="Times New Roman" w:hAnsi="Calibri" w:cs="Times New Roman"/>
          <w:color w:val="000000"/>
          <w:sz w:val="21"/>
          <w:szCs w:val="21"/>
        </w:rPr>
        <w:t>How will the School assess progress with the Strategy? Identify what forms of evidence will be reviewed to demonstrate achievement of development objectives (consider use of data referred to in section</w:t>
      </w:r>
      <w:r w:rsidR="00806A61">
        <w:rPr>
          <w:rFonts w:ascii="Calibri" w:eastAsia="Times New Roman" w:hAnsi="Calibri" w:cs="Times New Roman"/>
          <w:color w:val="000000"/>
          <w:sz w:val="21"/>
          <w:szCs w:val="21"/>
        </w:rPr>
        <w:t>s 2&amp;3</w:t>
      </w:r>
      <w:r w:rsidRPr="0027581B">
        <w:rPr>
          <w:rFonts w:ascii="Calibri" w:eastAsia="Times New Roman" w:hAnsi="Calibri" w:cs="Times New Roman"/>
          <w:color w:val="000000"/>
          <w:sz w:val="21"/>
          <w:szCs w:val="21"/>
        </w:rPr>
        <w:t xml:space="preserve">) </w:t>
      </w:r>
    </w:p>
    <w:p w14:paraId="39BB1031" w14:textId="77777777" w:rsidR="00583317" w:rsidRPr="0027581B" w:rsidRDefault="002717B9" w:rsidP="00575858">
      <w:pPr>
        <w:pStyle w:val="ListParagraph"/>
        <w:numPr>
          <w:ilvl w:val="1"/>
          <w:numId w:val="1"/>
        </w:numPr>
        <w:spacing w:line="240" w:lineRule="auto"/>
        <w:ind w:left="680"/>
        <w:rPr>
          <w:rFonts w:ascii="Calibri" w:hAnsi="Calibri"/>
          <w:sz w:val="21"/>
          <w:szCs w:val="21"/>
        </w:rPr>
      </w:pPr>
      <w:r w:rsidRPr="0027581B">
        <w:rPr>
          <w:rFonts w:ascii="Calibri" w:eastAsia="Times New Roman" w:hAnsi="Calibri" w:cs="Times New Roman"/>
          <w:color w:val="000000"/>
          <w:sz w:val="21"/>
          <w:szCs w:val="21"/>
        </w:rPr>
        <w:t>What are the School’s main strengths, challenges and opportunities</w:t>
      </w:r>
      <w:r w:rsidR="006104F1" w:rsidRPr="0027581B">
        <w:rPr>
          <w:rFonts w:ascii="Calibri" w:eastAsia="Times New Roman" w:hAnsi="Calibri" w:cs="Times New Roman"/>
          <w:color w:val="000000"/>
          <w:sz w:val="21"/>
          <w:szCs w:val="21"/>
        </w:rPr>
        <w:t>?</w:t>
      </w:r>
    </w:p>
    <w:p w14:paraId="5868F114" w14:textId="77777777" w:rsidR="00806A61" w:rsidRDefault="00806A61">
      <w:pPr>
        <w:rPr>
          <w:rFonts w:ascii="Calibri" w:hAnsi="Calibri"/>
          <w:sz w:val="24"/>
          <w:szCs w:val="24"/>
        </w:rPr>
      </w:pPr>
      <w:r>
        <w:rPr>
          <w:rFonts w:ascii="Calibri" w:hAnsi="Calibri"/>
          <w:sz w:val="24"/>
          <w:szCs w:val="24"/>
        </w:rPr>
        <w:br w:type="page"/>
      </w:r>
    </w:p>
    <w:p w14:paraId="4CF57ED5" w14:textId="77777777" w:rsidR="006104F1" w:rsidRPr="0027581B" w:rsidRDefault="006104F1" w:rsidP="00575858">
      <w:pPr>
        <w:pStyle w:val="ListParagraph"/>
        <w:numPr>
          <w:ilvl w:val="0"/>
          <w:numId w:val="1"/>
        </w:numPr>
        <w:shd w:val="clear" w:color="auto" w:fill="B4C6E7" w:themeFill="accent1" w:themeFillTint="66"/>
        <w:spacing w:after="360" w:line="240" w:lineRule="auto"/>
        <w:ind w:left="357" w:hanging="357"/>
        <w:contextualSpacing w:val="0"/>
        <w:rPr>
          <w:rFonts w:ascii="Calibri" w:hAnsi="Calibri"/>
          <w:color w:val="FFFFFF" w:themeColor="background1"/>
          <w:sz w:val="24"/>
          <w:szCs w:val="24"/>
        </w:rPr>
      </w:pPr>
      <w:r w:rsidRPr="0027581B">
        <w:rPr>
          <w:rFonts w:ascii="Calibri" w:hAnsi="Calibri"/>
          <w:color w:val="FFFFFF" w:themeColor="background1"/>
          <w:sz w:val="24"/>
          <w:szCs w:val="24"/>
        </w:rPr>
        <w:lastRenderedPageBreak/>
        <w:t>LEARNING AND TEACHING ENHANCEMENT</w:t>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t>[4 pages]</w:t>
      </w:r>
    </w:p>
    <w:p w14:paraId="010F80CF" w14:textId="77777777" w:rsidR="006104F1" w:rsidRPr="00F4607F" w:rsidRDefault="006104F1" w:rsidP="00806A61">
      <w:pPr>
        <w:pStyle w:val="ListParagraph"/>
        <w:numPr>
          <w:ilvl w:val="1"/>
          <w:numId w:val="1"/>
        </w:numPr>
        <w:spacing w:after="120" w:line="240" w:lineRule="auto"/>
        <w:ind w:left="675" w:hanging="357"/>
        <w:contextualSpacing w:val="0"/>
        <w:rPr>
          <w:rFonts w:ascii="Calibri" w:hAnsi="Calibri"/>
        </w:rPr>
      </w:pPr>
      <w:r w:rsidRPr="0027581B">
        <w:rPr>
          <w:rFonts w:ascii="Calibri" w:eastAsia="Times New Roman" w:hAnsi="Calibri" w:cs="Times New Roman"/>
          <w:color w:val="000000"/>
        </w:rPr>
        <w:t xml:space="preserve">How is the curriculum designed and developed and how are new forms of learning, teaching and assessment incorporated? </w:t>
      </w:r>
    </w:p>
    <w:p w14:paraId="4ACD26FE" w14:textId="77777777" w:rsidR="00F4607F" w:rsidRPr="0027581B" w:rsidRDefault="00F4607F" w:rsidP="00F4607F">
      <w:pPr>
        <w:pStyle w:val="ListParagraph"/>
        <w:numPr>
          <w:ilvl w:val="1"/>
          <w:numId w:val="1"/>
        </w:numPr>
        <w:spacing w:after="120" w:line="240" w:lineRule="auto"/>
        <w:ind w:left="675" w:hanging="357"/>
        <w:contextualSpacing w:val="0"/>
        <w:rPr>
          <w:rFonts w:ascii="Calibri" w:hAnsi="Calibri"/>
        </w:rPr>
      </w:pPr>
      <w:r w:rsidRPr="0027581B">
        <w:rPr>
          <w:rFonts w:ascii="Calibri" w:eastAsia="Times New Roman" w:hAnsi="Calibri" w:cs="Times New Roman"/>
          <w:color w:val="000000"/>
        </w:rPr>
        <w:t>How does the curriculum connect with the world of work and personal development? Areas to consider:</w:t>
      </w:r>
    </w:p>
    <w:p w14:paraId="3B5DB50B" w14:textId="77777777" w:rsidR="00F4607F" w:rsidRPr="0027581B" w:rsidRDefault="00F4607F" w:rsidP="00F4607F">
      <w:pPr>
        <w:pStyle w:val="ListParagraph"/>
        <w:numPr>
          <w:ilvl w:val="0"/>
          <w:numId w:val="7"/>
        </w:numPr>
        <w:spacing w:after="60" w:line="240" w:lineRule="auto"/>
        <w:ind w:left="1071" w:hanging="357"/>
        <w:contextualSpacing w:val="0"/>
        <w:rPr>
          <w:rFonts w:ascii="Calibri" w:eastAsia="Times New Roman" w:hAnsi="Calibri" w:cs="Times New Roman"/>
          <w:color w:val="000000"/>
        </w:rPr>
      </w:pPr>
      <w:r w:rsidRPr="0027581B">
        <w:rPr>
          <w:rFonts w:ascii="Calibri" w:eastAsia="Times New Roman" w:hAnsi="Calibri" w:cs="Times New Roman"/>
          <w:color w:val="000000"/>
        </w:rPr>
        <w:t>Development of Graduate Attributes - Integration of professional skills, employability and work-based learning in the curriculum</w:t>
      </w:r>
    </w:p>
    <w:p w14:paraId="14F732FA" w14:textId="77777777" w:rsidR="00F4607F" w:rsidRPr="0027581B" w:rsidRDefault="00F4607F" w:rsidP="00F4607F">
      <w:pPr>
        <w:pStyle w:val="ListParagraph"/>
        <w:numPr>
          <w:ilvl w:val="0"/>
          <w:numId w:val="7"/>
        </w:numPr>
        <w:spacing w:after="60" w:line="240" w:lineRule="auto"/>
        <w:ind w:left="1071" w:hanging="357"/>
        <w:contextualSpacing w:val="0"/>
        <w:rPr>
          <w:rFonts w:ascii="Calibri" w:eastAsia="Times New Roman" w:hAnsi="Calibri" w:cs="Times New Roman"/>
          <w:color w:val="000000"/>
        </w:rPr>
      </w:pPr>
      <w:r w:rsidRPr="0027581B">
        <w:rPr>
          <w:rFonts w:ascii="Calibri" w:eastAsia="Times New Roman" w:hAnsi="Calibri" w:cs="Times New Roman"/>
          <w:color w:val="000000"/>
        </w:rPr>
        <w:t xml:space="preserve">Opportunities for internationalisation and study abroad? </w:t>
      </w:r>
    </w:p>
    <w:p w14:paraId="6A6B5B56" w14:textId="77777777" w:rsidR="00F4607F" w:rsidRPr="0027581B" w:rsidRDefault="00F4607F" w:rsidP="00F4607F">
      <w:pPr>
        <w:pStyle w:val="ListParagraph"/>
        <w:numPr>
          <w:ilvl w:val="0"/>
          <w:numId w:val="7"/>
        </w:numPr>
        <w:spacing w:after="60" w:line="240" w:lineRule="auto"/>
        <w:ind w:left="1071" w:hanging="357"/>
        <w:contextualSpacing w:val="0"/>
        <w:rPr>
          <w:rFonts w:ascii="Calibri" w:eastAsia="Times New Roman" w:hAnsi="Calibri" w:cs="Times New Roman"/>
          <w:color w:val="000000"/>
        </w:rPr>
      </w:pPr>
      <w:r w:rsidRPr="0027581B">
        <w:rPr>
          <w:rFonts w:ascii="Calibri" w:eastAsia="Times New Roman" w:hAnsi="Calibri" w:cs="Times New Roman"/>
          <w:color w:val="000000"/>
        </w:rPr>
        <w:t>In what ways are students enabled to engage in learning and/or personal development outside of the classroom?</w:t>
      </w:r>
    </w:p>
    <w:p w14:paraId="339BED20" w14:textId="77777777" w:rsidR="00F4607F" w:rsidRPr="0027581B" w:rsidRDefault="00F4607F" w:rsidP="00F4607F">
      <w:pPr>
        <w:pStyle w:val="ListParagraph"/>
        <w:numPr>
          <w:ilvl w:val="0"/>
          <w:numId w:val="7"/>
        </w:numPr>
        <w:spacing w:after="60" w:line="240" w:lineRule="auto"/>
        <w:ind w:left="1071" w:hanging="357"/>
        <w:contextualSpacing w:val="0"/>
        <w:rPr>
          <w:rFonts w:ascii="Calibri" w:eastAsia="Times New Roman" w:hAnsi="Calibri" w:cs="Times New Roman"/>
          <w:color w:val="000000"/>
        </w:rPr>
      </w:pPr>
      <w:r w:rsidRPr="0027581B">
        <w:rPr>
          <w:rFonts w:ascii="Calibri" w:eastAsia="Times New Roman" w:hAnsi="Calibri" w:cs="Times New Roman"/>
          <w:color w:val="000000"/>
        </w:rPr>
        <w:t xml:space="preserve"> Refer to graduate destination data and any activity the School undertakes to focus on career development including  Is there engagement with graduates after study?</w:t>
      </w:r>
    </w:p>
    <w:p w14:paraId="7FE4BA44" w14:textId="77777777" w:rsidR="006104F1" w:rsidRPr="0027581B" w:rsidRDefault="006104F1" w:rsidP="00806A61">
      <w:pPr>
        <w:pStyle w:val="ListParagraph"/>
        <w:numPr>
          <w:ilvl w:val="1"/>
          <w:numId w:val="1"/>
        </w:numPr>
        <w:spacing w:after="120" w:line="240" w:lineRule="auto"/>
        <w:ind w:left="675" w:hanging="357"/>
        <w:contextualSpacing w:val="0"/>
        <w:rPr>
          <w:rFonts w:ascii="Calibri" w:hAnsi="Calibri"/>
        </w:rPr>
      </w:pPr>
      <w:r w:rsidRPr="0027581B">
        <w:rPr>
          <w:rFonts w:ascii="Calibri" w:eastAsia="Times New Roman" w:hAnsi="Calibri" w:cs="Times New Roman"/>
          <w:color w:val="000000"/>
        </w:rPr>
        <w:t xml:space="preserve">Has an active learning approach been adopted and how is technology being used to enhance learning? </w:t>
      </w:r>
    </w:p>
    <w:p w14:paraId="04CAB426" w14:textId="77777777" w:rsidR="006104F1" w:rsidRPr="00F4607F" w:rsidRDefault="006104F1" w:rsidP="00806A61">
      <w:pPr>
        <w:pStyle w:val="ListParagraph"/>
        <w:numPr>
          <w:ilvl w:val="1"/>
          <w:numId w:val="1"/>
        </w:numPr>
        <w:spacing w:after="120" w:line="240" w:lineRule="auto"/>
        <w:ind w:left="675" w:hanging="357"/>
        <w:contextualSpacing w:val="0"/>
        <w:rPr>
          <w:rFonts w:ascii="Calibri" w:hAnsi="Calibri"/>
        </w:rPr>
      </w:pPr>
      <w:r w:rsidRPr="0027581B">
        <w:rPr>
          <w:rFonts w:ascii="Calibri" w:eastAsia="Times New Roman" w:hAnsi="Calibri" w:cs="Times New Roman"/>
          <w:color w:val="000000"/>
        </w:rPr>
        <w:t xml:space="preserve">How is assessment aligned with learning outcomes?  How are approaches to assessment and (assessment feedback) kept under review ? </w:t>
      </w:r>
    </w:p>
    <w:p w14:paraId="6F6DC994" w14:textId="77777777" w:rsidR="00F4607F" w:rsidRPr="0027581B" w:rsidRDefault="00F4607F" w:rsidP="00806A61">
      <w:pPr>
        <w:pStyle w:val="ListParagraph"/>
        <w:numPr>
          <w:ilvl w:val="1"/>
          <w:numId w:val="1"/>
        </w:numPr>
        <w:spacing w:after="120" w:line="240" w:lineRule="auto"/>
        <w:ind w:left="675" w:hanging="357"/>
        <w:contextualSpacing w:val="0"/>
        <w:rPr>
          <w:rFonts w:ascii="Calibri" w:hAnsi="Calibri"/>
        </w:rPr>
      </w:pPr>
      <w:r>
        <w:rPr>
          <w:rFonts w:ascii="Calibri" w:eastAsia="Times New Roman" w:hAnsi="Calibri" w:cs="Times New Roman"/>
          <w:color w:val="000000"/>
        </w:rPr>
        <w:t xml:space="preserve">Does the School reflect of the effectiveness of academic support </w:t>
      </w:r>
      <w:r w:rsidR="00633C46">
        <w:rPr>
          <w:rFonts w:ascii="Calibri" w:eastAsia="Times New Roman" w:hAnsi="Calibri" w:cs="Times New Roman"/>
          <w:color w:val="000000"/>
        </w:rPr>
        <w:t>such as the Library, on-line resources, etc?</w:t>
      </w:r>
    </w:p>
    <w:p w14:paraId="61DB204F" w14:textId="77777777" w:rsidR="006104F1" w:rsidRPr="00F4607F" w:rsidRDefault="006104F1" w:rsidP="00806A61">
      <w:pPr>
        <w:pStyle w:val="ListParagraph"/>
        <w:numPr>
          <w:ilvl w:val="1"/>
          <w:numId w:val="1"/>
        </w:numPr>
        <w:spacing w:after="120" w:line="240" w:lineRule="auto"/>
        <w:ind w:left="675" w:hanging="357"/>
        <w:contextualSpacing w:val="0"/>
        <w:rPr>
          <w:rFonts w:ascii="Calibri" w:hAnsi="Calibri"/>
        </w:rPr>
      </w:pPr>
      <w:r w:rsidRPr="0027581B">
        <w:rPr>
          <w:rFonts w:ascii="Calibri" w:eastAsia="Times New Roman" w:hAnsi="Calibri" w:cs="Times New Roman"/>
          <w:color w:val="000000"/>
        </w:rPr>
        <w:t xml:space="preserve">Quality of Teaching – how is this evaluated? How is up-to-date knowledge of effective approaches to teaching and assessment disseminated to staff. What improvements have been made and to what effect? </w:t>
      </w:r>
    </w:p>
    <w:p w14:paraId="2E73661E" w14:textId="77777777" w:rsidR="006104F1" w:rsidRPr="0027581B" w:rsidRDefault="006104F1" w:rsidP="00806A61">
      <w:pPr>
        <w:pStyle w:val="ListParagraph"/>
        <w:numPr>
          <w:ilvl w:val="1"/>
          <w:numId w:val="1"/>
        </w:numPr>
        <w:spacing w:after="120" w:line="240" w:lineRule="auto"/>
        <w:ind w:left="675" w:hanging="357"/>
        <w:contextualSpacing w:val="0"/>
        <w:rPr>
          <w:rFonts w:ascii="Calibri" w:hAnsi="Calibri"/>
        </w:rPr>
      </w:pPr>
      <w:r w:rsidRPr="0027581B">
        <w:rPr>
          <w:rFonts w:ascii="Calibri" w:eastAsia="Times New Roman" w:hAnsi="Calibri" w:cs="Times New Roman"/>
          <w:color w:val="000000"/>
        </w:rPr>
        <w:t>How does the School use the Scottish quality enhancement framework to enhance learning and teaching</w:t>
      </w:r>
      <w:r w:rsidRPr="0027581B">
        <w:rPr>
          <w:rStyle w:val="FootnoteReference"/>
          <w:rFonts w:ascii="Calibri" w:eastAsia="Times New Roman" w:hAnsi="Calibri" w:cs="Times New Roman"/>
          <w:color w:val="000000"/>
        </w:rPr>
        <w:footnoteReference w:id="1"/>
      </w:r>
      <w:r w:rsidRPr="0027581B">
        <w:rPr>
          <w:rFonts w:ascii="Calibri" w:eastAsia="Times New Roman" w:hAnsi="Calibri" w:cs="Times New Roman"/>
          <w:color w:val="000000"/>
        </w:rPr>
        <w:t>? Are there any processes that the School has introduced over and above the standard University academic standard quality processes?</w:t>
      </w:r>
    </w:p>
    <w:p w14:paraId="1C216A90" w14:textId="77777777" w:rsidR="006104F1" w:rsidRPr="0027581B" w:rsidRDefault="006104F1" w:rsidP="00806A61">
      <w:pPr>
        <w:pStyle w:val="ListParagraph"/>
        <w:numPr>
          <w:ilvl w:val="1"/>
          <w:numId w:val="1"/>
        </w:numPr>
        <w:spacing w:after="120" w:line="240" w:lineRule="auto"/>
        <w:ind w:left="675" w:hanging="357"/>
        <w:contextualSpacing w:val="0"/>
        <w:rPr>
          <w:rFonts w:ascii="Calibri" w:hAnsi="Calibri"/>
        </w:rPr>
      </w:pPr>
      <w:r w:rsidRPr="0027581B">
        <w:rPr>
          <w:rFonts w:ascii="Calibri" w:eastAsia="Times New Roman" w:hAnsi="Calibri" w:cs="Times New Roman"/>
          <w:color w:val="000000"/>
        </w:rPr>
        <w:t>What staff support is in place to accommodate the changing learning environment?</w:t>
      </w:r>
    </w:p>
    <w:p w14:paraId="4901CBBC" w14:textId="77777777" w:rsidR="006104F1" w:rsidRPr="0027581B" w:rsidRDefault="006104F1" w:rsidP="00806A61">
      <w:pPr>
        <w:pStyle w:val="ListParagraph"/>
        <w:numPr>
          <w:ilvl w:val="1"/>
          <w:numId w:val="1"/>
        </w:numPr>
        <w:spacing w:after="120" w:line="240" w:lineRule="auto"/>
        <w:ind w:left="675" w:hanging="357"/>
        <w:contextualSpacing w:val="0"/>
        <w:rPr>
          <w:rFonts w:ascii="Calibri" w:hAnsi="Calibri"/>
        </w:rPr>
      </w:pPr>
      <w:r w:rsidRPr="0027581B">
        <w:rPr>
          <w:rFonts w:ascii="Calibri" w:eastAsia="Times New Roman" w:hAnsi="Calibri" w:cs="Times New Roman"/>
          <w:color w:val="000000"/>
        </w:rPr>
        <w:t>In addition to PGCAP and the GTA statutory training provided by LEADS, what support has been established to support early career staff and GTAs/tutors?</w:t>
      </w:r>
    </w:p>
    <w:p w14:paraId="64F1D8B1" w14:textId="77777777" w:rsidR="006104F1" w:rsidRPr="0027581B" w:rsidRDefault="006104F1" w:rsidP="00806A61">
      <w:pPr>
        <w:pStyle w:val="ListParagraph"/>
        <w:numPr>
          <w:ilvl w:val="1"/>
          <w:numId w:val="1"/>
        </w:numPr>
        <w:spacing w:after="120" w:line="240" w:lineRule="auto"/>
        <w:ind w:left="675" w:hanging="357"/>
        <w:contextualSpacing w:val="0"/>
        <w:rPr>
          <w:rFonts w:ascii="Calibri" w:hAnsi="Calibri"/>
        </w:rPr>
      </w:pPr>
      <w:r w:rsidRPr="0027581B">
        <w:rPr>
          <w:rFonts w:ascii="Calibri" w:eastAsia="Times New Roman" w:hAnsi="Calibri" w:cs="Times New Roman"/>
          <w:color w:val="000000"/>
        </w:rPr>
        <w:t xml:space="preserve">Where changes have been made to learning, teaching and assessment, what evidence is there of the impact this has had on enhancing the student experience? </w:t>
      </w:r>
    </w:p>
    <w:p w14:paraId="2D12DFA2" w14:textId="77777777" w:rsidR="006104F1" w:rsidRPr="0027581B" w:rsidRDefault="006104F1" w:rsidP="00806A61">
      <w:pPr>
        <w:pStyle w:val="ListParagraph"/>
        <w:numPr>
          <w:ilvl w:val="1"/>
          <w:numId w:val="1"/>
        </w:numPr>
        <w:spacing w:after="120" w:line="240" w:lineRule="auto"/>
        <w:ind w:left="675" w:hanging="357"/>
        <w:contextualSpacing w:val="0"/>
        <w:rPr>
          <w:rFonts w:ascii="Calibri" w:hAnsi="Calibri"/>
        </w:rPr>
      </w:pPr>
      <w:r w:rsidRPr="0027581B">
        <w:rPr>
          <w:rFonts w:ascii="Calibri" w:eastAsia="Times New Roman" w:hAnsi="Calibri" w:cs="Times New Roman"/>
          <w:color w:val="000000"/>
        </w:rPr>
        <w:t xml:space="preserve">What opportunities are there for sharing good practice? </w:t>
      </w:r>
    </w:p>
    <w:p w14:paraId="481A21D1" w14:textId="77777777" w:rsidR="006104F1" w:rsidRPr="0027581B" w:rsidRDefault="006104F1" w:rsidP="00806A61">
      <w:pPr>
        <w:pStyle w:val="ListParagraph"/>
        <w:numPr>
          <w:ilvl w:val="1"/>
          <w:numId w:val="1"/>
        </w:numPr>
        <w:spacing w:after="120" w:line="240" w:lineRule="auto"/>
        <w:ind w:left="675" w:hanging="357"/>
        <w:contextualSpacing w:val="0"/>
        <w:rPr>
          <w:rFonts w:ascii="Calibri" w:hAnsi="Calibri"/>
        </w:rPr>
      </w:pPr>
      <w:r w:rsidRPr="0027581B">
        <w:rPr>
          <w:rFonts w:ascii="Calibri" w:eastAsia="Times New Roman" w:hAnsi="Calibri" w:cs="Times New Roman"/>
          <w:color w:val="000000"/>
        </w:rPr>
        <w:t>What areas have been identified for improvement?</w:t>
      </w:r>
    </w:p>
    <w:p w14:paraId="2D903235" w14:textId="77777777" w:rsidR="00806A61" w:rsidRDefault="00806A61">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0FE2E895" w14:textId="77777777" w:rsidR="006617F2" w:rsidRPr="0027581B" w:rsidRDefault="006617F2" w:rsidP="00806A61">
      <w:pPr>
        <w:pStyle w:val="ListParagraph"/>
        <w:numPr>
          <w:ilvl w:val="0"/>
          <w:numId w:val="1"/>
        </w:numPr>
        <w:shd w:val="clear" w:color="auto" w:fill="B4C6E7" w:themeFill="accent1" w:themeFillTint="66"/>
        <w:spacing w:after="240" w:line="240" w:lineRule="auto"/>
        <w:ind w:left="357" w:hanging="357"/>
        <w:contextualSpacing w:val="0"/>
        <w:rPr>
          <w:rFonts w:ascii="Calibri" w:hAnsi="Calibri"/>
          <w:color w:val="FFFFFF" w:themeColor="background1"/>
          <w:sz w:val="24"/>
          <w:szCs w:val="24"/>
        </w:rPr>
      </w:pPr>
      <w:r w:rsidRPr="0027581B">
        <w:rPr>
          <w:rFonts w:ascii="Calibri" w:hAnsi="Calibri"/>
          <w:color w:val="FFFFFF" w:themeColor="background1"/>
          <w:sz w:val="24"/>
          <w:szCs w:val="24"/>
        </w:rPr>
        <w:lastRenderedPageBreak/>
        <w:t>THE STUDENT VOICE</w:t>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t>[2 pages]</w:t>
      </w:r>
    </w:p>
    <w:p w14:paraId="0F0160FE" w14:textId="77777777" w:rsidR="006617F2" w:rsidRPr="0027581B" w:rsidRDefault="006617F2" w:rsidP="00806A61">
      <w:pPr>
        <w:pStyle w:val="ListParagraph"/>
        <w:numPr>
          <w:ilvl w:val="1"/>
          <w:numId w:val="1"/>
        </w:numPr>
        <w:spacing w:after="120" w:line="240" w:lineRule="auto"/>
        <w:ind w:left="675" w:hanging="357"/>
        <w:contextualSpacing w:val="0"/>
        <w:rPr>
          <w:rFonts w:ascii="Calibri" w:hAnsi="Calibri"/>
        </w:rPr>
      </w:pPr>
      <w:r w:rsidRPr="0027581B">
        <w:rPr>
          <w:rFonts w:ascii="Calibri" w:eastAsia="Times New Roman" w:hAnsi="Calibri" w:cs="Times New Roman"/>
          <w:color w:val="000000"/>
        </w:rPr>
        <w:t>How does the Subject/School respond to student feedback and how is this communicated? (refer to Staff Student Liaison Committee</w:t>
      </w:r>
      <w:r w:rsidR="00EF61E9">
        <w:rPr>
          <w:rFonts w:ascii="Calibri" w:eastAsia="Times New Roman" w:hAnsi="Calibri" w:cs="Times New Roman"/>
          <w:color w:val="000000"/>
        </w:rPr>
        <w:t>s</w:t>
      </w:r>
      <w:r w:rsidRPr="0027581B">
        <w:rPr>
          <w:rFonts w:ascii="Calibri" w:eastAsia="Times New Roman" w:hAnsi="Calibri" w:cs="Times New Roman"/>
          <w:color w:val="000000"/>
        </w:rPr>
        <w:t>, course evaluation, NSS, PTES, Welcome Survey, etc.) and how is this linked to School and College action plans?)</w:t>
      </w:r>
      <w:r w:rsidRPr="0027581B">
        <w:rPr>
          <w:rFonts w:ascii="Calibri" w:hAnsi="Calibri"/>
        </w:rPr>
        <w:t xml:space="preserve"> </w:t>
      </w:r>
    </w:p>
    <w:p w14:paraId="42F2A0FA" w14:textId="77777777" w:rsidR="006617F2" w:rsidRPr="0027581B" w:rsidRDefault="006617F2" w:rsidP="00806A61">
      <w:pPr>
        <w:pStyle w:val="ListParagraph"/>
        <w:numPr>
          <w:ilvl w:val="1"/>
          <w:numId w:val="1"/>
        </w:numPr>
        <w:spacing w:after="120" w:line="240" w:lineRule="auto"/>
        <w:ind w:left="675" w:hanging="357"/>
        <w:contextualSpacing w:val="0"/>
        <w:rPr>
          <w:rFonts w:ascii="Calibri" w:hAnsi="Calibri"/>
        </w:rPr>
      </w:pPr>
      <w:r w:rsidRPr="0027581B">
        <w:rPr>
          <w:rFonts w:ascii="Calibri" w:eastAsia="Times New Roman" w:hAnsi="Calibri" w:cs="Times New Roman"/>
          <w:color w:val="000000"/>
        </w:rPr>
        <w:t>What are the key messages from qualitative and quantitative analysis of feedback from students? Provide examples of changes to curriculum, teaching or assessment arising from student feedback.</w:t>
      </w:r>
    </w:p>
    <w:p w14:paraId="71167334" w14:textId="77777777" w:rsidR="006617F2" w:rsidRPr="00633C46" w:rsidRDefault="006617F2" w:rsidP="00806A61">
      <w:pPr>
        <w:pStyle w:val="ListParagraph"/>
        <w:numPr>
          <w:ilvl w:val="1"/>
          <w:numId w:val="1"/>
        </w:numPr>
        <w:spacing w:after="120" w:line="240" w:lineRule="auto"/>
        <w:ind w:left="675" w:hanging="357"/>
        <w:contextualSpacing w:val="0"/>
        <w:rPr>
          <w:rFonts w:ascii="Calibri" w:hAnsi="Calibri"/>
        </w:rPr>
      </w:pPr>
      <w:r w:rsidRPr="0027581B">
        <w:rPr>
          <w:rFonts w:ascii="Calibri" w:eastAsia="Times New Roman" w:hAnsi="Calibri" w:cs="Times New Roman"/>
          <w:color w:val="000000"/>
        </w:rPr>
        <w:t>Provide examples of staff/student partnerships within the Subject/School and comment on any benefits from these.</w:t>
      </w:r>
    </w:p>
    <w:p w14:paraId="054E90AC" w14:textId="77777777" w:rsidR="00633C46" w:rsidRPr="0027581B" w:rsidRDefault="00633C46" w:rsidP="00806A61">
      <w:pPr>
        <w:pStyle w:val="ListParagraph"/>
        <w:numPr>
          <w:ilvl w:val="1"/>
          <w:numId w:val="1"/>
        </w:numPr>
        <w:spacing w:after="120" w:line="240" w:lineRule="auto"/>
        <w:ind w:left="675" w:hanging="357"/>
        <w:contextualSpacing w:val="0"/>
        <w:rPr>
          <w:rFonts w:ascii="Calibri" w:hAnsi="Calibri"/>
        </w:rPr>
      </w:pPr>
      <w:r>
        <w:rPr>
          <w:rFonts w:ascii="Calibri" w:eastAsia="Times New Roman" w:hAnsi="Calibri" w:cs="Times New Roman"/>
          <w:color w:val="000000"/>
        </w:rPr>
        <w:t xml:space="preserve">Do you keep in contact with alumni </w:t>
      </w:r>
      <w:r w:rsidR="00D73D58">
        <w:rPr>
          <w:rFonts w:ascii="Calibri" w:eastAsia="Times New Roman" w:hAnsi="Calibri" w:cs="Times New Roman"/>
          <w:color w:val="000000"/>
        </w:rPr>
        <w:t xml:space="preserve">to provide opportunities for students to meet and also </w:t>
      </w:r>
      <w:r>
        <w:rPr>
          <w:rFonts w:ascii="Calibri" w:eastAsia="Times New Roman" w:hAnsi="Calibri" w:cs="Times New Roman"/>
          <w:color w:val="000000"/>
        </w:rPr>
        <w:t xml:space="preserve">seek feedback in order to inform future curriculum? </w:t>
      </w:r>
    </w:p>
    <w:p w14:paraId="3210D6D9" w14:textId="77777777" w:rsidR="006617F2" w:rsidRPr="00806A61" w:rsidRDefault="006617F2" w:rsidP="00806A61">
      <w:pPr>
        <w:pStyle w:val="ListParagraph"/>
        <w:numPr>
          <w:ilvl w:val="1"/>
          <w:numId w:val="1"/>
        </w:numPr>
        <w:spacing w:after="360" w:line="240" w:lineRule="auto"/>
        <w:ind w:left="675" w:hanging="357"/>
        <w:contextualSpacing w:val="0"/>
        <w:rPr>
          <w:rFonts w:ascii="Calibri" w:hAnsi="Calibri"/>
        </w:rPr>
      </w:pPr>
      <w:r w:rsidRPr="0027581B">
        <w:rPr>
          <w:rFonts w:ascii="Calibri" w:eastAsia="Times New Roman" w:hAnsi="Calibri" w:cs="Times New Roman"/>
          <w:color w:val="000000"/>
        </w:rPr>
        <w:t xml:space="preserve"> Comment on any improvements (planned, or recently implemented) for positive engagement with students.</w:t>
      </w:r>
    </w:p>
    <w:p w14:paraId="4B0F1DCB" w14:textId="77777777" w:rsidR="00806A61" w:rsidRPr="00806A61" w:rsidRDefault="00806A61" w:rsidP="00806A61">
      <w:pPr>
        <w:rPr>
          <w:rFonts w:ascii="Calibri" w:hAnsi="Calibri"/>
        </w:rPr>
      </w:pPr>
      <w:r>
        <w:rPr>
          <w:rFonts w:ascii="Calibri" w:hAnsi="Calibri"/>
        </w:rPr>
        <w:br w:type="page"/>
      </w:r>
    </w:p>
    <w:p w14:paraId="1DF6E238" w14:textId="77777777" w:rsidR="006617F2" w:rsidRPr="0027581B" w:rsidRDefault="006617F2" w:rsidP="00806A61">
      <w:pPr>
        <w:pStyle w:val="ListParagraph"/>
        <w:numPr>
          <w:ilvl w:val="0"/>
          <w:numId w:val="1"/>
        </w:numPr>
        <w:shd w:val="clear" w:color="auto" w:fill="B4C6E7" w:themeFill="accent1" w:themeFillTint="66"/>
        <w:spacing w:after="240" w:line="240" w:lineRule="auto"/>
        <w:ind w:left="357" w:hanging="357"/>
        <w:contextualSpacing w:val="0"/>
        <w:rPr>
          <w:rFonts w:ascii="Calibri" w:hAnsi="Calibri"/>
          <w:color w:val="FFFFFF" w:themeColor="background1"/>
          <w:sz w:val="24"/>
          <w:szCs w:val="24"/>
        </w:rPr>
      </w:pPr>
      <w:r w:rsidRPr="0027581B">
        <w:rPr>
          <w:rFonts w:ascii="Calibri" w:hAnsi="Calibri"/>
          <w:color w:val="FFFFFF" w:themeColor="background1"/>
          <w:sz w:val="24"/>
          <w:szCs w:val="24"/>
        </w:rPr>
        <w:lastRenderedPageBreak/>
        <w:t>SUPPORTING STUDENT WELLBEING</w:t>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r>
      <w:r w:rsidRPr="0027581B">
        <w:rPr>
          <w:rFonts w:ascii="Calibri" w:hAnsi="Calibri"/>
          <w:color w:val="FFFFFF" w:themeColor="background1"/>
          <w:sz w:val="24"/>
          <w:szCs w:val="24"/>
        </w:rPr>
        <w:tab/>
        <w:t>[2 pages]</w:t>
      </w:r>
    </w:p>
    <w:p w14:paraId="23514048" w14:textId="77777777" w:rsidR="006617F2" w:rsidRPr="00633C46" w:rsidRDefault="006617F2" w:rsidP="00575858">
      <w:pPr>
        <w:pStyle w:val="ListParagraph"/>
        <w:numPr>
          <w:ilvl w:val="1"/>
          <w:numId w:val="1"/>
        </w:numPr>
        <w:spacing w:after="200" w:line="240" w:lineRule="auto"/>
        <w:ind w:left="675" w:hanging="357"/>
        <w:contextualSpacing w:val="0"/>
        <w:rPr>
          <w:rFonts w:ascii="Calibri" w:hAnsi="Calibri"/>
        </w:rPr>
      </w:pPr>
      <w:bookmarkStart w:id="0" w:name="_Hlk13665724"/>
      <w:r w:rsidRPr="0027581B">
        <w:rPr>
          <w:rFonts w:ascii="Calibri" w:eastAsia="Times New Roman" w:hAnsi="Calibri" w:cs="Times New Roman"/>
          <w:color w:val="000000"/>
        </w:rPr>
        <w:t xml:space="preserve">What student support mechanisms has the School established? (At induction and at each level of study.)  </w:t>
      </w:r>
    </w:p>
    <w:p w14:paraId="7F1BDDFF" w14:textId="77777777" w:rsidR="00633C46" w:rsidRPr="0027581B" w:rsidRDefault="00633C46" w:rsidP="00575858">
      <w:pPr>
        <w:pStyle w:val="ListParagraph"/>
        <w:numPr>
          <w:ilvl w:val="1"/>
          <w:numId w:val="1"/>
        </w:numPr>
        <w:spacing w:after="200" w:line="240" w:lineRule="auto"/>
        <w:ind w:left="675" w:hanging="357"/>
        <w:contextualSpacing w:val="0"/>
        <w:rPr>
          <w:rFonts w:ascii="Calibri" w:hAnsi="Calibri"/>
        </w:rPr>
      </w:pPr>
      <w:r>
        <w:rPr>
          <w:rFonts w:ascii="Calibri" w:eastAsia="Times New Roman" w:hAnsi="Calibri" w:cs="Times New Roman"/>
          <w:color w:val="000000"/>
        </w:rPr>
        <w:t>Does the School reflect on the effectiveness of the Advising system in place and is there reflection on how to support students both academically and pastorally? For example, can students easily contact staff? Is sufficient advice and guidance given in relation to course choice?</w:t>
      </w:r>
    </w:p>
    <w:p w14:paraId="6B2089A7" w14:textId="77777777" w:rsidR="006617F2" w:rsidRPr="00F4607F" w:rsidRDefault="006617F2" w:rsidP="00575858">
      <w:pPr>
        <w:pStyle w:val="ListParagraph"/>
        <w:numPr>
          <w:ilvl w:val="1"/>
          <w:numId w:val="1"/>
        </w:numPr>
        <w:spacing w:after="200" w:line="240" w:lineRule="auto"/>
        <w:ind w:left="675" w:hanging="357"/>
        <w:contextualSpacing w:val="0"/>
        <w:rPr>
          <w:rFonts w:ascii="Calibri" w:hAnsi="Calibri"/>
        </w:rPr>
      </w:pPr>
      <w:r w:rsidRPr="0027581B">
        <w:rPr>
          <w:rFonts w:ascii="Calibri" w:eastAsia="Times New Roman" w:hAnsi="Calibri" w:cs="Times New Roman"/>
          <w:color w:val="000000"/>
        </w:rPr>
        <w:t xml:space="preserve">Has the School any established links with other University and College support services? </w:t>
      </w:r>
    </w:p>
    <w:p w14:paraId="5A4DBBFC" w14:textId="77777777" w:rsidR="006617F2" w:rsidRPr="0027581B" w:rsidRDefault="006617F2" w:rsidP="00575858">
      <w:pPr>
        <w:pStyle w:val="ListParagraph"/>
        <w:numPr>
          <w:ilvl w:val="1"/>
          <w:numId w:val="1"/>
        </w:numPr>
        <w:spacing w:after="200" w:line="240" w:lineRule="auto"/>
        <w:ind w:left="675" w:hanging="357"/>
        <w:contextualSpacing w:val="0"/>
        <w:rPr>
          <w:rFonts w:ascii="Calibri" w:hAnsi="Calibri"/>
        </w:rPr>
      </w:pPr>
      <w:r w:rsidRPr="0027581B">
        <w:rPr>
          <w:rFonts w:ascii="Calibri" w:eastAsia="Times New Roman" w:hAnsi="Calibri" w:cs="Times New Roman"/>
          <w:color w:val="000000"/>
        </w:rPr>
        <w:t>How is the effectiveness of student support activity monitored at School level and how does this relate to College or University-wide student support?</w:t>
      </w:r>
      <w:r w:rsidRPr="0027581B">
        <w:rPr>
          <w:rFonts w:ascii="Calibri" w:hAnsi="Calibri"/>
        </w:rPr>
        <w:t xml:space="preserve"> </w:t>
      </w:r>
      <w:r w:rsidR="0014367A">
        <w:rPr>
          <w:rFonts w:ascii="Calibri" w:hAnsi="Calibri"/>
        </w:rPr>
        <w:t>Refer to any plans for development of School level support initiatives</w:t>
      </w:r>
    </w:p>
    <w:p w14:paraId="7331972C" w14:textId="77777777" w:rsidR="006617F2" w:rsidRPr="0027581B" w:rsidRDefault="006617F2" w:rsidP="00575858">
      <w:pPr>
        <w:pStyle w:val="ListParagraph"/>
        <w:numPr>
          <w:ilvl w:val="1"/>
          <w:numId w:val="1"/>
        </w:numPr>
        <w:spacing w:after="200" w:line="240" w:lineRule="auto"/>
        <w:ind w:left="675" w:hanging="357"/>
        <w:contextualSpacing w:val="0"/>
        <w:rPr>
          <w:rFonts w:ascii="Calibri" w:hAnsi="Calibri"/>
        </w:rPr>
      </w:pPr>
      <w:r w:rsidRPr="0027581B">
        <w:rPr>
          <w:rFonts w:ascii="Calibri" w:eastAsia="Times New Roman" w:hAnsi="Calibri" w:cs="Times New Roman"/>
          <w:color w:val="000000"/>
        </w:rPr>
        <w:t>Comment on student retention and progression data and identify any processes or action undertaken to enhance continuation rates.</w:t>
      </w:r>
      <w:r w:rsidRPr="0027581B">
        <w:rPr>
          <w:rFonts w:ascii="Calibri" w:hAnsi="Calibri"/>
        </w:rPr>
        <w:t xml:space="preserve"> </w:t>
      </w:r>
    </w:p>
    <w:bookmarkEnd w:id="0"/>
    <w:p w14:paraId="50817103" w14:textId="77777777" w:rsidR="006617F2" w:rsidRPr="0027581B" w:rsidRDefault="006617F2" w:rsidP="00575858">
      <w:pPr>
        <w:pStyle w:val="ListParagraph"/>
        <w:spacing w:after="60" w:line="240" w:lineRule="auto"/>
        <w:ind w:left="1071"/>
        <w:contextualSpacing w:val="0"/>
        <w:rPr>
          <w:rFonts w:ascii="Calibri" w:eastAsia="Times New Roman" w:hAnsi="Calibri" w:cs="Times New Roman"/>
          <w:color w:val="000000"/>
          <w:sz w:val="24"/>
          <w:szCs w:val="24"/>
        </w:rPr>
      </w:pPr>
    </w:p>
    <w:sectPr w:rsidR="006617F2" w:rsidRPr="0027581B" w:rsidSect="0057585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8F06F" w14:textId="77777777" w:rsidR="006104F1" w:rsidRDefault="006104F1" w:rsidP="006104F1">
      <w:pPr>
        <w:spacing w:after="0" w:line="240" w:lineRule="auto"/>
      </w:pPr>
      <w:r>
        <w:separator/>
      </w:r>
    </w:p>
  </w:endnote>
  <w:endnote w:type="continuationSeparator" w:id="0">
    <w:p w14:paraId="712A2E53" w14:textId="77777777" w:rsidR="006104F1" w:rsidRDefault="006104F1" w:rsidP="0061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FB92" w14:textId="77777777" w:rsidR="00BF305C" w:rsidRDefault="00BF3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C72EB" w14:textId="77777777" w:rsidR="00BF305C" w:rsidRDefault="00BF3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CEF58" w14:textId="77777777" w:rsidR="00BF305C" w:rsidRDefault="00BF3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E2E7A" w14:textId="77777777" w:rsidR="006104F1" w:rsidRDefault="006104F1" w:rsidP="006104F1">
      <w:pPr>
        <w:spacing w:after="0" w:line="240" w:lineRule="auto"/>
      </w:pPr>
      <w:r>
        <w:separator/>
      </w:r>
    </w:p>
  </w:footnote>
  <w:footnote w:type="continuationSeparator" w:id="0">
    <w:p w14:paraId="33BBE398" w14:textId="77777777" w:rsidR="006104F1" w:rsidRDefault="006104F1" w:rsidP="006104F1">
      <w:pPr>
        <w:spacing w:after="0" w:line="240" w:lineRule="auto"/>
      </w:pPr>
      <w:r>
        <w:continuationSeparator/>
      </w:r>
    </w:p>
  </w:footnote>
  <w:footnote w:id="1">
    <w:p w14:paraId="19E2B1CD" w14:textId="77777777" w:rsidR="006104F1" w:rsidRDefault="006104F1" w:rsidP="006104F1">
      <w:pPr>
        <w:pStyle w:val="FootnoteText"/>
      </w:pPr>
      <w:r>
        <w:rPr>
          <w:rStyle w:val="FootnoteReference"/>
        </w:rPr>
        <w:footnoteRef/>
      </w:r>
      <w:r>
        <w:t xml:space="preserve"> </w:t>
      </w:r>
      <w:r w:rsidRPr="00BA0F0E">
        <w:t>https://www.gla.ac.uk/myglasgow/senateoffice/qea/</w:t>
      </w:r>
    </w:p>
    <w:p w14:paraId="28CBD439" w14:textId="77777777" w:rsidR="006104F1" w:rsidRDefault="006104F1" w:rsidP="006104F1">
      <w:pPr>
        <w:pStyle w:val="FootnoteText"/>
        <w:rPr>
          <w:lang w:val="en-GB"/>
        </w:rPr>
      </w:pPr>
    </w:p>
    <w:p w14:paraId="2E9964E0" w14:textId="77777777" w:rsidR="006104F1" w:rsidRPr="00BA0F0E" w:rsidRDefault="006104F1" w:rsidP="006104F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353A" w14:textId="77777777" w:rsidR="00BF305C" w:rsidRDefault="00BF3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219436"/>
      <w:docPartObj>
        <w:docPartGallery w:val="Watermarks"/>
        <w:docPartUnique/>
      </w:docPartObj>
    </w:sdtPr>
    <w:sdtEndPr/>
    <w:sdtContent>
      <w:p w14:paraId="60C82640" w14:textId="77777777" w:rsidR="00BF305C" w:rsidRDefault="009756D6">
        <w:pPr>
          <w:pStyle w:val="Header"/>
        </w:pPr>
        <w:r>
          <w:rPr>
            <w:noProof/>
          </w:rPr>
          <w:pict w14:anchorId="33E95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B244" w14:textId="77777777" w:rsidR="00BF305C" w:rsidRDefault="00BF3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5AB1"/>
    <w:multiLevelType w:val="hybridMultilevel"/>
    <w:tmpl w:val="F768E6B6"/>
    <w:lvl w:ilvl="0" w:tplc="0809000B">
      <w:start w:val="1"/>
      <w:numFmt w:val="bullet"/>
      <w:lvlText w:val=""/>
      <w:lvlJc w:val="left"/>
      <w:pPr>
        <w:ind w:left="2150" w:hanging="360"/>
      </w:pPr>
      <w:rPr>
        <w:rFonts w:ascii="Wingdings" w:hAnsi="Wingdings" w:hint="default"/>
      </w:rPr>
    </w:lvl>
    <w:lvl w:ilvl="1" w:tplc="08090003" w:tentative="1">
      <w:start w:val="1"/>
      <w:numFmt w:val="bullet"/>
      <w:lvlText w:val="o"/>
      <w:lvlJc w:val="left"/>
      <w:pPr>
        <w:ind w:left="2870" w:hanging="360"/>
      </w:pPr>
      <w:rPr>
        <w:rFonts w:ascii="Courier New" w:hAnsi="Courier New" w:cs="Courier New" w:hint="default"/>
      </w:rPr>
    </w:lvl>
    <w:lvl w:ilvl="2" w:tplc="08090005" w:tentative="1">
      <w:start w:val="1"/>
      <w:numFmt w:val="bullet"/>
      <w:lvlText w:val=""/>
      <w:lvlJc w:val="left"/>
      <w:pPr>
        <w:ind w:left="3590" w:hanging="360"/>
      </w:pPr>
      <w:rPr>
        <w:rFonts w:ascii="Wingdings" w:hAnsi="Wingdings" w:hint="default"/>
      </w:rPr>
    </w:lvl>
    <w:lvl w:ilvl="3" w:tplc="08090001" w:tentative="1">
      <w:start w:val="1"/>
      <w:numFmt w:val="bullet"/>
      <w:lvlText w:val=""/>
      <w:lvlJc w:val="left"/>
      <w:pPr>
        <w:ind w:left="4310" w:hanging="360"/>
      </w:pPr>
      <w:rPr>
        <w:rFonts w:ascii="Symbol" w:hAnsi="Symbol" w:hint="default"/>
      </w:rPr>
    </w:lvl>
    <w:lvl w:ilvl="4" w:tplc="08090003" w:tentative="1">
      <w:start w:val="1"/>
      <w:numFmt w:val="bullet"/>
      <w:lvlText w:val="o"/>
      <w:lvlJc w:val="left"/>
      <w:pPr>
        <w:ind w:left="5030" w:hanging="360"/>
      </w:pPr>
      <w:rPr>
        <w:rFonts w:ascii="Courier New" w:hAnsi="Courier New" w:cs="Courier New" w:hint="default"/>
      </w:rPr>
    </w:lvl>
    <w:lvl w:ilvl="5" w:tplc="08090005" w:tentative="1">
      <w:start w:val="1"/>
      <w:numFmt w:val="bullet"/>
      <w:lvlText w:val=""/>
      <w:lvlJc w:val="left"/>
      <w:pPr>
        <w:ind w:left="5750" w:hanging="360"/>
      </w:pPr>
      <w:rPr>
        <w:rFonts w:ascii="Wingdings" w:hAnsi="Wingdings" w:hint="default"/>
      </w:rPr>
    </w:lvl>
    <w:lvl w:ilvl="6" w:tplc="08090001" w:tentative="1">
      <w:start w:val="1"/>
      <w:numFmt w:val="bullet"/>
      <w:lvlText w:val=""/>
      <w:lvlJc w:val="left"/>
      <w:pPr>
        <w:ind w:left="6470" w:hanging="360"/>
      </w:pPr>
      <w:rPr>
        <w:rFonts w:ascii="Symbol" w:hAnsi="Symbol" w:hint="default"/>
      </w:rPr>
    </w:lvl>
    <w:lvl w:ilvl="7" w:tplc="08090003" w:tentative="1">
      <w:start w:val="1"/>
      <w:numFmt w:val="bullet"/>
      <w:lvlText w:val="o"/>
      <w:lvlJc w:val="left"/>
      <w:pPr>
        <w:ind w:left="7190" w:hanging="360"/>
      </w:pPr>
      <w:rPr>
        <w:rFonts w:ascii="Courier New" w:hAnsi="Courier New" w:cs="Courier New" w:hint="default"/>
      </w:rPr>
    </w:lvl>
    <w:lvl w:ilvl="8" w:tplc="08090005" w:tentative="1">
      <w:start w:val="1"/>
      <w:numFmt w:val="bullet"/>
      <w:lvlText w:val=""/>
      <w:lvlJc w:val="left"/>
      <w:pPr>
        <w:ind w:left="7910" w:hanging="360"/>
      </w:pPr>
      <w:rPr>
        <w:rFonts w:ascii="Wingdings" w:hAnsi="Wingdings" w:hint="default"/>
      </w:rPr>
    </w:lvl>
  </w:abstractNum>
  <w:abstractNum w:abstractNumId="1" w15:restartNumberingAfterBreak="0">
    <w:nsid w:val="06952948"/>
    <w:multiLevelType w:val="hybridMultilevel"/>
    <w:tmpl w:val="ADD66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D58EE"/>
    <w:multiLevelType w:val="hybridMultilevel"/>
    <w:tmpl w:val="FBF21B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10B5B"/>
    <w:multiLevelType w:val="hybridMultilevel"/>
    <w:tmpl w:val="7B1C7E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81685"/>
    <w:multiLevelType w:val="hybridMultilevel"/>
    <w:tmpl w:val="7942545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2D6338"/>
    <w:multiLevelType w:val="hybridMultilevel"/>
    <w:tmpl w:val="FBF21B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287618"/>
    <w:multiLevelType w:val="hybridMultilevel"/>
    <w:tmpl w:val="7C346112"/>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6C6B0AC2"/>
    <w:multiLevelType w:val="hybridMultilevel"/>
    <w:tmpl w:val="F10AB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16F79"/>
    <w:multiLevelType w:val="hybridMultilevel"/>
    <w:tmpl w:val="1EA4DD9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22E4"/>
    <w:multiLevelType w:val="multilevel"/>
    <w:tmpl w:val="72F230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num>
  <w:num w:numId="2">
    <w:abstractNumId w:val="3"/>
  </w:num>
  <w:num w:numId="3">
    <w:abstractNumId w:val="0"/>
  </w:num>
  <w:num w:numId="4">
    <w:abstractNumId w:val="4"/>
  </w:num>
  <w:num w:numId="5">
    <w:abstractNumId w:val="8"/>
  </w:num>
  <w:num w:numId="6">
    <w:abstractNumId w:val="1"/>
  </w:num>
  <w:num w:numId="7">
    <w:abstractNumId w:val="6"/>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BA"/>
    <w:rsid w:val="00086BD0"/>
    <w:rsid w:val="0014367A"/>
    <w:rsid w:val="001B513D"/>
    <w:rsid w:val="0023219D"/>
    <w:rsid w:val="002717B9"/>
    <w:rsid w:val="0027581B"/>
    <w:rsid w:val="00394C16"/>
    <w:rsid w:val="003E7492"/>
    <w:rsid w:val="00405539"/>
    <w:rsid w:val="004C62BA"/>
    <w:rsid w:val="004D6A47"/>
    <w:rsid w:val="00567292"/>
    <w:rsid w:val="00575858"/>
    <w:rsid w:val="00583317"/>
    <w:rsid w:val="00583B76"/>
    <w:rsid w:val="005A0F90"/>
    <w:rsid w:val="006104F1"/>
    <w:rsid w:val="00613BD4"/>
    <w:rsid w:val="00633C46"/>
    <w:rsid w:val="006617F2"/>
    <w:rsid w:val="00696448"/>
    <w:rsid w:val="007311B3"/>
    <w:rsid w:val="00741BE5"/>
    <w:rsid w:val="007960A2"/>
    <w:rsid w:val="00806A61"/>
    <w:rsid w:val="008D0DE8"/>
    <w:rsid w:val="009756D6"/>
    <w:rsid w:val="00AC75D6"/>
    <w:rsid w:val="00AF0FB4"/>
    <w:rsid w:val="00B15E1D"/>
    <w:rsid w:val="00BD3D24"/>
    <w:rsid w:val="00BF305C"/>
    <w:rsid w:val="00BF6497"/>
    <w:rsid w:val="00C21CA4"/>
    <w:rsid w:val="00D73D58"/>
    <w:rsid w:val="00D76D3B"/>
    <w:rsid w:val="00D8254E"/>
    <w:rsid w:val="00EF61E9"/>
    <w:rsid w:val="00F460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A24C66"/>
  <w15:chartTrackingRefBased/>
  <w15:docId w15:val="{0C46F64D-405D-48BF-A5D9-026451CA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583317"/>
    <w:pPr>
      <w:ind w:left="720"/>
      <w:contextualSpacing/>
    </w:pPr>
  </w:style>
  <w:style w:type="character" w:styleId="Hyperlink">
    <w:name w:val="Hyperlink"/>
    <w:basedOn w:val="DefaultParagraphFont"/>
    <w:uiPriority w:val="99"/>
    <w:unhideWhenUsed/>
    <w:rsid w:val="006104F1"/>
    <w:rPr>
      <w:color w:val="0563C1" w:themeColor="hyperlink"/>
      <w:u w:val="single"/>
    </w:rPr>
  </w:style>
  <w:style w:type="paragraph" w:styleId="FootnoteText">
    <w:name w:val="footnote text"/>
    <w:basedOn w:val="Normal"/>
    <w:link w:val="FootnoteTextChar"/>
    <w:uiPriority w:val="99"/>
    <w:semiHidden/>
    <w:unhideWhenUsed/>
    <w:rsid w:val="006104F1"/>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6104F1"/>
    <w:rPr>
      <w:rFonts w:eastAsiaTheme="minorHAnsi"/>
      <w:sz w:val="20"/>
      <w:szCs w:val="20"/>
      <w:lang w:val="en-US" w:eastAsia="en-US"/>
    </w:rPr>
  </w:style>
  <w:style w:type="character" w:styleId="FootnoteReference">
    <w:name w:val="footnote reference"/>
    <w:basedOn w:val="DefaultParagraphFont"/>
    <w:uiPriority w:val="99"/>
    <w:semiHidden/>
    <w:unhideWhenUsed/>
    <w:rsid w:val="006104F1"/>
    <w:rPr>
      <w:vertAlign w:val="superscript"/>
    </w:rPr>
  </w:style>
  <w:style w:type="paragraph" w:styleId="EndnoteText">
    <w:name w:val="endnote text"/>
    <w:basedOn w:val="Normal"/>
    <w:link w:val="EndnoteTextChar"/>
    <w:uiPriority w:val="99"/>
    <w:semiHidden/>
    <w:unhideWhenUsed/>
    <w:rsid w:val="006617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7F2"/>
    <w:rPr>
      <w:sz w:val="20"/>
      <w:szCs w:val="20"/>
    </w:rPr>
  </w:style>
  <w:style w:type="character" w:styleId="EndnoteReference">
    <w:name w:val="endnote reference"/>
    <w:basedOn w:val="DefaultParagraphFont"/>
    <w:uiPriority w:val="99"/>
    <w:semiHidden/>
    <w:unhideWhenUsed/>
    <w:rsid w:val="006617F2"/>
    <w:rPr>
      <w:vertAlign w:val="superscript"/>
    </w:rPr>
  </w:style>
  <w:style w:type="paragraph" w:styleId="Header">
    <w:name w:val="header"/>
    <w:basedOn w:val="Normal"/>
    <w:link w:val="HeaderChar"/>
    <w:uiPriority w:val="99"/>
    <w:unhideWhenUsed/>
    <w:rsid w:val="00BF3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05C"/>
  </w:style>
  <w:style w:type="paragraph" w:styleId="Footer">
    <w:name w:val="footer"/>
    <w:basedOn w:val="Normal"/>
    <w:link w:val="FooterChar"/>
    <w:uiPriority w:val="99"/>
    <w:unhideWhenUsed/>
    <w:rsid w:val="00BF3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05C"/>
  </w:style>
  <w:style w:type="paragraph" w:styleId="BalloonText">
    <w:name w:val="Balloon Text"/>
    <w:basedOn w:val="Normal"/>
    <w:link w:val="BalloonTextChar"/>
    <w:uiPriority w:val="99"/>
    <w:semiHidden/>
    <w:unhideWhenUsed/>
    <w:rsid w:val="001B5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11" ma:contentTypeDescription="Create a new document." ma:contentTypeScope="" ma:versionID="3945dc48fb249be0d2530477b1ad3be2">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72463ed1b7957036ec9774eba7e2b1d8" ns2:_="" ns3:_="">
    <xsd:import namespace="78228111-96dc-4832-b9e4-10e760abf5f3"/>
    <xsd:import namespace="2725c1ec-b02a-4ed8-8d30-5538488a8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0D9E1-DDC4-4E81-9295-6EFF311B6D60}">
  <ds:schemaRefs>
    <ds:schemaRef ds:uri="http://schemas.microsoft.com/sharepoint/v3/contenttype/forms"/>
  </ds:schemaRefs>
</ds:datastoreItem>
</file>

<file path=customXml/itemProps2.xml><?xml version="1.0" encoding="utf-8"?>
<ds:datastoreItem xmlns:ds="http://schemas.openxmlformats.org/officeDocument/2006/customXml" ds:itemID="{11BC404D-DA0C-4952-8106-A8A3864C8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DAF89-E6B2-4EFC-8F60-E1FDFC9CE98C}">
  <ds:schemaRefs>
    <ds:schemaRef ds:uri="http://schemas.openxmlformats.org/officeDocument/2006/bibliography"/>
  </ds:schemaRefs>
</ds:datastoreItem>
</file>

<file path=customXml/itemProps4.xml><?xml version="1.0" encoding="utf-8"?>
<ds:datastoreItem xmlns:ds="http://schemas.openxmlformats.org/officeDocument/2006/customXml" ds:itemID="{C5BE792D-5600-4E6A-BB2C-A4766C190B23}">
  <ds:schemaRefs>
    <ds:schemaRef ds:uri="http://purl.org/dc/elements/1.1/"/>
    <ds:schemaRef ds:uri="http://schemas.microsoft.com/office/2006/metadata/properties"/>
    <ds:schemaRef ds:uri="2725c1ec-b02a-4ed8-8d30-5538488a8f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228111-96dc-4832-b9e4-10e760abf5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Self Evaluation Report Template</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PSR Reflective Analysis Template</dc:title>
  <dc:subject/>
  <dc:creator>Catherine Omand</dc:creator>
  <cp:keywords/>
  <dc:description/>
  <cp:lastModifiedBy>Karen Robertson</cp:lastModifiedBy>
  <cp:revision>3</cp:revision>
  <cp:lastPrinted>2019-07-31T08:15:00Z</cp:lastPrinted>
  <dcterms:created xsi:type="dcterms:W3CDTF">2021-01-18T16:39:00Z</dcterms:created>
  <dcterms:modified xsi:type="dcterms:W3CDTF">2021-01-18T16:40:00Z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ies>
</file>