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3D" w:rsidRPr="00C50CA0" w:rsidRDefault="00EB1564" w:rsidP="003F0A43">
      <w:pPr>
        <w:spacing w:before="120" w:line="360" w:lineRule="auto"/>
        <w:jc w:val="both"/>
        <w:rPr>
          <w:rFonts w:ascii="Arial" w:hAnsi="Arial" w:cs="Arial"/>
          <w:szCs w:val="24"/>
        </w:rPr>
      </w:pPr>
      <w:r w:rsidRPr="00C50CA0">
        <w:rPr>
          <w:rFonts w:ascii="Arial" w:hAnsi="Arial" w:cs="Arial"/>
          <w:szCs w:val="24"/>
        </w:rPr>
        <w:t xml:space="preserve">The </w:t>
      </w:r>
      <w:r>
        <w:rPr>
          <w:rFonts w:ascii="Arial" w:hAnsi="Arial" w:cs="Arial"/>
          <w:szCs w:val="24"/>
        </w:rPr>
        <w:t>Census and t</w:t>
      </w:r>
      <w:r w:rsidRPr="00C50CA0">
        <w:rPr>
          <w:rFonts w:ascii="Arial" w:hAnsi="Arial" w:cs="Arial"/>
          <w:szCs w:val="24"/>
        </w:rPr>
        <w:t>he Databases</w:t>
      </w:r>
    </w:p>
    <w:p w:rsidR="00F16C3D" w:rsidRPr="00ED7F10" w:rsidRDefault="00EB1564" w:rsidP="003F0A43">
      <w:pPr>
        <w:spacing w:before="120" w:line="360" w:lineRule="auto"/>
        <w:jc w:val="both"/>
        <w:rPr>
          <w:szCs w:val="24"/>
        </w:rPr>
      </w:pPr>
      <w:r>
        <w:rPr>
          <w:szCs w:val="24"/>
        </w:rPr>
        <w:t xml:space="preserve">No </w:t>
      </w:r>
      <w:r w:rsidR="00F16C3D" w:rsidRPr="00ED7F10">
        <w:rPr>
          <w:szCs w:val="24"/>
        </w:rPr>
        <w:t xml:space="preserve">historical source can tell us anything by itself: there must be a context to allow it to be interpreted. The census is a very useful source but this proviso and the following points must always be remembered. Firstly there are limitations to the accuracy of the information collected, especially in the earliest census returns. In these the basic information was filled in by the enumerators based on what the people themselves told them. </w:t>
      </w:r>
      <w:r w:rsidR="00ED7F10">
        <w:rPr>
          <w:szCs w:val="24"/>
        </w:rPr>
        <w:t>This made them liable to errors</w:t>
      </w:r>
      <w:r w:rsidR="00F16C3D" w:rsidRPr="00ED7F10">
        <w:rPr>
          <w:szCs w:val="24"/>
        </w:rPr>
        <w:t xml:space="preserve"> both in interpreting what was required and re</w:t>
      </w:r>
      <w:r w:rsidR="00196906">
        <w:rPr>
          <w:szCs w:val="24"/>
        </w:rPr>
        <w:t xml:space="preserve">cording the answers properly - </w:t>
      </w:r>
      <w:bookmarkStart w:id="0" w:name="_GoBack"/>
      <w:bookmarkEnd w:id="0"/>
      <w:r w:rsidR="00F16C3D" w:rsidRPr="00ED7F10">
        <w:rPr>
          <w:szCs w:val="24"/>
        </w:rPr>
        <w:t>even when they were being as honest as possible, which was not always the case.  Examples of the problems are: the difficulty of defining what a "house" was (was 1 room in a tenement a house?); problems of accuracy of addresses at a time when towns were changing rapidly and chaotically: inaccuracy over age and occupation.  Another problem is that even when the census is reliable, changing format over the years makes some historical comparisons difficult over certain years. We must also be extra careful when using a subset of a census such as we have with the Douglas Database-the smaller figures mean that any errors will be exaggerated and we also have to take on faith that the samples of the census contained in the 2 Douglas databases are representative enough for our purposes. Of course,  these are problems within a very large data pool which is over-all fairly reliable and extremely useful as an historical source. Some of the problems can be overcome by using other sources as checks (indeed, all sources should be used as checks against each other).</w:t>
      </w:r>
    </w:p>
    <w:p w:rsidR="00F16C3D" w:rsidRPr="00ED7F10" w:rsidRDefault="00F16C3D" w:rsidP="003F0A43">
      <w:pPr>
        <w:spacing w:before="120" w:line="360" w:lineRule="auto"/>
        <w:jc w:val="both"/>
        <w:rPr>
          <w:szCs w:val="24"/>
        </w:rPr>
      </w:pPr>
      <w:r w:rsidRPr="00ED7F10">
        <w:rPr>
          <w:szCs w:val="24"/>
        </w:rPr>
        <w:t xml:space="preserve">The following exercise is based on the Quest Douglas 51 and 81 databases. In place of other sources I have used the historical works referred to at the end. It must be noted that these databases are small samples of the actual census and may not reflect the full census figures fully accurately. Also, any errors in the original will be exaggerated in the smaller sample. For this exercise I decided to examine migration by looking at age and place of birth figures; I also examined occupation combined with place of birth to see if there was any connection between migration and employment. One particular difficulty in connection with this exercise, mentioned above, was with occupation. Many descriptions are vague: labourer, agricultural worker, etc. There is also the problem of seasonal labour. People may not have done the same job all year round, or might have been living only temporarily in the place they were entered as living in, in the census. A further problem is that figures within </w:t>
      </w:r>
      <w:r w:rsidRPr="00ED7F10">
        <w:rPr>
          <w:szCs w:val="24"/>
        </w:rPr>
        <w:lastRenderedPageBreak/>
        <w:t>the database are not always compatible, partly due to human error, partly due to classification problems: for instance, with status which is difficult to define if the occupation in the original is vague. There are ways to minimise these problems. Firstly, by having a background Knowledge of the period; secondly by cross-checking within the database - e.g. comparing figures of occupation under OCCOD with status and by looking at the actual fields. (In this way I found that there were 3 more railway workers than given under OCCOD. Also, I concentrated on the bigger employment areas as errors in the smaller figures would be more significant - and conclusions drawn from very small figures likely to be unreliable in any case.</w:t>
      </w:r>
    </w:p>
    <w:p w:rsidR="00F16C3D" w:rsidRPr="00ED7F10" w:rsidRDefault="00F16C3D" w:rsidP="003F0A43">
      <w:pPr>
        <w:spacing w:before="120" w:line="360" w:lineRule="auto"/>
        <w:jc w:val="both"/>
        <w:rPr>
          <w:szCs w:val="24"/>
        </w:rPr>
      </w:pPr>
    </w:p>
    <w:p w:rsidR="00F16C3D" w:rsidRPr="00C50CA0" w:rsidRDefault="00EB1564" w:rsidP="003F0A43">
      <w:pPr>
        <w:spacing w:before="120" w:line="360" w:lineRule="auto"/>
        <w:jc w:val="both"/>
        <w:rPr>
          <w:rFonts w:ascii="Arial" w:hAnsi="Arial" w:cs="Arial"/>
          <w:szCs w:val="24"/>
        </w:rPr>
      </w:pPr>
      <w:r w:rsidRPr="00C50CA0">
        <w:rPr>
          <w:rFonts w:ascii="Arial" w:hAnsi="Arial" w:cs="Arial"/>
          <w:szCs w:val="24"/>
        </w:rPr>
        <w:t>Historical Background</w:t>
      </w:r>
    </w:p>
    <w:p w:rsidR="00F16C3D" w:rsidRPr="00ED7F10" w:rsidRDefault="00F16C3D" w:rsidP="003F0A43">
      <w:pPr>
        <w:spacing w:before="120" w:line="360" w:lineRule="auto"/>
        <w:jc w:val="both"/>
        <w:rPr>
          <w:szCs w:val="24"/>
        </w:rPr>
      </w:pPr>
      <w:r w:rsidRPr="00ED7F10">
        <w:rPr>
          <w:szCs w:val="24"/>
        </w:rPr>
        <w:t>Migration was a great feature of the social-economic changes of the 19th century. It took place at various levels from national/international all the way down to movement between local parishes. Industrialisation required a work force and improved agricultural methods to feed it. Improvements in agriculture pushed farm workers off the land and into the new trades and occupations of the industrial revolution. However, this movement was at first gradual with people moving to local towns(often small, rural towns) before movements further afield were considered. In 1841, when industrialisation was well underway, 65% of the population still lived in rural areas and small towns of under 5,000; by 1881 the figure was 50%. It should be noted that, although in the Douglas samples the 1881 figures are considerably larger than the 1851, population actually changed very little in size. Since population nationally grew from about 2.5 million to 3.7</w:t>
      </w:r>
      <w:r w:rsidR="00C50CA0">
        <w:rPr>
          <w:szCs w:val="24"/>
        </w:rPr>
        <w:t xml:space="preserve">5 million </w:t>
      </w:r>
      <w:r w:rsidRPr="00ED7F10">
        <w:rPr>
          <w:szCs w:val="24"/>
        </w:rPr>
        <w:t>at the same time, Douglas must have experienced a considerable out-migration at this period(and Douglas did not experience to any great extent the serious outbreaks of diseases like cholera which large urban areas such as Glasgow did).</w:t>
      </w:r>
    </w:p>
    <w:p w:rsidR="0044656B" w:rsidRPr="00ED7F10" w:rsidRDefault="0044656B" w:rsidP="003F0A43">
      <w:pPr>
        <w:spacing w:before="120" w:line="360" w:lineRule="auto"/>
        <w:jc w:val="both"/>
        <w:rPr>
          <w:szCs w:val="24"/>
        </w:rPr>
      </w:pPr>
    </w:p>
    <w:p w:rsidR="00BD046A" w:rsidRDefault="00BD046A" w:rsidP="003F0A43">
      <w:pPr>
        <w:spacing w:before="120" w:line="360" w:lineRule="auto"/>
        <w:jc w:val="both"/>
        <w:rPr>
          <w:rFonts w:ascii="Arial" w:hAnsi="Arial" w:cs="Arial"/>
          <w:szCs w:val="24"/>
        </w:rPr>
      </w:pPr>
    </w:p>
    <w:p w:rsidR="0044656B" w:rsidRPr="00C50CA0" w:rsidRDefault="00EB1564" w:rsidP="003F0A43">
      <w:pPr>
        <w:spacing w:before="120" w:line="360" w:lineRule="auto"/>
        <w:jc w:val="both"/>
        <w:rPr>
          <w:rFonts w:ascii="Arial" w:hAnsi="Arial" w:cs="Arial"/>
          <w:szCs w:val="24"/>
        </w:rPr>
      </w:pPr>
      <w:r>
        <w:rPr>
          <w:rFonts w:ascii="Arial" w:hAnsi="Arial" w:cs="Arial"/>
          <w:szCs w:val="24"/>
        </w:rPr>
        <w:lastRenderedPageBreak/>
        <w:t>Emigration f</w:t>
      </w:r>
      <w:r w:rsidRPr="00C50CA0">
        <w:rPr>
          <w:rFonts w:ascii="Arial" w:hAnsi="Arial" w:cs="Arial"/>
          <w:szCs w:val="24"/>
        </w:rPr>
        <w:t>rom Scotland</w:t>
      </w:r>
    </w:p>
    <w:p w:rsidR="0044656B" w:rsidRPr="00ED7F10" w:rsidRDefault="0044656B" w:rsidP="003F0A43">
      <w:pPr>
        <w:spacing w:before="120" w:line="360" w:lineRule="auto"/>
        <w:jc w:val="both"/>
        <w:rPr>
          <w:szCs w:val="24"/>
        </w:rPr>
      </w:pPr>
      <w:r w:rsidRPr="00ED7F10">
        <w:rPr>
          <w:szCs w:val="24"/>
        </w:rPr>
        <w:t>Emigration is the movement of people from on</w:t>
      </w:r>
      <w:r w:rsidR="00C50CA0">
        <w:rPr>
          <w:szCs w:val="24"/>
        </w:rPr>
        <w:t xml:space="preserve">e country to another. It is the </w:t>
      </w:r>
      <w:r w:rsidRPr="00ED7F10">
        <w:rPr>
          <w:szCs w:val="24"/>
        </w:rPr>
        <w:t>result of a push and pull effect. The push come</w:t>
      </w:r>
      <w:r w:rsidR="00C50CA0">
        <w:rPr>
          <w:szCs w:val="24"/>
        </w:rPr>
        <w:t xml:space="preserve">s from poor economic conditions </w:t>
      </w:r>
      <w:r w:rsidRPr="00ED7F10">
        <w:rPr>
          <w:szCs w:val="24"/>
        </w:rPr>
        <w:t xml:space="preserve">or political oppression at home, and the </w:t>
      </w:r>
      <w:r w:rsidR="00C50CA0">
        <w:rPr>
          <w:szCs w:val="24"/>
        </w:rPr>
        <w:t xml:space="preserve">pull effect is generated by the </w:t>
      </w:r>
      <w:r w:rsidRPr="00ED7F10">
        <w:rPr>
          <w:szCs w:val="24"/>
        </w:rPr>
        <w:t>attracting powers of the other country, includi</w:t>
      </w:r>
      <w:r w:rsidR="00C50CA0">
        <w:rPr>
          <w:szCs w:val="24"/>
        </w:rPr>
        <w:t xml:space="preserve">ng the promise of higher wages, </w:t>
      </w:r>
      <w:r w:rsidRPr="00ED7F10">
        <w:rPr>
          <w:szCs w:val="24"/>
        </w:rPr>
        <w:t>political freedom, and economic opportunity. N</w:t>
      </w:r>
      <w:r w:rsidR="00C50CA0">
        <w:rPr>
          <w:szCs w:val="24"/>
        </w:rPr>
        <w:t xml:space="preserve">ot all emigration is voluntary, </w:t>
      </w:r>
      <w:r w:rsidRPr="00ED7F10">
        <w:rPr>
          <w:szCs w:val="24"/>
        </w:rPr>
        <w:t>sometimes whole populations are forced to flee</w:t>
      </w:r>
      <w:r w:rsidR="00C50CA0">
        <w:rPr>
          <w:szCs w:val="24"/>
        </w:rPr>
        <w:t xml:space="preserve"> their native lands through war </w:t>
      </w:r>
      <w:r w:rsidRPr="00ED7F10">
        <w:rPr>
          <w:szCs w:val="24"/>
        </w:rPr>
        <w:t>or oppression. Normally emigration is a result o</w:t>
      </w:r>
      <w:r w:rsidR="00C50CA0">
        <w:rPr>
          <w:szCs w:val="24"/>
        </w:rPr>
        <w:t xml:space="preserve">f individuals wishing to better </w:t>
      </w:r>
      <w:r w:rsidRPr="00ED7F10">
        <w:rPr>
          <w:szCs w:val="24"/>
        </w:rPr>
        <w:t>themselves and their families.</w:t>
      </w:r>
    </w:p>
    <w:p w:rsidR="0044656B" w:rsidRPr="00ED7F10" w:rsidRDefault="0044656B" w:rsidP="003F0A43">
      <w:pPr>
        <w:spacing w:before="120" w:line="360" w:lineRule="auto"/>
        <w:jc w:val="both"/>
        <w:rPr>
          <w:szCs w:val="24"/>
        </w:rPr>
      </w:pPr>
      <w:r w:rsidRPr="00ED7F10">
        <w:rPr>
          <w:szCs w:val="24"/>
        </w:rPr>
        <w:t>In 19th century Scotland, emigration w</w:t>
      </w:r>
      <w:r w:rsidR="00C50CA0">
        <w:rPr>
          <w:szCs w:val="24"/>
        </w:rPr>
        <w:t xml:space="preserve">as the result of both force and </w:t>
      </w:r>
      <w:r w:rsidRPr="00ED7F10">
        <w:rPr>
          <w:szCs w:val="24"/>
        </w:rPr>
        <w:t>persuasion. Until about 1855 a number of t</w:t>
      </w:r>
      <w:r w:rsidR="00C50CA0">
        <w:rPr>
          <w:szCs w:val="24"/>
        </w:rPr>
        <w:t xml:space="preserve">he emigrants from the Highlands </w:t>
      </w:r>
      <w:r w:rsidRPr="00ED7F10">
        <w:rPr>
          <w:szCs w:val="24"/>
        </w:rPr>
        <w:t>were actually forced to leave the land because of</w:t>
      </w:r>
      <w:r w:rsidR="00C50CA0">
        <w:rPr>
          <w:szCs w:val="24"/>
        </w:rPr>
        <w:t xml:space="preserve"> evictions. In the Lowlands the </w:t>
      </w:r>
      <w:r w:rsidRPr="00ED7F10">
        <w:rPr>
          <w:szCs w:val="24"/>
        </w:rPr>
        <w:t>decision to move abroad was nearly alwa</w:t>
      </w:r>
      <w:r w:rsidR="00C50CA0">
        <w:rPr>
          <w:szCs w:val="24"/>
        </w:rPr>
        <w:t xml:space="preserve">ys the outcome of the desire to </w:t>
      </w:r>
      <w:r w:rsidRPr="00ED7F10">
        <w:rPr>
          <w:szCs w:val="24"/>
        </w:rPr>
        <w:t>improve one's living standards. Whatever the re</w:t>
      </w:r>
      <w:r w:rsidR="00C50CA0">
        <w:rPr>
          <w:szCs w:val="24"/>
        </w:rPr>
        <w:t xml:space="preserve">ason, Scotland lost between 10% </w:t>
      </w:r>
      <w:r w:rsidRPr="00ED7F10">
        <w:rPr>
          <w:szCs w:val="24"/>
        </w:rPr>
        <w:t>and 47% of the natural population increase every decade. Du</w:t>
      </w:r>
      <w:r w:rsidR="00C50CA0">
        <w:rPr>
          <w:szCs w:val="24"/>
        </w:rPr>
        <w:t xml:space="preserve">ring the period </w:t>
      </w:r>
      <w:r w:rsidRPr="00ED7F10">
        <w:rPr>
          <w:szCs w:val="24"/>
        </w:rPr>
        <w:t>1921-1930 those leaving Scotland actually exceed</w:t>
      </w:r>
      <w:r w:rsidR="00C50CA0">
        <w:rPr>
          <w:szCs w:val="24"/>
        </w:rPr>
        <w:t xml:space="preserve">ed the entire natural increase. </w:t>
      </w:r>
      <w:r w:rsidRPr="00ED7F10">
        <w:rPr>
          <w:szCs w:val="24"/>
        </w:rPr>
        <w:t xml:space="preserve">The </w:t>
      </w:r>
      <w:r w:rsidR="00C50CA0" w:rsidRPr="00ED7F10">
        <w:rPr>
          <w:szCs w:val="24"/>
        </w:rPr>
        <w:t>scale of the losses was</w:t>
      </w:r>
      <w:r w:rsidRPr="00ED7F10">
        <w:rPr>
          <w:szCs w:val="24"/>
        </w:rPr>
        <w:t xml:space="preserve"> only greater in</w:t>
      </w:r>
      <w:r w:rsidR="00C50CA0">
        <w:rPr>
          <w:szCs w:val="24"/>
        </w:rPr>
        <w:t xml:space="preserve"> two other European countries - </w:t>
      </w:r>
      <w:r w:rsidRPr="00ED7F10">
        <w:rPr>
          <w:szCs w:val="24"/>
        </w:rPr>
        <w:t>Ireland and Norway.</w:t>
      </w:r>
    </w:p>
    <w:p w:rsidR="0044656B" w:rsidRPr="00ED7F10" w:rsidRDefault="0044656B" w:rsidP="003F0A43">
      <w:pPr>
        <w:spacing w:before="120" w:line="360" w:lineRule="auto"/>
        <w:jc w:val="both"/>
        <w:rPr>
          <w:szCs w:val="24"/>
        </w:rPr>
      </w:pPr>
    </w:p>
    <w:p w:rsidR="0044656B" w:rsidRPr="00C50CA0" w:rsidRDefault="00EB1564" w:rsidP="003F0A43">
      <w:pPr>
        <w:spacing w:before="120" w:line="360" w:lineRule="auto"/>
        <w:jc w:val="both"/>
        <w:rPr>
          <w:rFonts w:ascii="Arial" w:hAnsi="Arial" w:cs="Arial"/>
          <w:szCs w:val="24"/>
        </w:rPr>
      </w:pPr>
      <w:r>
        <w:rPr>
          <w:rFonts w:ascii="Arial" w:hAnsi="Arial" w:cs="Arial"/>
          <w:szCs w:val="24"/>
        </w:rPr>
        <w:t>Leaving t</w:t>
      </w:r>
      <w:r w:rsidRPr="00C50CA0">
        <w:rPr>
          <w:rFonts w:ascii="Arial" w:hAnsi="Arial" w:cs="Arial"/>
          <w:szCs w:val="24"/>
        </w:rPr>
        <w:t>he Highlands</w:t>
      </w:r>
    </w:p>
    <w:p w:rsidR="00C50CA0" w:rsidRDefault="0044656B" w:rsidP="003F0A43">
      <w:pPr>
        <w:spacing w:before="120" w:line="360" w:lineRule="auto"/>
        <w:jc w:val="both"/>
        <w:rPr>
          <w:szCs w:val="24"/>
        </w:rPr>
      </w:pPr>
      <w:r w:rsidRPr="00ED7F10">
        <w:rPr>
          <w:szCs w:val="24"/>
        </w:rPr>
        <w:t xml:space="preserve">The eviction of Highlanders from their homes </w:t>
      </w:r>
      <w:r w:rsidR="00C50CA0">
        <w:rPr>
          <w:szCs w:val="24"/>
        </w:rPr>
        <w:t xml:space="preserve">reached a peak in the 1840s and </w:t>
      </w:r>
      <w:r w:rsidRPr="00ED7F10">
        <w:rPr>
          <w:szCs w:val="24"/>
        </w:rPr>
        <w:t xml:space="preserve">early 1850s. The decision by the landlords to take </w:t>
      </w:r>
      <w:r w:rsidR="00C50CA0">
        <w:rPr>
          <w:szCs w:val="24"/>
        </w:rPr>
        <w:t xml:space="preserve">this course of action was based </w:t>
      </w:r>
      <w:r w:rsidRPr="00ED7F10">
        <w:rPr>
          <w:szCs w:val="24"/>
        </w:rPr>
        <w:t>on the fact that the Highland economy had co</w:t>
      </w:r>
      <w:r w:rsidR="00C50CA0">
        <w:rPr>
          <w:szCs w:val="24"/>
        </w:rPr>
        <w:t xml:space="preserve">llapsed, while at the same time </w:t>
      </w:r>
      <w:r w:rsidRPr="00ED7F10">
        <w:rPr>
          <w:szCs w:val="24"/>
        </w:rPr>
        <w:t>the population was still rising. As income from kelp producti</w:t>
      </w:r>
      <w:r w:rsidR="00C50CA0">
        <w:rPr>
          <w:szCs w:val="24"/>
        </w:rPr>
        <w:t xml:space="preserve">on and black cattle </w:t>
      </w:r>
      <w:r w:rsidRPr="00ED7F10">
        <w:rPr>
          <w:szCs w:val="24"/>
        </w:rPr>
        <w:t>dried up, the landlord saw sheep as a m</w:t>
      </w:r>
      <w:r w:rsidR="00C50CA0">
        <w:rPr>
          <w:szCs w:val="24"/>
        </w:rPr>
        <w:t xml:space="preserve">ore profitable alternative. The </w:t>
      </w:r>
      <w:r w:rsidRPr="00ED7F10">
        <w:rPr>
          <w:szCs w:val="24"/>
        </w:rPr>
        <w:t xml:space="preserve">introduction of sheep meant the removal of </w:t>
      </w:r>
      <w:r w:rsidR="00C50CA0">
        <w:rPr>
          <w:szCs w:val="24"/>
        </w:rPr>
        <w:t xml:space="preserve">people. The crofting population </w:t>
      </w:r>
      <w:r w:rsidRPr="00ED7F10">
        <w:rPr>
          <w:szCs w:val="24"/>
        </w:rPr>
        <w:t>was already relying on a potato diet and when th</w:t>
      </w:r>
      <w:r w:rsidR="00C50CA0">
        <w:rPr>
          <w:szCs w:val="24"/>
        </w:rPr>
        <w:t xml:space="preserve">e crop failed in the late 1830s </w:t>
      </w:r>
      <w:r w:rsidRPr="00ED7F10">
        <w:rPr>
          <w:szCs w:val="24"/>
        </w:rPr>
        <w:t>and again in the late 1840s, emigration seem</w:t>
      </w:r>
      <w:r w:rsidR="00C50CA0">
        <w:rPr>
          <w:szCs w:val="24"/>
        </w:rPr>
        <w:t xml:space="preserve">ed the only alternative to mass starvation. </w:t>
      </w:r>
    </w:p>
    <w:p w:rsidR="00C50CA0" w:rsidRDefault="0044656B" w:rsidP="003F0A43">
      <w:pPr>
        <w:spacing w:before="120" w:line="360" w:lineRule="auto"/>
        <w:jc w:val="both"/>
        <w:rPr>
          <w:szCs w:val="24"/>
        </w:rPr>
      </w:pPr>
      <w:r w:rsidRPr="00ED7F10">
        <w:rPr>
          <w:szCs w:val="24"/>
        </w:rPr>
        <w:t>The policy of the landlord was to clear the poorest Highlanders from the land</w:t>
      </w:r>
      <w:r w:rsidR="00C50CA0">
        <w:rPr>
          <w:szCs w:val="24"/>
        </w:rPr>
        <w:t xml:space="preserve"> </w:t>
      </w:r>
      <w:r w:rsidRPr="00ED7F10">
        <w:rPr>
          <w:szCs w:val="24"/>
        </w:rPr>
        <w:t>and maintain those crofters who were capab</w:t>
      </w:r>
      <w:r w:rsidR="00C50CA0">
        <w:rPr>
          <w:szCs w:val="24"/>
        </w:rPr>
        <w:t xml:space="preserve">le of paying rent. The Dukes of </w:t>
      </w:r>
      <w:r w:rsidRPr="00ED7F10">
        <w:rPr>
          <w:szCs w:val="24"/>
        </w:rPr>
        <w:t xml:space="preserve">Argyll and </w:t>
      </w:r>
      <w:r w:rsidRPr="00ED7F10">
        <w:rPr>
          <w:szCs w:val="24"/>
        </w:rPr>
        <w:lastRenderedPageBreak/>
        <w:t>Sutherland and other large landowne</w:t>
      </w:r>
      <w:r w:rsidR="00C50CA0">
        <w:rPr>
          <w:szCs w:val="24"/>
        </w:rPr>
        <w:t xml:space="preserve">rs financed emigration schemes. </w:t>
      </w:r>
      <w:r w:rsidRPr="00ED7F10">
        <w:rPr>
          <w:szCs w:val="24"/>
        </w:rPr>
        <w:t>Offers of funding were linked to eviction which lef</w:t>
      </w:r>
      <w:r w:rsidR="00C50CA0">
        <w:rPr>
          <w:szCs w:val="24"/>
        </w:rPr>
        <w:t xml:space="preserve">t little choice to the crofter. </w:t>
      </w:r>
      <w:r w:rsidRPr="00ED7F10">
        <w:rPr>
          <w:szCs w:val="24"/>
        </w:rPr>
        <w:t>However, the Emigration Act of 1851 made emig</w:t>
      </w:r>
      <w:r w:rsidR="00C50CA0">
        <w:rPr>
          <w:szCs w:val="24"/>
        </w:rPr>
        <w:t xml:space="preserve">ration more freely available to </w:t>
      </w:r>
      <w:r w:rsidRPr="00ED7F10">
        <w:rPr>
          <w:szCs w:val="24"/>
        </w:rPr>
        <w:t>the poorest. The Highlands and Islands Emigratio</w:t>
      </w:r>
      <w:r w:rsidR="00C50CA0">
        <w:rPr>
          <w:szCs w:val="24"/>
        </w:rPr>
        <w:t xml:space="preserve">n Society was set up to oversee </w:t>
      </w:r>
      <w:r w:rsidRPr="00ED7F10">
        <w:rPr>
          <w:szCs w:val="24"/>
        </w:rPr>
        <w:t xml:space="preserve">the process of resettlement. Under the scheme a </w:t>
      </w:r>
      <w:r w:rsidR="00C50CA0">
        <w:rPr>
          <w:szCs w:val="24"/>
        </w:rPr>
        <w:t xml:space="preserve">landlord could secure a passage </w:t>
      </w:r>
      <w:r w:rsidRPr="00ED7F10">
        <w:rPr>
          <w:szCs w:val="24"/>
        </w:rPr>
        <w:t xml:space="preserve">to Australia for a nominee at the cost of £1. </w:t>
      </w:r>
    </w:p>
    <w:p w:rsidR="0044656B" w:rsidRPr="00ED7F10" w:rsidRDefault="00C50CA0" w:rsidP="003F0A43">
      <w:pPr>
        <w:spacing w:before="120" w:line="360" w:lineRule="auto"/>
        <w:jc w:val="both"/>
        <w:rPr>
          <w:szCs w:val="24"/>
        </w:rPr>
      </w:pPr>
      <w:r>
        <w:rPr>
          <w:szCs w:val="24"/>
        </w:rPr>
        <w:t xml:space="preserve">Between 1846 and 1857 around </w:t>
      </w:r>
      <w:r w:rsidR="0044656B" w:rsidRPr="00ED7F10">
        <w:rPr>
          <w:szCs w:val="24"/>
        </w:rPr>
        <w:t>16,533 people of the poorest types, comprising of mainly young me</w:t>
      </w:r>
      <w:r>
        <w:rPr>
          <w:szCs w:val="24"/>
        </w:rPr>
        <w:t xml:space="preserve">n, were </w:t>
      </w:r>
      <w:r w:rsidR="0044656B" w:rsidRPr="00ED7F10">
        <w:rPr>
          <w:szCs w:val="24"/>
        </w:rPr>
        <w:t xml:space="preserve">assisted to emigrate. The greatest loss occurred in </w:t>
      </w:r>
      <w:r>
        <w:rPr>
          <w:szCs w:val="24"/>
        </w:rPr>
        <w:t xml:space="preserve">the Islands, particularly Skye, </w:t>
      </w:r>
      <w:r w:rsidR="0044656B" w:rsidRPr="00ED7F10">
        <w:rPr>
          <w:szCs w:val="24"/>
        </w:rPr>
        <w:t>Mull, the Long Island and the mainla</w:t>
      </w:r>
      <w:r>
        <w:rPr>
          <w:szCs w:val="24"/>
        </w:rPr>
        <w:t xml:space="preserve">nd parishes of the Inner Sound. </w:t>
      </w:r>
      <w:r w:rsidR="0044656B" w:rsidRPr="00ED7F10">
        <w:rPr>
          <w:szCs w:val="24"/>
        </w:rPr>
        <w:t>After 1855 mass evictions were rare and emi</w:t>
      </w:r>
      <w:r>
        <w:rPr>
          <w:szCs w:val="24"/>
        </w:rPr>
        <w:t xml:space="preserve">gration became more a matter of </w:t>
      </w:r>
      <w:r w:rsidR="0044656B" w:rsidRPr="00ED7F10">
        <w:rPr>
          <w:szCs w:val="24"/>
        </w:rPr>
        <w:t>choice than compulsion. Between 1855 and 1</w:t>
      </w:r>
      <w:r>
        <w:rPr>
          <w:szCs w:val="24"/>
        </w:rPr>
        <w:t xml:space="preserve">895 the decline in the Highland </w:t>
      </w:r>
      <w:r w:rsidR="0044656B" w:rsidRPr="00ED7F10">
        <w:rPr>
          <w:szCs w:val="24"/>
        </w:rPr>
        <w:t>population was actually less than in the rural Lo</w:t>
      </w:r>
      <w:r>
        <w:rPr>
          <w:szCs w:val="24"/>
        </w:rPr>
        <w:t xml:space="preserve">wlands and certainly much lower </w:t>
      </w:r>
      <w:r w:rsidR="0044656B" w:rsidRPr="00ED7F10">
        <w:rPr>
          <w:szCs w:val="24"/>
        </w:rPr>
        <w:t xml:space="preserve">than in Ireland. The Highland experienced a 9% </w:t>
      </w:r>
      <w:r>
        <w:rPr>
          <w:szCs w:val="24"/>
        </w:rPr>
        <w:t xml:space="preserve">fall in population between 1851 </w:t>
      </w:r>
      <w:r w:rsidR="0044656B" w:rsidRPr="00ED7F10">
        <w:rPr>
          <w:szCs w:val="24"/>
        </w:rPr>
        <w:t xml:space="preserve">and 1891, while Ireland in the same period </w:t>
      </w:r>
      <w:r>
        <w:rPr>
          <w:szCs w:val="24"/>
        </w:rPr>
        <w:t xml:space="preserve">faced a 28% fall. The Crofters' </w:t>
      </w:r>
      <w:r w:rsidR="0044656B" w:rsidRPr="00ED7F10">
        <w:rPr>
          <w:szCs w:val="24"/>
        </w:rPr>
        <w:t>Holding Act of 1886 gave the crofters security</w:t>
      </w:r>
      <w:r>
        <w:rPr>
          <w:szCs w:val="24"/>
        </w:rPr>
        <w:t xml:space="preserve"> of tenure and this also slowed </w:t>
      </w:r>
      <w:r w:rsidR="0044656B" w:rsidRPr="00ED7F10">
        <w:rPr>
          <w:szCs w:val="24"/>
        </w:rPr>
        <w:t>down the process of emigration. Between 1886</w:t>
      </w:r>
      <w:r>
        <w:rPr>
          <w:szCs w:val="24"/>
        </w:rPr>
        <w:t xml:space="preserve"> and 1950 over 2,700 new crofts </w:t>
      </w:r>
      <w:r w:rsidR="0044656B" w:rsidRPr="00ED7F10">
        <w:rPr>
          <w:szCs w:val="24"/>
        </w:rPr>
        <w:t>were created and a further 5,160 enlarged.</w:t>
      </w:r>
    </w:p>
    <w:p w:rsidR="0044656B" w:rsidRPr="00ED7F10" w:rsidRDefault="0044656B" w:rsidP="003F0A43">
      <w:pPr>
        <w:spacing w:before="120" w:line="360" w:lineRule="auto"/>
        <w:jc w:val="both"/>
        <w:rPr>
          <w:szCs w:val="24"/>
        </w:rPr>
      </w:pPr>
      <w:r w:rsidRPr="00ED7F10">
        <w:rPr>
          <w:szCs w:val="24"/>
        </w:rPr>
        <w:t>However, in spite of the increase in the numbe</w:t>
      </w:r>
      <w:r w:rsidR="00C50CA0">
        <w:rPr>
          <w:szCs w:val="24"/>
        </w:rPr>
        <w:t xml:space="preserve">r of crofts the exodus from the </w:t>
      </w:r>
      <w:r w:rsidRPr="00ED7F10">
        <w:rPr>
          <w:szCs w:val="24"/>
        </w:rPr>
        <w:t xml:space="preserve">Highlands continued. In 1831 the population of </w:t>
      </w:r>
      <w:r w:rsidR="00C50CA0">
        <w:rPr>
          <w:szCs w:val="24"/>
        </w:rPr>
        <w:t xml:space="preserve">the Highlands reached a peak of </w:t>
      </w:r>
      <w:r w:rsidRPr="00ED7F10">
        <w:rPr>
          <w:szCs w:val="24"/>
        </w:rPr>
        <w:t>200,955, or 8.5% of the total population of S</w:t>
      </w:r>
      <w:r w:rsidR="00C50CA0">
        <w:rPr>
          <w:szCs w:val="24"/>
        </w:rPr>
        <w:t xml:space="preserve">cotland. In 1931 the comparable </w:t>
      </w:r>
      <w:r w:rsidRPr="00ED7F10">
        <w:rPr>
          <w:szCs w:val="24"/>
        </w:rPr>
        <w:t>figures were 127,081 and 2.6%. In the west Highla</w:t>
      </w:r>
      <w:r w:rsidR="00C50CA0">
        <w:rPr>
          <w:szCs w:val="24"/>
        </w:rPr>
        <w:t xml:space="preserve">nds for every 100 persons in </w:t>
      </w:r>
      <w:r w:rsidRPr="00ED7F10">
        <w:rPr>
          <w:szCs w:val="24"/>
        </w:rPr>
        <w:t>1831 there were only 59 in 1951</w:t>
      </w:r>
    </w:p>
    <w:p w:rsidR="0044656B" w:rsidRPr="00ED7F10" w:rsidRDefault="0044656B" w:rsidP="003F0A43">
      <w:pPr>
        <w:spacing w:before="120" w:line="360" w:lineRule="auto"/>
        <w:jc w:val="both"/>
        <w:rPr>
          <w:szCs w:val="24"/>
        </w:rPr>
      </w:pPr>
    </w:p>
    <w:p w:rsidR="0044656B" w:rsidRPr="00C50CA0" w:rsidRDefault="00EB1564" w:rsidP="003F0A43">
      <w:pPr>
        <w:spacing w:before="120" w:line="360" w:lineRule="auto"/>
        <w:jc w:val="both"/>
        <w:rPr>
          <w:rFonts w:ascii="Arial" w:hAnsi="Arial" w:cs="Arial"/>
          <w:szCs w:val="24"/>
        </w:rPr>
      </w:pPr>
      <w:r w:rsidRPr="00C50CA0">
        <w:rPr>
          <w:rFonts w:ascii="Arial" w:hAnsi="Arial" w:cs="Arial"/>
          <w:szCs w:val="24"/>
        </w:rPr>
        <w:t>Destinations Abroad</w:t>
      </w:r>
    </w:p>
    <w:p w:rsidR="0044656B" w:rsidRPr="00ED7F10" w:rsidRDefault="0044656B" w:rsidP="003F0A43">
      <w:pPr>
        <w:spacing w:before="120" w:line="360" w:lineRule="auto"/>
        <w:jc w:val="both"/>
        <w:rPr>
          <w:szCs w:val="24"/>
        </w:rPr>
      </w:pPr>
      <w:r w:rsidRPr="00ED7F10">
        <w:rPr>
          <w:szCs w:val="24"/>
        </w:rPr>
        <w:t xml:space="preserve">Although much of the decline was the result </w:t>
      </w:r>
      <w:r w:rsidR="00C50CA0">
        <w:rPr>
          <w:szCs w:val="24"/>
        </w:rPr>
        <w:t xml:space="preserve">of permanent migration south, a </w:t>
      </w:r>
      <w:r w:rsidRPr="00ED7F10">
        <w:rPr>
          <w:szCs w:val="24"/>
        </w:rPr>
        <w:t>substantial number left for the New World.</w:t>
      </w:r>
      <w:r w:rsidR="00C50CA0">
        <w:rPr>
          <w:szCs w:val="24"/>
        </w:rPr>
        <w:t xml:space="preserve"> Indeed, those who were removed </w:t>
      </w:r>
      <w:r w:rsidRPr="00ED7F10">
        <w:rPr>
          <w:szCs w:val="24"/>
        </w:rPr>
        <w:t>from the land in the phase of evictions of the 18</w:t>
      </w:r>
      <w:r w:rsidR="00C50CA0">
        <w:rPr>
          <w:szCs w:val="24"/>
        </w:rPr>
        <w:t xml:space="preserve">40s and 1850s generally refused </w:t>
      </w:r>
      <w:r w:rsidRPr="00ED7F10">
        <w:rPr>
          <w:szCs w:val="24"/>
        </w:rPr>
        <w:t xml:space="preserve">to move to Lowland Scotland. They preferred to </w:t>
      </w:r>
      <w:r w:rsidR="00C50CA0">
        <w:rPr>
          <w:szCs w:val="24"/>
        </w:rPr>
        <w:t xml:space="preserve">settle in Canada in places such </w:t>
      </w:r>
      <w:r w:rsidRPr="00ED7F10">
        <w:rPr>
          <w:szCs w:val="24"/>
        </w:rPr>
        <w:t xml:space="preserve">as Ontario </w:t>
      </w:r>
      <w:r w:rsidRPr="00ED7F10">
        <w:rPr>
          <w:szCs w:val="24"/>
        </w:rPr>
        <w:lastRenderedPageBreak/>
        <w:t>and Nova Scotia where they could re</w:t>
      </w:r>
      <w:r w:rsidR="00C50CA0">
        <w:rPr>
          <w:szCs w:val="24"/>
        </w:rPr>
        <w:t xml:space="preserve">main in touch with the land and </w:t>
      </w:r>
      <w:r w:rsidRPr="00ED7F10">
        <w:rPr>
          <w:szCs w:val="24"/>
        </w:rPr>
        <w:t xml:space="preserve">maintain their style of life. In Nova Scotia in the </w:t>
      </w:r>
      <w:r w:rsidR="00C50CA0">
        <w:rPr>
          <w:szCs w:val="24"/>
        </w:rPr>
        <w:t xml:space="preserve">first half of the 19th Century, </w:t>
      </w:r>
      <w:r w:rsidRPr="00ED7F10">
        <w:rPr>
          <w:szCs w:val="24"/>
        </w:rPr>
        <w:t>59% of UK settlers were Scots-born.</w:t>
      </w:r>
    </w:p>
    <w:p w:rsidR="00F16C3D" w:rsidRPr="00ED7F10" w:rsidRDefault="00F16C3D" w:rsidP="003F0A43">
      <w:pPr>
        <w:spacing w:before="120" w:line="360" w:lineRule="auto"/>
        <w:jc w:val="both"/>
        <w:rPr>
          <w:szCs w:val="24"/>
        </w:rPr>
      </w:pPr>
    </w:p>
    <w:p w:rsidR="00F16C3D" w:rsidRPr="00C50CA0" w:rsidRDefault="00EB1564" w:rsidP="003F0A43">
      <w:pPr>
        <w:spacing w:before="120" w:line="360" w:lineRule="auto"/>
        <w:jc w:val="both"/>
        <w:rPr>
          <w:rFonts w:ascii="Arial" w:hAnsi="Arial" w:cs="Arial"/>
          <w:szCs w:val="24"/>
        </w:rPr>
      </w:pPr>
      <w:r w:rsidRPr="00C50CA0">
        <w:rPr>
          <w:rFonts w:ascii="Arial" w:hAnsi="Arial" w:cs="Arial"/>
          <w:szCs w:val="24"/>
        </w:rPr>
        <w:t>General Summary</w:t>
      </w:r>
    </w:p>
    <w:p w:rsidR="00F16C3D" w:rsidRPr="00ED7F10" w:rsidRDefault="00F16C3D" w:rsidP="003F0A43">
      <w:pPr>
        <w:spacing w:before="120" w:line="360" w:lineRule="auto"/>
        <w:jc w:val="both"/>
        <w:rPr>
          <w:szCs w:val="24"/>
        </w:rPr>
      </w:pPr>
      <w:r w:rsidRPr="00ED7F10">
        <w:rPr>
          <w:szCs w:val="24"/>
        </w:rPr>
        <w:t>In 1851, employment is dominated by people born in the local or adjacent parish. Most of the outsiders that do appear are from the local or adjacent county. By 1881, we see that a good deal of employment is still taken up by those born in the local/adjacent parish area. However, the proportions have changed. Many more people have come from outside the local  parish area and this change is even more emphatic in the new, expanding industry of coal-mining and in the railway sector.</w:t>
      </w:r>
    </w:p>
    <w:p w:rsidR="00F16C3D" w:rsidRPr="00ED7F10" w:rsidRDefault="00F16C3D" w:rsidP="003F0A43">
      <w:pPr>
        <w:spacing w:before="120" w:line="360" w:lineRule="auto"/>
        <w:jc w:val="both"/>
        <w:rPr>
          <w:szCs w:val="24"/>
        </w:rPr>
      </w:pPr>
      <w:r w:rsidRPr="00ED7F10">
        <w:rPr>
          <w:szCs w:val="24"/>
        </w:rPr>
        <w:t>This also points up how people moved. They moved within their local area (from parish to adjacent parish; from county to adjacent county) far more than they moved from one end of the country to another. Long distance movements tended to be done in stages - from country to local rural town, from local town to larger, more distant town or city. Movement depended also on job opportunities at home compared with opportunities elsewhere. If some kind of opportunity existed nearby it would be taken up first (by most people ) before the risk of a long distance "flit" was taken on.</w:t>
      </w:r>
    </w:p>
    <w:p w:rsidR="00F16C3D" w:rsidRPr="00ED7F10" w:rsidRDefault="00F16C3D" w:rsidP="003F0A43">
      <w:pPr>
        <w:spacing w:before="120" w:line="360" w:lineRule="auto"/>
        <w:jc w:val="both"/>
        <w:rPr>
          <w:szCs w:val="24"/>
        </w:rPr>
      </w:pPr>
      <w:r w:rsidRPr="00ED7F10">
        <w:rPr>
          <w:szCs w:val="24"/>
        </w:rPr>
        <w:t xml:space="preserve">In the Douglas samples we see this picture in miniature. We know that people were leaving Douglas as quickly as they came in because the population remained steady at a time of national growth. The basic  birthplace figures show what was happening. The percentage of young people(under 20) and the younger group of adults(20 to 39) increased between 1851 and 1881. The older section of the population decreased. Birthplace figures by area show an over-all decrease in numbers for people born in Douglas or adjacent parish and an increase in those born outside. What is happening is that the younger, more active population move and cannot be immediately replaced. So a generation gap appears with the increase in the younger population </w:t>
      </w:r>
      <w:r w:rsidRPr="00ED7F10">
        <w:rPr>
          <w:szCs w:val="24"/>
        </w:rPr>
        <w:lastRenderedPageBreak/>
        <w:t>being caused by incomers who do not arrive quickly enough to become part of the older population by 1881.</w:t>
      </w:r>
    </w:p>
    <w:p w:rsidR="00F16C3D" w:rsidRDefault="00F16C3D" w:rsidP="003F0A43">
      <w:pPr>
        <w:spacing w:before="120" w:line="360" w:lineRule="auto"/>
        <w:jc w:val="both"/>
        <w:rPr>
          <w:szCs w:val="24"/>
        </w:rPr>
      </w:pPr>
      <w:r w:rsidRPr="00ED7F10">
        <w:rPr>
          <w:szCs w:val="24"/>
        </w:rPr>
        <w:t>This picture is well known from standard works, but the fact that such a small sample agrees so well with what we know suggests that the census (and the databases based on it) form very useful so</w:t>
      </w:r>
      <w:r w:rsidR="00BD046A">
        <w:rPr>
          <w:szCs w:val="24"/>
        </w:rPr>
        <w:t>urces for the study of history.</w:t>
      </w:r>
    </w:p>
    <w:p w:rsidR="00BD046A" w:rsidRPr="00ED7F10" w:rsidRDefault="00BD046A" w:rsidP="003F0A43">
      <w:pPr>
        <w:spacing w:before="120" w:line="360" w:lineRule="auto"/>
        <w:jc w:val="both"/>
        <w:rPr>
          <w:szCs w:val="24"/>
        </w:rPr>
      </w:pPr>
    </w:p>
    <w:p w:rsidR="00F16C3D" w:rsidRPr="00C50CA0" w:rsidRDefault="00EB1564" w:rsidP="003F0A43">
      <w:pPr>
        <w:spacing w:before="120" w:line="360" w:lineRule="auto"/>
        <w:jc w:val="both"/>
        <w:rPr>
          <w:rFonts w:ascii="Arial" w:hAnsi="Arial" w:cs="Arial"/>
          <w:szCs w:val="24"/>
        </w:rPr>
      </w:pPr>
      <w:r w:rsidRPr="00C50CA0">
        <w:rPr>
          <w:rFonts w:ascii="Arial" w:hAnsi="Arial" w:cs="Arial"/>
          <w:szCs w:val="24"/>
        </w:rPr>
        <w:t>Tables</w:t>
      </w:r>
    </w:p>
    <w:p w:rsidR="00F16C3D" w:rsidRPr="00ED7F10" w:rsidRDefault="00F16C3D" w:rsidP="003F0A43">
      <w:pPr>
        <w:spacing w:before="120" w:line="360" w:lineRule="auto"/>
        <w:jc w:val="both"/>
        <w:rPr>
          <w:szCs w:val="24"/>
          <w:u w:val="single"/>
        </w:rPr>
      </w:pPr>
    </w:p>
    <w:p w:rsidR="00F16C3D" w:rsidRPr="00ED7F10" w:rsidRDefault="00F16C3D" w:rsidP="003F0A43">
      <w:pPr>
        <w:tabs>
          <w:tab w:val="left" w:pos="720"/>
        </w:tabs>
        <w:spacing w:before="120" w:line="360" w:lineRule="auto"/>
        <w:jc w:val="both"/>
        <w:rPr>
          <w:szCs w:val="24"/>
        </w:rPr>
      </w:pPr>
      <w:r w:rsidRPr="00ED7F10">
        <w:rPr>
          <w:szCs w:val="24"/>
        </w:rPr>
        <w:t>Population %.</w:t>
      </w:r>
      <w:r w:rsidRPr="00ED7F10">
        <w:rPr>
          <w:szCs w:val="24"/>
        </w:rPr>
        <w:tab/>
        <w:t>Under 20</w:t>
      </w:r>
      <w:r w:rsidRPr="00ED7F10">
        <w:rPr>
          <w:szCs w:val="24"/>
        </w:rPr>
        <w:tab/>
        <w:t xml:space="preserve">20 – 39 </w:t>
      </w:r>
      <w:r w:rsidRPr="00ED7F10">
        <w:rPr>
          <w:szCs w:val="24"/>
        </w:rPr>
        <w:tab/>
        <w:t xml:space="preserve">40 – 59 </w:t>
      </w:r>
      <w:r w:rsidRPr="00ED7F10">
        <w:rPr>
          <w:szCs w:val="24"/>
        </w:rPr>
        <w:tab/>
        <w:t>60+</w:t>
      </w:r>
      <w:r w:rsidRPr="00ED7F10">
        <w:rPr>
          <w:szCs w:val="24"/>
        </w:rPr>
        <w:tab/>
      </w:r>
    </w:p>
    <w:p w:rsidR="00F16C3D" w:rsidRPr="00ED7F10" w:rsidRDefault="00F16C3D" w:rsidP="003F0A43">
      <w:pPr>
        <w:spacing w:before="120" w:line="360" w:lineRule="auto"/>
        <w:jc w:val="both"/>
        <w:rPr>
          <w:szCs w:val="24"/>
        </w:rPr>
      </w:pPr>
      <w:r w:rsidRPr="00ED7F10">
        <w:rPr>
          <w:szCs w:val="24"/>
        </w:rPr>
        <w:t>Douglas 1851</w:t>
      </w:r>
      <w:r w:rsidRPr="00ED7F10">
        <w:rPr>
          <w:szCs w:val="24"/>
        </w:rPr>
        <w:tab/>
        <w:t>51.9</w:t>
      </w:r>
      <w:r w:rsidRPr="00ED7F10">
        <w:rPr>
          <w:szCs w:val="24"/>
        </w:rPr>
        <w:tab/>
        <w:t>20.6</w:t>
      </w:r>
      <w:r w:rsidRPr="00ED7F10">
        <w:rPr>
          <w:szCs w:val="24"/>
        </w:rPr>
        <w:tab/>
        <w:t>19.1</w:t>
      </w:r>
      <w:r w:rsidRPr="00ED7F10">
        <w:rPr>
          <w:szCs w:val="24"/>
        </w:rPr>
        <w:tab/>
        <w:t>8.4</w:t>
      </w:r>
    </w:p>
    <w:p w:rsidR="00F16C3D" w:rsidRPr="00ED7F10" w:rsidRDefault="00F16C3D" w:rsidP="003F0A43">
      <w:pPr>
        <w:spacing w:before="120" w:line="360" w:lineRule="auto"/>
        <w:jc w:val="both"/>
        <w:rPr>
          <w:szCs w:val="24"/>
        </w:rPr>
      </w:pPr>
      <w:r w:rsidRPr="00ED7F10">
        <w:rPr>
          <w:szCs w:val="24"/>
        </w:rPr>
        <w:t>Douglas 1881</w:t>
      </w:r>
      <w:r w:rsidRPr="00ED7F10">
        <w:rPr>
          <w:szCs w:val="24"/>
        </w:rPr>
        <w:tab/>
        <w:t xml:space="preserve">55.3 </w:t>
      </w:r>
      <w:r w:rsidRPr="00ED7F10">
        <w:rPr>
          <w:szCs w:val="24"/>
        </w:rPr>
        <w:tab/>
        <w:t>28.5</w:t>
      </w:r>
      <w:r w:rsidRPr="00ED7F10">
        <w:rPr>
          <w:szCs w:val="24"/>
        </w:rPr>
        <w:tab/>
        <w:t>11.7</w:t>
      </w:r>
      <w:r w:rsidRPr="00ED7F10">
        <w:rPr>
          <w:szCs w:val="24"/>
        </w:rPr>
        <w:tab/>
        <w:t>4.5</w:t>
      </w:r>
    </w:p>
    <w:p w:rsidR="00F16C3D" w:rsidRPr="00ED7F10" w:rsidRDefault="00F16C3D" w:rsidP="003F0A43">
      <w:pPr>
        <w:spacing w:before="120" w:line="360" w:lineRule="auto"/>
        <w:jc w:val="both"/>
        <w:rPr>
          <w:szCs w:val="24"/>
          <w:u w:val="single"/>
        </w:rPr>
      </w:pPr>
    </w:p>
    <w:p w:rsidR="00F16C3D" w:rsidRPr="00ED7F10" w:rsidRDefault="00F16C3D" w:rsidP="003F0A43">
      <w:pPr>
        <w:spacing w:before="120" w:line="360" w:lineRule="auto"/>
        <w:jc w:val="both"/>
        <w:rPr>
          <w:szCs w:val="24"/>
        </w:rPr>
      </w:pPr>
      <w:r w:rsidRPr="00ED7F10">
        <w:rPr>
          <w:szCs w:val="24"/>
        </w:rPr>
        <w:t>%Employment</w:t>
      </w:r>
      <w:r w:rsidRPr="00ED7F10">
        <w:rPr>
          <w:szCs w:val="24"/>
        </w:rPr>
        <w:tab/>
      </w:r>
      <w:r w:rsidRPr="00ED7F10">
        <w:rPr>
          <w:szCs w:val="24"/>
        </w:rPr>
        <w:tab/>
        <w:t>1851</w:t>
      </w:r>
      <w:r w:rsidRPr="00ED7F10">
        <w:rPr>
          <w:szCs w:val="24"/>
        </w:rPr>
        <w:tab/>
        <w:t>1881</w:t>
      </w:r>
    </w:p>
    <w:p w:rsidR="00F16C3D" w:rsidRPr="00ED7F10" w:rsidRDefault="00F16C3D" w:rsidP="003F0A43">
      <w:pPr>
        <w:spacing w:before="120" w:line="360" w:lineRule="auto"/>
        <w:jc w:val="both"/>
        <w:rPr>
          <w:szCs w:val="24"/>
        </w:rPr>
      </w:pPr>
      <w:r w:rsidRPr="00ED7F10">
        <w:rPr>
          <w:szCs w:val="24"/>
        </w:rPr>
        <w:t>Agriculture</w:t>
      </w:r>
      <w:r w:rsidRPr="00ED7F10">
        <w:rPr>
          <w:szCs w:val="24"/>
        </w:rPr>
        <w:tab/>
        <w:t xml:space="preserve">50.5 </w:t>
      </w:r>
      <w:r w:rsidRPr="00ED7F10">
        <w:rPr>
          <w:szCs w:val="24"/>
        </w:rPr>
        <w:tab/>
        <w:t>19.5</w:t>
      </w:r>
    </w:p>
    <w:p w:rsidR="00F16C3D" w:rsidRPr="00ED7F10" w:rsidRDefault="00F16C3D" w:rsidP="003F0A43">
      <w:pPr>
        <w:spacing w:before="120" w:line="360" w:lineRule="auto"/>
        <w:jc w:val="both"/>
        <w:rPr>
          <w:szCs w:val="24"/>
        </w:rPr>
      </w:pPr>
      <w:r w:rsidRPr="00ED7F10">
        <w:rPr>
          <w:szCs w:val="24"/>
        </w:rPr>
        <w:t xml:space="preserve">Mining </w:t>
      </w:r>
      <w:r w:rsidRPr="00ED7F10">
        <w:rPr>
          <w:szCs w:val="24"/>
        </w:rPr>
        <w:tab/>
        <w:t>4.1</w:t>
      </w:r>
      <w:r w:rsidRPr="00ED7F10">
        <w:rPr>
          <w:szCs w:val="24"/>
        </w:rPr>
        <w:tab/>
        <w:t>38.3</w:t>
      </w:r>
    </w:p>
    <w:p w:rsidR="00F16C3D" w:rsidRPr="00ED7F10" w:rsidRDefault="00F16C3D" w:rsidP="003F0A43">
      <w:pPr>
        <w:spacing w:before="120" w:line="360" w:lineRule="auto"/>
        <w:jc w:val="both"/>
        <w:rPr>
          <w:szCs w:val="24"/>
        </w:rPr>
      </w:pPr>
      <w:r w:rsidRPr="00ED7F10">
        <w:rPr>
          <w:szCs w:val="24"/>
        </w:rPr>
        <w:t>Building</w:t>
      </w:r>
      <w:r w:rsidRPr="00ED7F10">
        <w:rPr>
          <w:szCs w:val="24"/>
        </w:rPr>
        <w:tab/>
        <w:t>3</w:t>
      </w:r>
      <w:r w:rsidRPr="00ED7F10">
        <w:rPr>
          <w:szCs w:val="24"/>
        </w:rPr>
        <w:tab/>
        <w:t>6.4</w:t>
      </w:r>
    </w:p>
    <w:p w:rsidR="00F16C3D" w:rsidRPr="00ED7F10" w:rsidRDefault="00F16C3D" w:rsidP="003F0A43">
      <w:pPr>
        <w:spacing w:before="120" w:line="360" w:lineRule="auto"/>
        <w:jc w:val="both"/>
        <w:rPr>
          <w:szCs w:val="24"/>
        </w:rPr>
      </w:pPr>
      <w:r w:rsidRPr="00ED7F10">
        <w:rPr>
          <w:szCs w:val="24"/>
        </w:rPr>
        <w:t>Manufacture</w:t>
      </w:r>
      <w:r w:rsidRPr="00ED7F10">
        <w:rPr>
          <w:szCs w:val="24"/>
        </w:rPr>
        <w:tab/>
        <w:t xml:space="preserve">13.1 </w:t>
      </w:r>
      <w:r w:rsidRPr="00ED7F10">
        <w:rPr>
          <w:szCs w:val="24"/>
        </w:rPr>
        <w:tab/>
        <w:t>9.2</w:t>
      </w:r>
    </w:p>
    <w:p w:rsidR="00F16C3D" w:rsidRPr="00ED7F10" w:rsidRDefault="00F16C3D" w:rsidP="003F0A43">
      <w:pPr>
        <w:spacing w:before="120" w:line="360" w:lineRule="auto"/>
        <w:jc w:val="both"/>
        <w:rPr>
          <w:szCs w:val="24"/>
        </w:rPr>
      </w:pPr>
      <w:r w:rsidRPr="00ED7F10">
        <w:rPr>
          <w:szCs w:val="24"/>
        </w:rPr>
        <w:t xml:space="preserve">Transport </w:t>
      </w:r>
      <w:r w:rsidRPr="00ED7F10">
        <w:rPr>
          <w:szCs w:val="24"/>
        </w:rPr>
        <w:tab/>
        <w:t>1</w:t>
      </w:r>
      <w:r w:rsidRPr="00ED7F10">
        <w:rPr>
          <w:szCs w:val="24"/>
        </w:rPr>
        <w:tab/>
        <w:t>3.8</w:t>
      </w:r>
    </w:p>
    <w:p w:rsidR="00F16C3D" w:rsidRPr="00ED7F10" w:rsidRDefault="00F16C3D" w:rsidP="003F0A43">
      <w:pPr>
        <w:spacing w:before="120" w:line="360" w:lineRule="auto"/>
        <w:jc w:val="both"/>
        <w:rPr>
          <w:szCs w:val="24"/>
        </w:rPr>
      </w:pPr>
      <w:r w:rsidRPr="00ED7F10">
        <w:rPr>
          <w:szCs w:val="24"/>
        </w:rPr>
        <w:t>Dealing</w:t>
      </w:r>
      <w:r w:rsidRPr="00ED7F10">
        <w:rPr>
          <w:szCs w:val="24"/>
        </w:rPr>
        <w:tab/>
        <w:t>2</w:t>
      </w:r>
      <w:r w:rsidRPr="00ED7F10">
        <w:rPr>
          <w:szCs w:val="24"/>
        </w:rPr>
        <w:tab/>
        <w:t>0.7</w:t>
      </w:r>
    </w:p>
    <w:p w:rsidR="00F16C3D" w:rsidRPr="00ED7F10" w:rsidRDefault="00F16C3D" w:rsidP="003F0A43">
      <w:pPr>
        <w:spacing w:before="120" w:line="360" w:lineRule="auto"/>
        <w:jc w:val="both"/>
        <w:rPr>
          <w:szCs w:val="24"/>
        </w:rPr>
      </w:pPr>
      <w:r w:rsidRPr="00ED7F10">
        <w:rPr>
          <w:szCs w:val="24"/>
        </w:rPr>
        <w:t xml:space="preserve">Indust/Pub/Prof </w:t>
      </w:r>
      <w:r w:rsidRPr="00ED7F10">
        <w:rPr>
          <w:szCs w:val="24"/>
        </w:rPr>
        <w:tab/>
        <w:t>3</w:t>
      </w:r>
      <w:r w:rsidRPr="00ED7F10">
        <w:rPr>
          <w:szCs w:val="24"/>
        </w:rPr>
        <w:tab/>
        <w:t>5.5</w:t>
      </w:r>
    </w:p>
    <w:p w:rsidR="00F16C3D" w:rsidRPr="00ED7F10" w:rsidRDefault="00F16C3D" w:rsidP="003F0A43">
      <w:pPr>
        <w:spacing w:before="120" w:line="360" w:lineRule="auto"/>
        <w:jc w:val="both"/>
        <w:rPr>
          <w:szCs w:val="24"/>
        </w:rPr>
      </w:pPr>
      <w:r w:rsidRPr="00ED7F10">
        <w:rPr>
          <w:szCs w:val="24"/>
        </w:rPr>
        <w:t xml:space="preserve">Domestic Service </w:t>
      </w:r>
      <w:r w:rsidRPr="00ED7F10">
        <w:rPr>
          <w:szCs w:val="24"/>
        </w:rPr>
        <w:tab/>
        <w:t>20.2</w:t>
      </w:r>
      <w:r w:rsidRPr="00ED7F10">
        <w:rPr>
          <w:szCs w:val="24"/>
        </w:rPr>
        <w:tab/>
        <w:t>16.3</w:t>
      </w:r>
    </w:p>
    <w:p w:rsidR="00F16C3D" w:rsidRPr="00ED7F10" w:rsidRDefault="00F16C3D" w:rsidP="003F0A43">
      <w:pPr>
        <w:spacing w:before="120" w:line="360" w:lineRule="auto"/>
        <w:jc w:val="both"/>
        <w:rPr>
          <w:szCs w:val="24"/>
        </w:rPr>
      </w:pPr>
      <w:r w:rsidRPr="00ED7F10">
        <w:rPr>
          <w:szCs w:val="24"/>
        </w:rPr>
        <w:t>Property</w:t>
      </w:r>
      <w:r w:rsidRPr="00ED7F10">
        <w:rPr>
          <w:szCs w:val="24"/>
        </w:rPr>
        <w:tab/>
        <w:t>3</w:t>
      </w:r>
      <w:r w:rsidRPr="00ED7F10">
        <w:rPr>
          <w:szCs w:val="24"/>
        </w:rPr>
        <w:tab/>
        <w:t>0.7</w:t>
      </w:r>
    </w:p>
    <w:p w:rsidR="00F16C3D" w:rsidRPr="00ED7F10" w:rsidRDefault="00F16C3D" w:rsidP="003F0A43">
      <w:pPr>
        <w:spacing w:before="120" w:line="360" w:lineRule="auto"/>
        <w:jc w:val="both"/>
        <w:rPr>
          <w:szCs w:val="24"/>
        </w:rPr>
      </w:pPr>
    </w:p>
    <w:p w:rsidR="00F16C3D" w:rsidRPr="00ED7F10" w:rsidRDefault="00F16C3D" w:rsidP="003F0A43">
      <w:pPr>
        <w:spacing w:before="120" w:line="360" w:lineRule="auto"/>
        <w:jc w:val="both"/>
        <w:rPr>
          <w:szCs w:val="24"/>
        </w:rPr>
      </w:pPr>
    </w:p>
    <w:p w:rsidR="00F16C3D" w:rsidRPr="00ED7F10" w:rsidRDefault="00F16C3D" w:rsidP="003F0A43">
      <w:pPr>
        <w:spacing w:before="120" w:line="360" w:lineRule="auto"/>
        <w:jc w:val="both"/>
        <w:rPr>
          <w:szCs w:val="24"/>
        </w:rPr>
      </w:pPr>
    </w:p>
    <w:p w:rsidR="00F16C3D" w:rsidRPr="00C50CA0" w:rsidRDefault="00F16C3D" w:rsidP="003F0A43">
      <w:pPr>
        <w:spacing w:before="120" w:line="360" w:lineRule="auto"/>
        <w:jc w:val="both"/>
        <w:rPr>
          <w:rFonts w:ascii="Arial" w:hAnsi="Arial" w:cs="Arial"/>
          <w:szCs w:val="24"/>
        </w:rPr>
      </w:pPr>
      <w:r w:rsidRPr="00C50CA0">
        <w:rPr>
          <w:rFonts w:ascii="Arial" w:hAnsi="Arial" w:cs="Arial"/>
          <w:szCs w:val="24"/>
        </w:rPr>
        <w:t>References</w:t>
      </w:r>
    </w:p>
    <w:p w:rsidR="00F16C3D" w:rsidRPr="00ED7F10" w:rsidRDefault="00F16C3D" w:rsidP="003F0A43">
      <w:pPr>
        <w:spacing w:before="120" w:line="360" w:lineRule="auto"/>
        <w:jc w:val="both"/>
        <w:rPr>
          <w:szCs w:val="24"/>
        </w:rPr>
      </w:pPr>
      <w:r w:rsidRPr="00ED7F10">
        <w:rPr>
          <w:szCs w:val="24"/>
        </w:rPr>
        <w:t>Smout TC         Century of the Scottish People.  1971.</w:t>
      </w:r>
    </w:p>
    <w:p w:rsidR="00F16C3D" w:rsidRPr="00ED7F10" w:rsidRDefault="00F16C3D" w:rsidP="003F0A43">
      <w:pPr>
        <w:spacing w:before="120" w:line="360" w:lineRule="auto"/>
        <w:jc w:val="both"/>
        <w:rPr>
          <w:szCs w:val="24"/>
        </w:rPr>
      </w:pPr>
      <w:r w:rsidRPr="00ED7F10">
        <w:rPr>
          <w:szCs w:val="24"/>
        </w:rPr>
        <w:t>Higgs E          Making sense of the Census.      1989.</w:t>
      </w:r>
    </w:p>
    <w:p w:rsidR="00F16C3D" w:rsidRPr="00ED7F10" w:rsidRDefault="00F16C3D" w:rsidP="003F0A43">
      <w:pPr>
        <w:spacing w:before="120" w:line="360" w:lineRule="auto"/>
        <w:jc w:val="both"/>
        <w:rPr>
          <w:szCs w:val="24"/>
        </w:rPr>
      </w:pPr>
      <w:r w:rsidRPr="00ED7F10">
        <w:rPr>
          <w:szCs w:val="24"/>
        </w:rPr>
        <w:t>Hutchison JD     Douglasdale.                     1940.</w:t>
      </w:r>
    </w:p>
    <w:p w:rsidR="00F16C3D" w:rsidRPr="00ED7F10" w:rsidRDefault="00F16C3D" w:rsidP="003F0A43">
      <w:pPr>
        <w:spacing w:before="120" w:line="360" w:lineRule="auto"/>
        <w:jc w:val="both"/>
        <w:rPr>
          <w:szCs w:val="24"/>
        </w:rPr>
      </w:pPr>
    </w:p>
    <w:p w:rsidR="00F16C3D" w:rsidRPr="00ED7F10" w:rsidRDefault="00F16C3D" w:rsidP="003F0A43">
      <w:pPr>
        <w:spacing w:before="120" w:line="360" w:lineRule="auto"/>
        <w:jc w:val="both"/>
        <w:rPr>
          <w:szCs w:val="24"/>
        </w:rPr>
      </w:pPr>
    </w:p>
    <w:p w:rsidR="00F16C3D" w:rsidRPr="00ED7F10" w:rsidRDefault="00F16C3D" w:rsidP="003F0A43">
      <w:pPr>
        <w:spacing w:before="120" w:line="360" w:lineRule="auto"/>
        <w:jc w:val="both"/>
        <w:rPr>
          <w:szCs w:val="24"/>
        </w:rPr>
      </w:pPr>
    </w:p>
    <w:sectPr w:rsidR="00F16C3D" w:rsidRPr="00ED7F10">
      <w:footerReference w:type="default" r:id="rId11"/>
      <w:pgSz w:w="11907" w:h="16840" w:code="9"/>
      <w:pgMar w:top="1440" w:right="1701" w:bottom="1440" w:left="1985" w:header="1196" w:footer="28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28" w:rsidRDefault="007F4B28">
      <w:r>
        <w:separator/>
      </w:r>
    </w:p>
  </w:endnote>
  <w:endnote w:type="continuationSeparator" w:id="0">
    <w:p w:rsidR="007F4B28" w:rsidRDefault="007F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3D" w:rsidRDefault="00F16C3D">
    <w:pPr>
      <w:spacing w:line="240" w:lineRule="atLeast"/>
      <w:rPr>
        <w:rFonts w:ascii="Tms Rmn" w:hAnsi="Tms Rmn"/>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28" w:rsidRDefault="007F4B28">
      <w:r>
        <w:separator/>
      </w:r>
    </w:p>
  </w:footnote>
  <w:footnote w:type="continuationSeparator" w:id="0">
    <w:p w:rsidR="007F4B28" w:rsidRDefault="007F4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665"/>
    <w:multiLevelType w:val="singleLevel"/>
    <w:tmpl w:val="06543D06"/>
    <w:lvl w:ilvl="0">
      <w:start w:val="1"/>
      <w:numFmt w:val="bullet"/>
      <w:lvlText w:val=""/>
      <w:lvlJc w:val="left"/>
      <w:pPr>
        <w:tabs>
          <w:tab w:val="num" w:pos="360"/>
        </w:tabs>
        <w:ind w:left="360" w:hanging="360"/>
      </w:pPr>
      <w:rPr>
        <w:rFonts w:ascii="Wingdings" w:hAnsi="Wingdings" w:hint="default"/>
        <w:sz w:val="16"/>
      </w:rPr>
    </w:lvl>
  </w:abstractNum>
  <w:abstractNum w:abstractNumId="1">
    <w:nsid w:val="764E5048"/>
    <w:multiLevelType w:val="singleLevel"/>
    <w:tmpl w:val="20E657FC"/>
    <w:lvl w:ilvl="0">
      <w:start w:val="2"/>
      <w:numFmt w:val="lowerLetter"/>
      <w:pStyle w:val="Style1"/>
      <w:lvlText w:val=""/>
      <w:lvlJc w:val="left"/>
      <w:pPr>
        <w:tabs>
          <w:tab w:val="num" w:pos="360"/>
        </w:tabs>
        <w:ind w:left="360" w:hanging="360"/>
      </w:pPr>
      <w:rPr>
        <w:rFonts w:ascii="Monotype Sorts" w:hAnsi="Monotype Sort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6B"/>
    <w:rsid w:val="00196906"/>
    <w:rsid w:val="00335E21"/>
    <w:rsid w:val="0037686A"/>
    <w:rsid w:val="003F0A43"/>
    <w:rsid w:val="0044656B"/>
    <w:rsid w:val="00653147"/>
    <w:rsid w:val="006A6899"/>
    <w:rsid w:val="007A6D17"/>
    <w:rsid w:val="007F4B28"/>
    <w:rsid w:val="00BD046A"/>
    <w:rsid w:val="00C50CA0"/>
    <w:rsid w:val="00D154EE"/>
    <w:rsid w:val="00EB1564"/>
    <w:rsid w:val="00ED7F10"/>
    <w:rsid w:val="00F16C3D"/>
    <w:rsid w:val="00F26FE5"/>
    <w:rsid w:val="00F553AD"/>
    <w:rsid w:val="00FA3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PlainText"/>
    <w:pPr>
      <w:numPr>
        <w:numId w:val="1"/>
      </w:numPr>
      <w:tabs>
        <w:tab w:val="left" w:pos="426"/>
        <w:tab w:val="left" w:pos="900"/>
      </w:tabs>
    </w:pPr>
    <w:rPr>
      <w:rFonts w:ascii="Arial" w:hAnsi="Arial"/>
      <w:b/>
      <w:color w:val="000000"/>
      <w:sz w:val="22"/>
      <w:lang w:val="en-US"/>
    </w:rPr>
  </w:style>
  <w:style w:type="paragraph" w:styleId="PlainText">
    <w:name w:val="Plain Text"/>
    <w:basedOn w:val="Normal"/>
    <w:semiHidden/>
    <w:rPr>
      <w:rFonts w:ascii="Courier New" w:hAnsi="Courier New"/>
      <w:sz w:val="20"/>
    </w:rPr>
  </w:style>
  <w:style w:type="paragraph" w:customStyle="1" w:styleId="MenuStyle">
    <w:name w:val="MenuStyle"/>
    <w:basedOn w:val="Normal"/>
    <w:next w:val="PlainText"/>
    <w:pPr>
      <w:tabs>
        <w:tab w:val="left" w:pos="426"/>
        <w:tab w:val="num" w:pos="567"/>
        <w:tab w:val="left" w:pos="900"/>
      </w:tabs>
      <w:ind w:left="851" w:hanging="567"/>
    </w:pPr>
    <w:rPr>
      <w:rFonts w:ascii="Arial" w:hAnsi="Arial"/>
      <w:b/>
      <w:color w:val="000000"/>
      <w:sz w:val="22"/>
      <w:lang w:val="en-US"/>
    </w:rPr>
  </w:style>
  <w:style w:type="paragraph" w:customStyle="1" w:styleId="ArielPlain">
    <w:name w:val="Ariel Plain"/>
    <w:basedOn w:val="BodyText"/>
    <w:pPr>
      <w:tabs>
        <w:tab w:val="left" w:pos="426"/>
      </w:tabs>
      <w:spacing w:after="0"/>
    </w:pPr>
    <w:rPr>
      <w:rFonts w:ascii="Arial" w:hAnsi="Arial"/>
      <w:sz w:val="22"/>
    </w:rPr>
  </w:style>
  <w:style w:type="paragraph" w:styleId="BodyText">
    <w:name w:val="Body Text"/>
    <w:basedOn w:val="Normal"/>
    <w:semiHidden/>
    <w:pPr>
      <w:spacing w:after="120"/>
    </w:pPr>
  </w:style>
  <w:style w:type="paragraph" w:customStyle="1" w:styleId="heading1">
    <w:name w:val="****heading 1"/>
    <w:basedOn w:val="Normal"/>
    <w:pPr>
      <w:widowControl w:val="0"/>
      <w:spacing w:before="240" w:after="60"/>
    </w:pPr>
    <w:rPr>
      <w:rFonts w:ascii="Arial" w:hAnsi="Arial"/>
      <w:b/>
      <w:snapToGrid w:val="0"/>
      <w:color w:val="000000"/>
      <w:sz w:val="28"/>
      <w:lang w:eastAsia="en-US"/>
    </w:rPr>
  </w:style>
  <w:style w:type="paragraph" w:customStyle="1" w:styleId="Normal0">
    <w:name w:val="**Normal"/>
    <w:pPr>
      <w:widowControl w:val="0"/>
    </w:pPr>
    <w:rPr>
      <w:rFonts w:ascii="Arial" w:hAnsi="Arial"/>
      <w:b/>
      <w:snapToGrid w:val="0"/>
      <w:color w:val="000000"/>
      <w:sz w:val="22"/>
      <w:lang w:eastAsia="en-US"/>
    </w:rPr>
  </w:style>
  <w:style w:type="character" w:customStyle="1" w:styleId="menu">
    <w:name w:val="menu"/>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PlainText"/>
    <w:pPr>
      <w:numPr>
        <w:numId w:val="1"/>
      </w:numPr>
      <w:tabs>
        <w:tab w:val="left" w:pos="426"/>
        <w:tab w:val="left" w:pos="900"/>
      </w:tabs>
    </w:pPr>
    <w:rPr>
      <w:rFonts w:ascii="Arial" w:hAnsi="Arial"/>
      <w:b/>
      <w:color w:val="000000"/>
      <w:sz w:val="22"/>
      <w:lang w:val="en-US"/>
    </w:rPr>
  </w:style>
  <w:style w:type="paragraph" w:styleId="PlainText">
    <w:name w:val="Plain Text"/>
    <w:basedOn w:val="Normal"/>
    <w:semiHidden/>
    <w:rPr>
      <w:rFonts w:ascii="Courier New" w:hAnsi="Courier New"/>
      <w:sz w:val="20"/>
    </w:rPr>
  </w:style>
  <w:style w:type="paragraph" w:customStyle="1" w:styleId="MenuStyle">
    <w:name w:val="MenuStyle"/>
    <w:basedOn w:val="Normal"/>
    <w:next w:val="PlainText"/>
    <w:pPr>
      <w:tabs>
        <w:tab w:val="left" w:pos="426"/>
        <w:tab w:val="num" w:pos="567"/>
        <w:tab w:val="left" w:pos="900"/>
      </w:tabs>
      <w:ind w:left="851" w:hanging="567"/>
    </w:pPr>
    <w:rPr>
      <w:rFonts w:ascii="Arial" w:hAnsi="Arial"/>
      <w:b/>
      <w:color w:val="000000"/>
      <w:sz w:val="22"/>
      <w:lang w:val="en-US"/>
    </w:rPr>
  </w:style>
  <w:style w:type="paragraph" w:customStyle="1" w:styleId="ArielPlain">
    <w:name w:val="Ariel Plain"/>
    <w:basedOn w:val="BodyText"/>
    <w:pPr>
      <w:tabs>
        <w:tab w:val="left" w:pos="426"/>
      </w:tabs>
      <w:spacing w:after="0"/>
    </w:pPr>
    <w:rPr>
      <w:rFonts w:ascii="Arial" w:hAnsi="Arial"/>
      <w:sz w:val="22"/>
    </w:rPr>
  </w:style>
  <w:style w:type="paragraph" w:styleId="BodyText">
    <w:name w:val="Body Text"/>
    <w:basedOn w:val="Normal"/>
    <w:semiHidden/>
    <w:pPr>
      <w:spacing w:after="120"/>
    </w:pPr>
  </w:style>
  <w:style w:type="paragraph" w:customStyle="1" w:styleId="heading1">
    <w:name w:val="****heading 1"/>
    <w:basedOn w:val="Normal"/>
    <w:pPr>
      <w:widowControl w:val="0"/>
      <w:spacing w:before="240" w:after="60"/>
    </w:pPr>
    <w:rPr>
      <w:rFonts w:ascii="Arial" w:hAnsi="Arial"/>
      <w:b/>
      <w:snapToGrid w:val="0"/>
      <w:color w:val="000000"/>
      <w:sz w:val="28"/>
      <w:lang w:eastAsia="en-US"/>
    </w:rPr>
  </w:style>
  <w:style w:type="paragraph" w:customStyle="1" w:styleId="Normal0">
    <w:name w:val="**Normal"/>
    <w:pPr>
      <w:widowControl w:val="0"/>
    </w:pPr>
    <w:rPr>
      <w:rFonts w:ascii="Arial" w:hAnsi="Arial"/>
      <w:b/>
      <w:snapToGrid w:val="0"/>
      <w:color w:val="000000"/>
      <w:sz w:val="22"/>
      <w:lang w:eastAsia="en-US"/>
    </w:rPr>
  </w:style>
  <w:style w:type="character" w:customStyle="1" w:styleId="menu">
    <w:name w:val="menu"/>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91FF0BC664B45973A76B4782CA781" ma:contentTypeVersion="1" ma:contentTypeDescription="Create a new document." ma:contentTypeScope="" ma:versionID="7f50083423921d9dcb90e1d6dc66ede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9631A-E771-4D29-BD8C-7B903B3D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6F3B27-93F9-4241-ACFC-D783869D472D}">
  <ds:schemaRefs>
    <ds:schemaRef ds:uri="http://schemas.microsoft.com/sharepoint/v3/contenttype/forms"/>
  </ds:schemaRefs>
</ds:datastoreItem>
</file>

<file path=customXml/itemProps3.xml><?xml version="1.0" encoding="utf-8"?>
<ds:datastoreItem xmlns:ds="http://schemas.openxmlformats.org/officeDocument/2006/customXml" ds:itemID="{FC6280AA-BCA9-4205-B4AE-8176769170D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THE CENSUS AND THE DATABASES</vt:lpstr>
    </vt:vector>
  </TitlesOfParts>
  <Company>IT Education Unit</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AND THE DATABASES</dc:title>
  <dc:creator>Scotia Consortium</dc:creator>
  <cp:lastModifiedBy>smp6v</cp:lastModifiedBy>
  <cp:revision>4</cp:revision>
  <dcterms:created xsi:type="dcterms:W3CDTF">2011-07-21T08:03:00Z</dcterms:created>
  <dcterms:modified xsi:type="dcterms:W3CDTF">2011-07-21T08:04:00Z</dcterms:modified>
</cp:coreProperties>
</file>